
<file path=[Content_Types].xml><?xml version="1.0" encoding="utf-8"?>
<Types xmlns="http://schemas.openxmlformats.org/package/2006/content-types">
  <Default Extension="xml" ContentType="application/xml"/>
  <Default Extension="xlsx" ContentType="application/vnd.openxmlformats-officedocument.spreadsheetml.sheet"/>
  <Default Extension="bin" ContentType="application/vnd.openxmlformats-officedocument.oleObject"/>
  <Default Extension="png" ContentType="image/png"/>
  <Default Extension="jpeg" ContentType="image/jpeg"/>
  <Default Extension="JPG" ContentType="image/.jp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charts/chart3.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olors1.xml" ContentType="application/vnd.ms-office.chartcolorstyle+xml"/>
  <Override PartName="/word/charts/colors10.xml" ContentType="application/vnd.ms-office.chartcolorstyle+xml"/>
  <Override PartName="/word/charts/colors11.xml" ContentType="application/vnd.ms-office.chartcolorstyle+xml"/>
  <Override PartName="/word/charts/colors12.xml" ContentType="application/vnd.ms-office.chartcolorstyle+xml"/>
  <Override PartName="/word/charts/colors13.xml" ContentType="application/vnd.ms-office.chartcolorstyle+xml"/>
  <Override PartName="/word/charts/colors14.xml" ContentType="application/vnd.ms-office.chartcolorstyle+xml"/>
  <Override PartName="/word/charts/colors15.xml" ContentType="application/vnd.ms-office.chartcolorstyle+xml"/>
  <Override PartName="/word/charts/colors16.xml" ContentType="application/vnd.ms-office.chartcolorstyle+xml"/>
  <Override PartName="/word/charts/colors17.xml" ContentType="application/vnd.ms-office.chartcolorstyle+xml"/>
  <Override PartName="/word/charts/colors18.xml" ContentType="application/vnd.ms-office.chartcolorstyle+xml"/>
  <Override PartName="/word/charts/colors19.xml" ContentType="application/vnd.ms-office.chartcolorstyle+xml"/>
  <Override PartName="/word/charts/colors2.xml" ContentType="application/vnd.ms-office.chartcolorstyle+xml"/>
  <Override PartName="/word/charts/colors20.xml" ContentType="application/vnd.ms-office.chartcolorstyle+xml"/>
  <Override PartName="/word/charts/colors21.xml" ContentType="application/vnd.ms-office.chartcolorstyle+xml"/>
  <Override PartName="/word/charts/colors22.xml" ContentType="application/vnd.ms-office.chartcolorstyle+xml"/>
  <Override PartName="/word/charts/colors23.xml" ContentType="application/vnd.ms-office.chartcolorstyle+xml"/>
  <Override PartName="/word/charts/colors24.xml" ContentType="application/vnd.ms-office.chartcolorstyle+xml"/>
  <Override PartName="/word/charts/colors25.xml" ContentType="application/vnd.ms-office.chartcolorstyle+xml"/>
  <Override PartName="/word/charts/colors26.xml" ContentType="application/vnd.ms-office.chartcolorstyle+xml"/>
  <Override PartName="/word/charts/colors3.xml" ContentType="application/vnd.ms-office.chartcolorstyle+xml"/>
  <Override PartName="/word/charts/colors4.xml" ContentType="application/vnd.ms-office.chartcolorstyle+xml"/>
  <Override PartName="/word/charts/colors5.xml" ContentType="application/vnd.ms-office.chartcolorstyle+xml"/>
  <Override PartName="/word/charts/colors6.xml" ContentType="application/vnd.ms-office.chartcolorstyle+xml"/>
  <Override PartName="/word/charts/colors7.xml" ContentType="application/vnd.ms-office.chartcolorstyle+xml"/>
  <Override PartName="/word/charts/colors8.xml" ContentType="application/vnd.ms-office.chartcolorstyle+xml"/>
  <Override PartName="/word/charts/colors9.xml" ContentType="application/vnd.ms-office.chartcolorstyle+xml"/>
  <Override PartName="/word/charts/style1.xml" ContentType="application/vnd.ms-office.chartstyle+xml"/>
  <Override PartName="/word/charts/style10.xml" ContentType="application/vnd.ms-office.chartstyle+xml"/>
  <Override PartName="/word/charts/style11.xml" ContentType="application/vnd.ms-office.chartstyle+xml"/>
  <Override PartName="/word/charts/style12.xml" ContentType="application/vnd.ms-office.chartstyle+xml"/>
  <Override PartName="/word/charts/style13.xml" ContentType="application/vnd.ms-office.chartstyle+xml"/>
  <Override PartName="/word/charts/style14.xml" ContentType="application/vnd.ms-office.chartstyle+xml"/>
  <Override PartName="/word/charts/style15.xml" ContentType="application/vnd.ms-office.chartstyle+xml"/>
  <Override PartName="/word/charts/style16.xml" ContentType="application/vnd.ms-office.chartstyle+xml"/>
  <Override PartName="/word/charts/style17.xml" ContentType="application/vnd.ms-office.chartstyle+xml"/>
  <Override PartName="/word/charts/style18.xml" ContentType="application/vnd.ms-office.chartstyle+xml"/>
  <Override PartName="/word/charts/style19.xml" ContentType="application/vnd.ms-office.chartstyle+xml"/>
  <Override PartName="/word/charts/style2.xml" ContentType="application/vnd.ms-office.chartstyle+xml"/>
  <Override PartName="/word/charts/style20.xml" ContentType="application/vnd.ms-office.chartstyle+xml"/>
  <Override PartName="/word/charts/style21.xml" ContentType="application/vnd.ms-office.chartstyle+xml"/>
  <Override PartName="/word/charts/style22.xml" ContentType="application/vnd.ms-office.chartstyle+xml"/>
  <Override PartName="/word/charts/style23.xml" ContentType="application/vnd.ms-office.chartstyle+xml"/>
  <Override PartName="/word/charts/style24.xml" ContentType="application/vnd.ms-office.chartstyle+xml"/>
  <Override PartName="/word/charts/style25.xml" ContentType="application/vnd.ms-office.chartstyle+xml"/>
  <Override PartName="/word/charts/style26.xml" ContentType="application/vnd.ms-office.chartstyle+xml"/>
  <Override PartName="/word/charts/style3.xml" ContentType="application/vnd.ms-office.chartstyle+xml"/>
  <Override PartName="/word/charts/style4.xml" ContentType="application/vnd.ms-office.chartstyle+xml"/>
  <Override PartName="/word/charts/style5.xml" ContentType="application/vnd.ms-office.chartstyle+xml"/>
  <Override PartName="/word/charts/style6.xml" ContentType="application/vnd.ms-office.chartstyle+xml"/>
  <Override PartName="/word/charts/style7.xml" ContentType="application/vnd.ms-office.chartstyle+xml"/>
  <Override PartName="/word/charts/style8.xml" ContentType="application/vnd.ms-office.chartstyle+xml"/>
  <Override PartName="/word/charts/style9.xml" ContentType="application/vnd.ms-office.chartstyle+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theme/themeOverride1.xml" ContentType="application/vnd.openxmlformats-officedocument.themeOverride+xml"/>
  <Override PartName="/word/theme/themeOverride2.xml" ContentType="application/vnd.openxmlformats-officedocument.themeOverride+xml"/>
  <Override PartName="/word/theme/themeOverride3.xml" ContentType="application/vnd.openxmlformats-officedocument.themeOverrid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asciiTheme="minorEastAsia" w:hAnsiTheme="minorEastAsia" w:cstheme="minorEastAsia"/>
          <w:b/>
          <w:bCs/>
          <w:sz w:val="72"/>
          <w:szCs w:val="144"/>
        </w:rPr>
      </w:pPr>
      <w:bookmarkStart w:id="0" w:name="_Hlk88234200"/>
    </w:p>
    <w:p>
      <w:pPr>
        <w:jc w:val="center"/>
        <w:rPr>
          <w:rFonts w:hint="eastAsia" w:asciiTheme="minorEastAsia" w:hAnsiTheme="minorEastAsia" w:cstheme="minorEastAsia"/>
          <w:b/>
          <w:bCs/>
          <w:sz w:val="72"/>
          <w:szCs w:val="144"/>
        </w:rPr>
      </w:pPr>
    </w:p>
    <w:p>
      <w:pPr>
        <w:snapToGrid w:val="0"/>
        <w:spacing w:line="360" w:lineRule="auto"/>
        <w:jc w:val="center"/>
        <w:rPr>
          <w:rFonts w:hint="eastAsia" w:asciiTheme="minorEastAsia" w:hAnsiTheme="minorEastAsia" w:cstheme="minorEastAsia"/>
          <w:b/>
          <w:bCs/>
          <w:sz w:val="72"/>
          <w:szCs w:val="144"/>
        </w:rPr>
      </w:pPr>
      <w:r>
        <w:rPr>
          <w:rFonts w:hint="eastAsia" w:asciiTheme="minorEastAsia" w:hAnsiTheme="minorEastAsia" w:cstheme="minorEastAsia"/>
          <w:b/>
          <w:bCs/>
          <w:sz w:val="72"/>
          <w:szCs w:val="144"/>
        </w:rPr>
        <w:t>合肥学院各学院202</w:t>
      </w:r>
      <w:r>
        <w:rPr>
          <w:rFonts w:hint="eastAsia" w:asciiTheme="minorEastAsia" w:hAnsiTheme="minorEastAsia" w:cstheme="minorEastAsia"/>
          <w:b/>
          <w:bCs/>
          <w:sz w:val="72"/>
          <w:szCs w:val="144"/>
          <w:lang w:val="en-US" w:eastAsia="zh-CN"/>
        </w:rPr>
        <w:t>2</w:t>
      </w:r>
      <w:r>
        <w:rPr>
          <w:rFonts w:hint="eastAsia" w:asciiTheme="minorEastAsia" w:hAnsiTheme="minorEastAsia" w:cstheme="minorEastAsia"/>
          <w:b/>
          <w:bCs/>
          <w:sz w:val="72"/>
          <w:szCs w:val="144"/>
        </w:rPr>
        <w:t>年</w:t>
      </w:r>
    </w:p>
    <w:p>
      <w:pPr>
        <w:snapToGrid w:val="0"/>
        <w:spacing w:line="360" w:lineRule="auto"/>
        <w:jc w:val="center"/>
        <w:rPr>
          <w:rFonts w:hint="eastAsia" w:asciiTheme="minorEastAsia" w:hAnsiTheme="minorEastAsia" w:cstheme="minorEastAsia"/>
          <w:b/>
          <w:bCs/>
          <w:sz w:val="56"/>
          <w:szCs w:val="96"/>
        </w:rPr>
      </w:pPr>
      <w:r>
        <w:rPr>
          <w:rFonts w:hint="eastAsia" w:asciiTheme="minorEastAsia" w:hAnsiTheme="minorEastAsia" w:cstheme="minorEastAsia"/>
          <w:b/>
          <w:bCs/>
          <w:sz w:val="72"/>
          <w:szCs w:val="144"/>
        </w:rPr>
        <w:t>就业评估自查报告</w:t>
      </w:r>
    </w:p>
    <w:p>
      <w:pPr>
        <w:jc w:val="center"/>
        <w:rPr>
          <w:rFonts w:hint="eastAsia" w:asciiTheme="minorEastAsia" w:hAnsiTheme="minorEastAsia" w:cstheme="minorEastAsia"/>
          <w:b/>
          <w:bCs/>
          <w:sz w:val="56"/>
          <w:szCs w:val="96"/>
        </w:rPr>
      </w:pPr>
    </w:p>
    <w:p>
      <w:pPr>
        <w:jc w:val="center"/>
        <w:rPr>
          <w:rFonts w:hint="eastAsia" w:asciiTheme="minorEastAsia" w:hAnsiTheme="minorEastAsia" w:cstheme="minorEastAsia"/>
          <w:b/>
          <w:bCs/>
          <w:sz w:val="56"/>
          <w:szCs w:val="96"/>
        </w:rPr>
      </w:pPr>
    </w:p>
    <w:p>
      <w:pPr>
        <w:jc w:val="center"/>
        <w:rPr>
          <w:rFonts w:hint="eastAsia" w:asciiTheme="minorEastAsia" w:hAnsiTheme="minorEastAsia" w:cstheme="minorEastAsia"/>
          <w:b/>
          <w:bCs/>
          <w:sz w:val="56"/>
          <w:szCs w:val="96"/>
        </w:rPr>
      </w:pPr>
    </w:p>
    <w:p>
      <w:pPr>
        <w:jc w:val="center"/>
        <w:rPr>
          <w:rFonts w:hint="eastAsia" w:asciiTheme="minorEastAsia" w:hAnsiTheme="minorEastAsia" w:cstheme="minorEastAsia"/>
          <w:b/>
          <w:bCs/>
          <w:sz w:val="56"/>
          <w:szCs w:val="96"/>
        </w:rPr>
      </w:pPr>
    </w:p>
    <w:p>
      <w:pPr>
        <w:jc w:val="center"/>
        <w:rPr>
          <w:rFonts w:hint="eastAsia" w:asciiTheme="minorEastAsia" w:hAnsiTheme="minorEastAsia" w:cstheme="minorEastAsia"/>
          <w:b/>
          <w:bCs/>
          <w:sz w:val="56"/>
          <w:szCs w:val="96"/>
        </w:rPr>
      </w:pPr>
    </w:p>
    <w:p>
      <w:pPr>
        <w:jc w:val="center"/>
        <w:rPr>
          <w:rFonts w:hint="eastAsia" w:asciiTheme="minorEastAsia" w:hAnsiTheme="minorEastAsia" w:cstheme="minorEastAsia"/>
          <w:b/>
          <w:bCs/>
          <w:sz w:val="56"/>
          <w:szCs w:val="96"/>
        </w:rPr>
      </w:pPr>
    </w:p>
    <w:p>
      <w:pPr>
        <w:jc w:val="center"/>
        <w:rPr>
          <w:rFonts w:hint="eastAsia" w:asciiTheme="minorEastAsia" w:hAnsiTheme="minorEastAsia" w:cstheme="minorEastAsia"/>
          <w:b/>
          <w:bCs/>
          <w:sz w:val="56"/>
          <w:szCs w:val="96"/>
        </w:rPr>
      </w:pPr>
    </w:p>
    <w:p>
      <w:pPr>
        <w:snapToGrid w:val="0"/>
        <w:spacing w:line="360" w:lineRule="auto"/>
        <w:jc w:val="center"/>
        <w:rPr>
          <w:rFonts w:hint="eastAsia" w:asciiTheme="minorEastAsia" w:hAnsiTheme="minorEastAsia" w:cstheme="minorEastAsia"/>
          <w:b/>
          <w:bCs/>
          <w:sz w:val="56"/>
          <w:szCs w:val="96"/>
        </w:rPr>
      </w:pPr>
      <w:r>
        <w:rPr>
          <w:rFonts w:hint="eastAsia" w:asciiTheme="minorEastAsia" w:hAnsiTheme="minorEastAsia" w:cstheme="minorEastAsia"/>
          <w:b/>
          <w:bCs/>
          <w:sz w:val="56"/>
          <w:szCs w:val="96"/>
        </w:rPr>
        <w:t>合肥学院就业工作领导委员会</w:t>
      </w:r>
    </w:p>
    <w:p>
      <w:pPr>
        <w:snapToGrid w:val="0"/>
        <w:spacing w:line="360" w:lineRule="auto"/>
        <w:jc w:val="center"/>
        <w:rPr>
          <w:rFonts w:hint="eastAsia" w:asciiTheme="minorEastAsia" w:hAnsiTheme="minorEastAsia" w:cstheme="minorEastAsia"/>
          <w:b/>
          <w:bCs/>
          <w:sz w:val="56"/>
          <w:szCs w:val="96"/>
        </w:rPr>
      </w:pPr>
      <w:r>
        <w:rPr>
          <w:rFonts w:hint="eastAsia" w:asciiTheme="minorEastAsia" w:hAnsiTheme="minorEastAsia" w:cstheme="minorEastAsia"/>
          <w:b/>
          <w:bCs/>
          <w:sz w:val="56"/>
          <w:szCs w:val="96"/>
        </w:rPr>
        <w:t>二零二</w:t>
      </w:r>
      <w:r>
        <w:rPr>
          <w:rFonts w:hint="eastAsia" w:asciiTheme="minorEastAsia" w:hAnsiTheme="minorEastAsia" w:cstheme="minorEastAsia"/>
          <w:b/>
          <w:bCs/>
          <w:sz w:val="56"/>
          <w:szCs w:val="96"/>
          <w:lang w:val="en-US" w:eastAsia="zh-CN"/>
        </w:rPr>
        <w:t>二</w:t>
      </w:r>
      <w:r>
        <w:rPr>
          <w:rFonts w:hint="eastAsia" w:asciiTheme="minorEastAsia" w:hAnsiTheme="minorEastAsia" w:cstheme="minorEastAsia"/>
          <w:b/>
          <w:bCs/>
          <w:sz w:val="56"/>
          <w:szCs w:val="96"/>
        </w:rPr>
        <w:t>年十一月</w:t>
      </w:r>
    </w:p>
    <w:bookmarkEnd w:id="0"/>
    <w:p>
      <w:pPr>
        <w:widowControl/>
        <w:jc w:val="left"/>
        <w:sectPr>
          <w:headerReference r:id="rId6" w:type="first"/>
          <w:footerReference r:id="rId9" w:type="first"/>
          <w:headerReference r:id="rId4" w:type="default"/>
          <w:footerReference r:id="rId7" w:type="default"/>
          <w:headerReference r:id="rId5" w:type="even"/>
          <w:footerReference r:id="rId8" w:type="even"/>
          <w:pgSz w:w="11906" w:h="16838"/>
          <w:pgMar w:top="1440" w:right="1800" w:bottom="1440" w:left="1800" w:header="851" w:footer="992" w:gutter="0"/>
          <w:cols w:space="720" w:num="1"/>
          <w:docGrid w:type="lines" w:linePitch="312" w:charSpace="0"/>
        </w:sectPr>
      </w:pPr>
    </w:p>
    <w:p>
      <w:pPr>
        <w:pStyle w:val="9"/>
        <w:rPr>
          <w:rFonts w:hint="eastAsia"/>
        </w:rPr>
      </w:pPr>
      <w:r>
        <w:rPr>
          <w:rFonts w:hint="eastAsia"/>
        </w:rPr>
        <w:t>目  录</w:t>
      </w:r>
    </w:p>
    <w:p>
      <w:pPr>
        <w:pStyle w:val="9"/>
        <w:jc w:val="both"/>
        <w:rPr>
          <w:rStyle w:val="38"/>
          <w:rFonts w:hint="eastAsia" w:asciiTheme="minorEastAsia" w:hAnsiTheme="minorEastAsia" w:eastAsiaTheme="minorEastAsia"/>
          <w:b w:val="0"/>
          <w:bCs w:val="0"/>
        </w:rPr>
      </w:pPr>
      <w:r>
        <w:rPr>
          <w:rFonts w:hint="eastAsia"/>
        </w:rPr>
        <w:fldChar w:fldCharType="begin"/>
      </w:r>
      <w:r>
        <w:rPr>
          <w:rFonts w:hint="eastAsia"/>
        </w:rPr>
        <w:instrText xml:space="preserve"> TOC \o "1-2" \h \z \u </w:instrText>
      </w:r>
      <w:r>
        <w:fldChar w:fldCharType="separate"/>
      </w:r>
    </w:p>
    <w:p>
      <w:pPr>
        <w:pStyle w:val="9"/>
        <w:jc w:val="both"/>
        <w:rPr>
          <w:rStyle w:val="38"/>
          <w:rFonts w:hint="eastAsia" w:asciiTheme="minorEastAsia" w:hAnsiTheme="minorEastAsia" w:eastAsiaTheme="minorEastAsia"/>
          <w:b w:val="0"/>
          <w:bCs w:val="0"/>
        </w:rPr>
      </w:pPr>
      <w:r>
        <w:fldChar w:fldCharType="begin"/>
      </w:r>
      <w:r>
        <w:instrText xml:space="preserve"> HYPERLINK "file:///C:\\Users\\DELL\\Desktop\\各学院2021届毕业生就业评估资料汇总\\合肥学院各学院2021年就业工作总结.docx" \l "_Toc48032815" </w:instrText>
      </w:r>
      <w:r>
        <w:fldChar w:fldCharType="separate"/>
      </w:r>
      <w:r>
        <w:rPr>
          <w:rFonts w:hint="eastAsia" w:ascii="宋体" w:hAnsi="宋体" w:eastAsia="宋体" w:cs="宋体"/>
          <w:b w:val="0"/>
          <w:bCs w:val="0"/>
          <w:sz w:val="32"/>
          <w:szCs w:val="32"/>
          <w:lang w:val="en-US" w:eastAsia="zh-CN"/>
        </w:rPr>
        <w:t>1</w:t>
      </w:r>
      <w:r>
        <w:rPr>
          <w:rStyle w:val="38"/>
          <w:rFonts w:hint="eastAsia" w:asciiTheme="minorEastAsia" w:hAnsiTheme="minorEastAsia" w:eastAsiaTheme="minorEastAsia"/>
          <w:b w:val="0"/>
          <w:bCs w:val="0"/>
        </w:rPr>
        <w:t>、先进制造工程学院202</w:t>
      </w:r>
      <w:r>
        <w:rPr>
          <w:rStyle w:val="38"/>
          <w:rFonts w:hint="eastAsia" w:asciiTheme="minorEastAsia" w:hAnsiTheme="minorEastAsia" w:eastAsiaTheme="minorEastAsia"/>
          <w:b w:val="0"/>
          <w:bCs w:val="0"/>
          <w:lang w:eastAsia="zh-CN"/>
        </w:rPr>
        <w:t>2</w:t>
      </w:r>
      <w:r>
        <w:rPr>
          <w:rStyle w:val="38"/>
          <w:rFonts w:hint="eastAsia" w:asciiTheme="minorEastAsia" w:hAnsiTheme="minorEastAsia" w:eastAsiaTheme="minorEastAsia"/>
          <w:b w:val="0"/>
          <w:bCs w:val="0"/>
        </w:rPr>
        <w:t>年就业评估自查报告………</w:t>
      </w:r>
      <w:r>
        <w:rPr>
          <w:rStyle w:val="38"/>
          <w:rFonts w:hint="eastAsia"/>
          <w:b w:val="0"/>
          <w:bCs w:val="0"/>
        </w:rPr>
        <w:t>…</w:t>
      </w:r>
      <w:r>
        <w:rPr>
          <w:rStyle w:val="38"/>
          <w:rFonts w:hint="eastAsia" w:asciiTheme="minorEastAsia" w:hAnsiTheme="minorEastAsia" w:eastAsiaTheme="minorEastAsia"/>
          <w:b w:val="0"/>
          <w:bCs w:val="0"/>
        </w:rPr>
        <w:t>03</w:t>
      </w:r>
      <w:r>
        <w:rPr>
          <w:rStyle w:val="38"/>
          <w:rFonts w:hint="eastAsia" w:asciiTheme="minorEastAsia" w:hAnsiTheme="minorEastAsia" w:eastAsiaTheme="minorEastAsia"/>
          <w:b w:val="0"/>
          <w:bCs w:val="0"/>
        </w:rPr>
        <w:fldChar w:fldCharType="end"/>
      </w:r>
    </w:p>
    <w:p>
      <w:pPr>
        <w:pStyle w:val="9"/>
        <w:jc w:val="both"/>
        <w:rPr>
          <w:rFonts w:hint="eastAsia"/>
        </w:rPr>
      </w:pPr>
      <w:r>
        <w:fldChar w:fldCharType="begin"/>
      </w:r>
      <w:r>
        <w:instrText xml:space="preserve"> HYPERLINK "file:///C:\\Users\\DELL\\Desktop\\各学院2021届毕业生就业评估资料汇总\\合肥学院各学院2021年就业工作总结.docx" \l "_Toc48032815" </w:instrText>
      </w:r>
      <w:r>
        <w:fldChar w:fldCharType="separate"/>
      </w:r>
      <w:r>
        <w:rPr>
          <w:rStyle w:val="38"/>
          <w:rFonts w:hint="eastAsia" w:asciiTheme="minorEastAsia" w:hAnsiTheme="minorEastAsia" w:eastAsiaTheme="minorEastAsia"/>
          <w:b w:val="0"/>
          <w:bCs w:val="0"/>
        </w:rPr>
        <w:t>2、人工智能与大数据学院202</w:t>
      </w:r>
      <w:r>
        <w:rPr>
          <w:rStyle w:val="38"/>
          <w:rFonts w:hint="eastAsia" w:asciiTheme="minorEastAsia" w:hAnsiTheme="minorEastAsia" w:eastAsiaTheme="minorEastAsia"/>
          <w:b w:val="0"/>
          <w:bCs w:val="0"/>
          <w:lang w:eastAsia="zh-CN"/>
        </w:rPr>
        <w:t>2</w:t>
      </w:r>
      <w:r>
        <w:rPr>
          <w:rStyle w:val="38"/>
          <w:rFonts w:hint="eastAsia" w:asciiTheme="minorEastAsia" w:hAnsiTheme="minorEastAsia" w:eastAsiaTheme="minorEastAsia"/>
          <w:b w:val="0"/>
          <w:bCs w:val="0"/>
        </w:rPr>
        <w:t>年就业评估自查报告</w:t>
      </w:r>
      <w:r>
        <w:rPr>
          <w:rStyle w:val="38"/>
          <w:rFonts w:hint="eastAsia"/>
          <w:b w:val="0"/>
          <w:bCs w:val="0"/>
        </w:rPr>
        <w:t>……</w:t>
      </w:r>
      <w:r>
        <w:rPr>
          <w:rStyle w:val="38"/>
          <w:rFonts w:hint="eastAsia" w:asciiTheme="minorEastAsia" w:hAnsiTheme="minorEastAsia" w:eastAsiaTheme="minorEastAsia"/>
          <w:b w:val="0"/>
          <w:bCs w:val="0"/>
          <w:lang w:eastAsia="zh-CN"/>
        </w:rPr>
        <w:t>2</w:t>
      </w:r>
      <w:r>
        <w:rPr>
          <w:rStyle w:val="38"/>
          <w:rFonts w:asciiTheme="minorEastAsia" w:hAnsiTheme="minorEastAsia" w:eastAsiaTheme="minorEastAsia"/>
          <w:b w:val="0"/>
          <w:bCs w:val="0"/>
        </w:rPr>
        <w:t>4</w:t>
      </w:r>
      <w:r>
        <w:rPr>
          <w:rStyle w:val="38"/>
          <w:rFonts w:asciiTheme="minorEastAsia" w:hAnsiTheme="minorEastAsia" w:eastAsiaTheme="minorEastAsia"/>
          <w:b w:val="0"/>
          <w:bCs w:val="0"/>
        </w:rPr>
        <w:fldChar w:fldCharType="end"/>
      </w:r>
    </w:p>
    <w:p>
      <w:pPr>
        <w:pStyle w:val="9"/>
        <w:jc w:val="both"/>
        <w:rPr>
          <w:rStyle w:val="38"/>
          <w:rFonts w:hint="eastAsia" w:asciiTheme="minorEastAsia" w:hAnsiTheme="minorEastAsia" w:eastAsiaTheme="minorEastAsia"/>
          <w:b w:val="0"/>
          <w:bCs w:val="0"/>
        </w:rPr>
      </w:pPr>
      <w:r>
        <w:fldChar w:fldCharType="begin"/>
      </w:r>
      <w:r>
        <w:instrText xml:space="preserve"> HYPERLINK "file:///C:\\Users\\DELL\\Desktop\\各学院2021届毕业生就业评估资料汇总\\合肥学院各学院2021年就业工作总结.docx" \l "_Toc48032815" </w:instrText>
      </w:r>
      <w:r>
        <w:fldChar w:fldCharType="separate"/>
      </w:r>
      <w:r>
        <w:rPr>
          <w:rStyle w:val="38"/>
          <w:rFonts w:hint="eastAsia" w:asciiTheme="minorEastAsia" w:hAnsiTheme="minorEastAsia" w:eastAsiaTheme="minorEastAsia"/>
          <w:b w:val="0"/>
          <w:bCs w:val="0"/>
        </w:rPr>
        <w:t>3、城市建设与交通学院202</w:t>
      </w:r>
      <w:r>
        <w:rPr>
          <w:rStyle w:val="38"/>
          <w:rFonts w:hint="eastAsia" w:asciiTheme="minorEastAsia" w:hAnsiTheme="minorEastAsia" w:eastAsiaTheme="minorEastAsia"/>
          <w:b w:val="0"/>
          <w:bCs w:val="0"/>
          <w:lang w:eastAsia="zh-CN"/>
        </w:rPr>
        <w:t>2</w:t>
      </w:r>
      <w:r>
        <w:rPr>
          <w:rStyle w:val="38"/>
          <w:rFonts w:hint="eastAsia" w:asciiTheme="minorEastAsia" w:hAnsiTheme="minorEastAsia" w:eastAsiaTheme="minorEastAsia"/>
          <w:b w:val="0"/>
          <w:bCs w:val="0"/>
        </w:rPr>
        <w:t>年就业评估自查报告</w:t>
      </w:r>
      <w:r>
        <w:rPr>
          <w:rStyle w:val="19"/>
          <w:rFonts w:hint="eastAsia" w:ascii="宋体" w:hAnsi="宋体" w:eastAsia="宋体"/>
          <w:sz w:val="32"/>
          <w:szCs w:val="32"/>
        </w:rPr>
        <w:t>………</w:t>
      </w:r>
      <w:r>
        <w:rPr>
          <w:rStyle w:val="38"/>
          <w:rFonts w:asciiTheme="minorEastAsia" w:hAnsiTheme="minorEastAsia" w:eastAsiaTheme="minorEastAsia"/>
          <w:b w:val="0"/>
          <w:bCs w:val="0"/>
        </w:rPr>
        <w:t>38</w:t>
      </w:r>
      <w:r>
        <w:rPr>
          <w:rStyle w:val="38"/>
          <w:rFonts w:asciiTheme="minorEastAsia" w:hAnsiTheme="minorEastAsia" w:eastAsiaTheme="minorEastAsia"/>
          <w:b w:val="0"/>
          <w:bCs w:val="0"/>
        </w:rPr>
        <w:fldChar w:fldCharType="end"/>
      </w:r>
    </w:p>
    <w:p>
      <w:pPr>
        <w:pStyle w:val="9"/>
        <w:jc w:val="both"/>
        <w:rPr>
          <w:rStyle w:val="38"/>
          <w:rFonts w:hint="eastAsia" w:asciiTheme="minorEastAsia" w:hAnsiTheme="minorEastAsia" w:eastAsiaTheme="minorEastAsia"/>
          <w:b w:val="0"/>
          <w:bCs w:val="0"/>
        </w:rPr>
      </w:pPr>
      <w:r>
        <w:fldChar w:fldCharType="begin"/>
      </w:r>
      <w:r>
        <w:instrText xml:space="preserve"> HYPERLINK "file:///C:\\Users\\DELL\\Desktop\\各学院2021届毕业生就业评估资料汇总\\合肥学院各学院2021年就业工作总结.docx" \l "_Toc48032819" </w:instrText>
      </w:r>
      <w:r>
        <w:fldChar w:fldCharType="separate"/>
      </w:r>
      <w:r>
        <w:rPr>
          <w:rStyle w:val="38"/>
          <w:rFonts w:hint="eastAsia" w:asciiTheme="minorEastAsia" w:hAnsiTheme="minorEastAsia" w:eastAsiaTheme="minorEastAsia"/>
          <w:b w:val="0"/>
          <w:bCs w:val="0"/>
        </w:rPr>
        <w:t>4、生物食品与环境学院202</w:t>
      </w:r>
      <w:r>
        <w:rPr>
          <w:rStyle w:val="38"/>
          <w:rFonts w:hint="eastAsia" w:asciiTheme="minorEastAsia" w:hAnsiTheme="minorEastAsia" w:eastAsiaTheme="minorEastAsia"/>
          <w:b w:val="0"/>
          <w:bCs w:val="0"/>
          <w:lang w:eastAsia="zh-CN"/>
        </w:rPr>
        <w:t>2</w:t>
      </w:r>
      <w:r>
        <w:rPr>
          <w:rStyle w:val="38"/>
          <w:rFonts w:hint="eastAsia" w:asciiTheme="minorEastAsia" w:hAnsiTheme="minorEastAsia" w:eastAsiaTheme="minorEastAsia"/>
          <w:b w:val="0"/>
          <w:bCs w:val="0"/>
        </w:rPr>
        <w:t>年就业评估自查报告</w:t>
      </w:r>
      <w:r>
        <w:rPr>
          <w:rStyle w:val="19"/>
          <w:rFonts w:hint="eastAsia" w:ascii="宋体" w:hAnsi="宋体" w:eastAsia="宋体"/>
          <w:sz w:val="32"/>
          <w:szCs w:val="32"/>
        </w:rPr>
        <w:t>………</w:t>
      </w:r>
      <w:r>
        <w:rPr>
          <w:rStyle w:val="38"/>
          <w:rFonts w:asciiTheme="minorEastAsia" w:hAnsiTheme="minorEastAsia" w:eastAsiaTheme="minorEastAsia"/>
          <w:b w:val="0"/>
          <w:bCs w:val="0"/>
        </w:rPr>
        <w:t>50</w:t>
      </w:r>
      <w:r>
        <w:rPr>
          <w:rStyle w:val="38"/>
          <w:rFonts w:asciiTheme="minorEastAsia" w:hAnsiTheme="minorEastAsia" w:eastAsiaTheme="minorEastAsia"/>
          <w:b w:val="0"/>
          <w:bCs w:val="0"/>
        </w:rPr>
        <w:fldChar w:fldCharType="end"/>
      </w:r>
    </w:p>
    <w:p>
      <w:pPr>
        <w:pStyle w:val="9"/>
        <w:jc w:val="both"/>
        <w:rPr>
          <w:rStyle w:val="38"/>
          <w:rFonts w:hint="eastAsia" w:asciiTheme="minorEastAsia" w:hAnsiTheme="minorEastAsia" w:eastAsiaTheme="minorEastAsia"/>
          <w:b w:val="0"/>
          <w:bCs w:val="0"/>
        </w:rPr>
      </w:pPr>
      <w:r>
        <w:fldChar w:fldCharType="begin"/>
      </w:r>
      <w:r>
        <w:instrText xml:space="preserve"> HYPERLINK "file:///C:\\Users\\DELL\\Desktop\\各学院2021届毕业生就业评估资料汇总\\合肥学院各学院2021年就业工作总结.docx" \l "_Toc48032823" </w:instrText>
      </w:r>
      <w:r>
        <w:fldChar w:fldCharType="separate"/>
      </w:r>
      <w:r>
        <w:rPr>
          <w:rStyle w:val="38"/>
          <w:rFonts w:hint="eastAsia" w:asciiTheme="minorEastAsia" w:hAnsiTheme="minorEastAsia" w:eastAsiaTheme="minorEastAsia"/>
          <w:b w:val="0"/>
          <w:bCs w:val="0"/>
        </w:rPr>
        <w:t>5、能源材料与化工学院202</w:t>
      </w:r>
      <w:r>
        <w:rPr>
          <w:rStyle w:val="38"/>
          <w:rFonts w:hint="eastAsia" w:asciiTheme="minorEastAsia" w:hAnsiTheme="minorEastAsia" w:eastAsiaTheme="minorEastAsia"/>
          <w:b w:val="0"/>
          <w:bCs w:val="0"/>
          <w:lang w:eastAsia="zh-CN"/>
        </w:rPr>
        <w:t>2</w:t>
      </w:r>
      <w:r>
        <w:rPr>
          <w:rStyle w:val="38"/>
          <w:rFonts w:hint="eastAsia" w:asciiTheme="minorEastAsia" w:hAnsiTheme="minorEastAsia" w:eastAsiaTheme="minorEastAsia"/>
          <w:b w:val="0"/>
          <w:bCs w:val="0"/>
        </w:rPr>
        <w:t>年就业评估自查报告……</w:t>
      </w:r>
      <w:r>
        <w:rPr>
          <w:rStyle w:val="19"/>
          <w:rFonts w:hint="eastAsia" w:ascii="宋体" w:hAnsi="宋体" w:eastAsia="宋体"/>
          <w:sz w:val="32"/>
          <w:szCs w:val="32"/>
        </w:rPr>
        <w:t>…</w:t>
      </w:r>
      <w:r>
        <w:rPr>
          <w:rStyle w:val="38"/>
          <w:rFonts w:asciiTheme="minorEastAsia" w:hAnsiTheme="minorEastAsia" w:eastAsiaTheme="minorEastAsia"/>
          <w:b w:val="0"/>
          <w:bCs w:val="0"/>
        </w:rPr>
        <w:t>72</w:t>
      </w:r>
      <w:r>
        <w:rPr>
          <w:rStyle w:val="38"/>
          <w:rFonts w:asciiTheme="minorEastAsia" w:hAnsiTheme="minorEastAsia" w:eastAsiaTheme="minorEastAsia"/>
          <w:b w:val="0"/>
          <w:bCs w:val="0"/>
        </w:rPr>
        <w:fldChar w:fldCharType="end"/>
      </w:r>
    </w:p>
    <w:p>
      <w:pPr>
        <w:pStyle w:val="9"/>
        <w:jc w:val="both"/>
        <w:rPr>
          <w:rFonts w:hint="eastAsia"/>
        </w:rPr>
      </w:pPr>
      <w:r>
        <w:fldChar w:fldCharType="begin"/>
      </w:r>
      <w:r>
        <w:instrText xml:space="preserve"> HYPERLINK "file:///C:\\Users\\DELL\\Desktop\\各学院2021届毕业生就业评估资料汇总\\合肥学院各学院2021年就业工作总结.docx" \l "_Toc48032827" </w:instrText>
      </w:r>
      <w:r>
        <w:fldChar w:fldCharType="separate"/>
      </w:r>
      <w:r>
        <w:rPr>
          <w:rStyle w:val="38"/>
          <w:rFonts w:hint="eastAsia" w:asciiTheme="minorEastAsia" w:hAnsiTheme="minorEastAsia" w:eastAsiaTheme="minorEastAsia"/>
          <w:b w:val="0"/>
          <w:bCs w:val="0"/>
        </w:rPr>
        <w:t>6、设计学院202</w:t>
      </w:r>
      <w:r>
        <w:rPr>
          <w:rStyle w:val="38"/>
          <w:rFonts w:hint="eastAsia" w:asciiTheme="minorEastAsia" w:hAnsiTheme="minorEastAsia" w:eastAsiaTheme="minorEastAsia"/>
          <w:b w:val="0"/>
          <w:bCs w:val="0"/>
          <w:lang w:eastAsia="zh-CN"/>
        </w:rPr>
        <w:t>2</w:t>
      </w:r>
      <w:r>
        <w:rPr>
          <w:rStyle w:val="38"/>
          <w:rFonts w:hint="eastAsia" w:asciiTheme="minorEastAsia" w:hAnsiTheme="minorEastAsia" w:eastAsiaTheme="minorEastAsia"/>
          <w:b w:val="0"/>
          <w:bCs w:val="0"/>
        </w:rPr>
        <w:t>年就业评估自查报告</w:t>
      </w:r>
      <w:r>
        <w:rPr>
          <w:rStyle w:val="19"/>
          <w:rFonts w:hint="eastAsia" w:ascii="宋体" w:hAnsi="宋体" w:eastAsia="宋体"/>
          <w:sz w:val="32"/>
          <w:szCs w:val="32"/>
        </w:rPr>
        <w:t>……………………</w:t>
      </w:r>
      <w:r>
        <w:rPr>
          <w:rStyle w:val="38"/>
          <w:rFonts w:asciiTheme="minorEastAsia" w:hAnsiTheme="minorEastAsia" w:eastAsiaTheme="minorEastAsia"/>
          <w:b w:val="0"/>
          <w:bCs w:val="0"/>
        </w:rPr>
        <w:t>85</w:t>
      </w:r>
      <w:r>
        <w:rPr>
          <w:rStyle w:val="38"/>
          <w:rFonts w:asciiTheme="minorEastAsia" w:hAnsiTheme="minorEastAsia" w:eastAsiaTheme="minorEastAsia"/>
          <w:b w:val="0"/>
          <w:bCs w:val="0"/>
        </w:rPr>
        <w:fldChar w:fldCharType="end"/>
      </w:r>
    </w:p>
    <w:p>
      <w:pPr>
        <w:pStyle w:val="9"/>
        <w:jc w:val="both"/>
        <w:rPr>
          <w:rStyle w:val="38"/>
          <w:rFonts w:hint="eastAsia" w:asciiTheme="minorEastAsia" w:hAnsiTheme="minorEastAsia" w:eastAsiaTheme="minorEastAsia"/>
          <w:b w:val="0"/>
          <w:bCs w:val="0"/>
        </w:rPr>
      </w:pPr>
      <w:r>
        <w:fldChar w:fldCharType="begin"/>
      </w:r>
      <w:r>
        <w:instrText xml:space="preserve"> HYPERLINK "file:///C:\\Users\\DELL\\Desktop\\各学院2021届毕业生就业评估资料汇总\\合肥学院各学院2021年就业工作总结.docx" \l "_Toc48032831" </w:instrText>
      </w:r>
      <w:r>
        <w:fldChar w:fldCharType="separate"/>
      </w:r>
      <w:r>
        <w:rPr>
          <w:rStyle w:val="38"/>
          <w:rFonts w:hint="eastAsia" w:asciiTheme="minorEastAsia" w:hAnsiTheme="minorEastAsia" w:eastAsiaTheme="minorEastAsia"/>
          <w:b w:val="0"/>
          <w:bCs w:val="0"/>
        </w:rPr>
        <w:t>7、经济与管理学院202</w:t>
      </w:r>
      <w:r>
        <w:rPr>
          <w:rStyle w:val="38"/>
          <w:rFonts w:hint="eastAsia" w:asciiTheme="minorEastAsia" w:hAnsiTheme="minorEastAsia" w:eastAsiaTheme="minorEastAsia"/>
          <w:b w:val="0"/>
          <w:bCs w:val="0"/>
          <w:lang w:eastAsia="zh-CN"/>
        </w:rPr>
        <w:t>2</w:t>
      </w:r>
      <w:r>
        <w:rPr>
          <w:rStyle w:val="38"/>
          <w:rFonts w:hint="eastAsia" w:asciiTheme="minorEastAsia" w:hAnsiTheme="minorEastAsia" w:eastAsiaTheme="minorEastAsia"/>
          <w:b w:val="0"/>
          <w:bCs w:val="0"/>
        </w:rPr>
        <w:t>年就业评估自查报告</w:t>
      </w:r>
      <w:r>
        <w:rPr>
          <w:rStyle w:val="19"/>
          <w:rFonts w:hint="eastAsia" w:ascii="宋体" w:hAnsi="宋体" w:eastAsia="宋体"/>
          <w:sz w:val="32"/>
          <w:szCs w:val="32"/>
        </w:rPr>
        <w:t>……………</w:t>
      </w:r>
      <w:r>
        <w:rPr>
          <w:rStyle w:val="38"/>
          <w:rFonts w:hint="eastAsia" w:asciiTheme="minorEastAsia" w:hAnsiTheme="minorEastAsia" w:eastAsiaTheme="minorEastAsia"/>
          <w:b w:val="0"/>
          <w:bCs w:val="0"/>
          <w:lang w:eastAsia="zh-CN"/>
        </w:rPr>
        <w:t>2</w:t>
      </w:r>
      <w:r>
        <w:rPr>
          <w:rStyle w:val="38"/>
          <w:rFonts w:asciiTheme="minorEastAsia" w:hAnsiTheme="minorEastAsia" w:eastAsiaTheme="minorEastAsia"/>
          <w:b w:val="0"/>
          <w:bCs w:val="0"/>
        </w:rPr>
        <w:t>07</w:t>
      </w:r>
      <w:r>
        <w:rPr>
          <w:rStyle w:val="38"/>
          <w:rFonts w:asciiTheme="minorEastAsia" w:hAnsiTheme="minorEastAsia" w:eastAsiaTheme="minorEastAsia"/>
          <w:b w:val="0"/>
          <w:bCs w:val="0"/>
        </w:rPr>
        <w:fldChar w:fldCharType="end"/>
      </w:r>
    </w:p>
    <w:p>
      <w:pPr>
        <w:pStyle w:val="9"/>
        <w:jc w:val="both"/>
        <w:rPr>
          <w:rStyle w:val="38"/>
          <w:rFonts w:hint="eastAsia" w:asciiTheme="minorEastAsia" w:hAnsiTheme="minorEastAsia" w:eastAsiaTheme="minorEastAsia"/>
          <w:b w:val="0"/>
          <w:bCs w:val="0"/>
        </w:rPr>
      </w:pPr>
      <w:r>
        <w:fldChar w:fldCharType="begin"/>
      </w:r>
      <w:r>
        <w:instrText xml:space="preserve"> HYPERLINK "file:///C:\\Users\\DELL\\Desktop\\各学院2021届毕业生就业评估资料汇总\\合肥学院各学院2021年就业工作总结.docx" \l "_Toc48032837" </w:instrText>
      </w:r>
      <w:r>
        <w:fldChar w:fldCharType="separate"/>
      </w:r>
      <w:r>
        <w:rPr>
          <w:rStyle w:val="38"/>
          <w:rFonts w:hint="eastAsia" w:asciiTheme="minorEastAsia" w:hAnsiTheme="minorEastAsia" w:eastAsiaTheme="minorEastAsia"/>
          <w:b w:val="0"/>
          <w:bCs w:val="0"/>
        </w:rPr>
        <w:t>8、语言文化与传媒学院202</w:t>
      </w:r>
      <w:r>
        <w:rPr>
          <w:rStyle w:val="38"/>
          <w:rFonts w:hint="eastAsia" w:asciiTheme="minorEastAsia" w:hAnsiTheme="minorEastAsia" w:eastAsiaTheme="minorEastAsia"/>
          <w:b w:val="0"/>
          <w:bCs w:val="0"/>
          <w:lang w:eastAsia="zh-CN"/>
        </w:rPr>
        <w:t>2</w:t>
      </w:r>
      <w:r>
        <w:rPr>
          <w:rStyle w:val="38"/>
          <w:rFonts w:hint="eastAsia" w:asciiTheme="minorEastAsia" w:hAnsiTheme="minorEastAsia" w:eastAsiaTheme="minorEastAsia"/>
          <w:b w:val="0"/>
          <w:bCs w:val="0"/>
        </w:rPr>
        <w:t>年就业评估自查报告</w:t>
      </w:r>
      <w:r>
        <w:rPr>
          <w:rStyle w:val="19"/>
          <w:rFonts w:hint="eastAsia" w:ascii="宋体" w:hAnsi="宋体" w:eastAsia="宋体"/>
          <w:sz w:val="32"/>
          <w:szCs w:val="32"/>
        </w:rPr>
        <w:t>………</w:t>
      </w:r>
      <w:r>
        <w:rPr>
          <w:rStyle w:val="38"/>
          <w:rFonts w:hint="eastAsia" w:asciiTheme="minorEastAsia" w:hAnsiTheme="minorEastAsia" w:eastAsiaTheme="minorEastAsia"/>
          <w:b w:val="0"/>
          <w:bCs w:val="0"/>
          <w:lang w:eastAsia="zh-CN"/>
        </w:rPr>
        <w:t>2</w:t>
      </w:r>
      <w:r>
        <w:rPr>
          <w:rStyle w:val="38"/>
          <w:rFonts w:asciiTheme="minorEastAsia" w:hAnsiTheme="minorEastAsia" w:eastAsiaTheme="minorEastAsia"/>
          <w:b w:val="0"/>
          <w:bCs w:val="0"/>
        </w:rPr>
        <w:t>34</w:t>
      </w:r>
      <w:r>
        <w:rPr>
          <w:rStyle w:val="38"/>
          <w:rFonts w:asciiTheme="minorEastAsia" w:hAnsiTheme="minorEastAsia" w:eastAsiaTheme="minorEastAsia"/>
          <w:b w:val="0"/>
          <w:bCs w:val="0"/>
        </w:rPr>
        <w:fldChar w:fldCharType="end"/>
      </w:r>
    </w:p>
    <w:p>
      <w:pPr>
        <w:pStyle w:val="9"/>
        <w:jc w:val="both"/>
      </w:pPr>
      <w:r>
        <w:fldChar w:fldCharType="begin"/>
      </w:r>
      <w:r>
        <w:instrText xml:space="preserve"> HYPERLINK "file:///C:\\Users\\DELL\\Desktop\\各学院2021届毕业生就业评估资料汇总\\合肥学院各学院2021年就业工作总结.docx" \l "_Toc48032837" </w:instrText>
      </w:r>
      <w:r>
        <w:fldChar w:fldCharType="separate"/>
      </w:r>
      <w:r>
        <w:rPr>
          <w:rStyle w:val="38"/>
          <w:rFonts w:hint="eastAsia" w:asciiTheme="minorEastAsia" w:hAnsiTheme="minorEastAsia" w:eastAsiaTheme="minorEastAsia"/>
          <w:b w:val="0"/>
          <w:bCs w:val="0"/>
        </w:rPr>
        <w:t>9、教育学院202</w:t>
      </w:r>
      <w:r>
        <w:rPr>
          <w:rStyle w:val="38"/>
          <w:rFonts w:hint="eastAsia" w:asciiTheme="minorEastAsia" w:hAnsiTheme="minorEastAsia" w:eastAsiaTheme="minorEastAsia"/>
          <w:b w:val="0"/>
          <w:bCs w:val="0"/>
          <w:lang w:eastAsia="zh-CN"/>
        </w:rPr>
        <w:t>2</w:t>
      </w:r>
      <w:r>
        <w:rPr>
          <w:rStyle w:val="38"/>
          <w:rFonts w:hint="eastAsia" w:asciiTheme="minorEastAsia" w:hAnsiTheme="minorEastAsia" w:eastAsiaTheme="minorEastAsia"/>
          <w:b w:val="0"/>
          <w:bCs w:val="0"/>
        </w:rPr>
        <w:t>年就业评估自查报告……………………</w:t>
      </w:r>
      <w:r>
        <w:rPr>
          <w:rStyle w:val="38"/>
          <w:rFonts w:hint="eastAsia" w:asciiTheme="minorEastAsia" w:hAnsiTheme="minorEastAsia" w:eastAsiaTheme="minorEastAsia"/>
          <w:b w:val="0"/>
          <w:bCs w:val="0"/>
          <w:lang w:eastAsia="zh-CN"/>
        </w:rPr>
        <w:t>2</w:t>
      </w:r>
      <w:r>
        <w:rPr>
          <w:rStyle w:val="38"/>
          <w:rFonts w:asciiTheme="minorEastAsia" w:hAnsiTheme="minorEastAsia" w:eastAsiaTheme="minorEastAsia"/>
          <w:b w:val="0"/>
          <w:bCs w:val="0"/>
        </w:rPr>
        <w:t>49</w:t>
      </w:r>
      <w:r>
        <w:rPr>
          <w:rStyle w:val="38"/>
          <w:rFonts w:asciiTheme="minorEastAsia" w:hAnsiTheme="minorEastAsia" w:eastAsiaTheme="minorEastAsia"/>
          <w:b w:val="0"/>
          <w:bCs w:val="0"/>
        </w:rPr>
        <w:fldChar w:fldCharType="end"/>
      </w:r>
    </w:p>
    <w:p>
      <w:pPr>
        <w:pStyle w:val="9"/>
        <w:ind w:left="402" w:hanging="402" w:hangingChars="100"/>
        <w:jc w:val="both"/>
        <w:rPr>
          <w:rFonts w:ascii="宋体" w:hAnsi="宋体" w:eastAsia="宋体"/>
        </w:rPr>
      </w:pPr>
      <w:r>
        <w:fldChar w:fldCharType="begin"/>
      </w:r>
      <w:r>
        <w:instrText xml:space="preserve"> HYPERLINK "file:///C:\\Users\\DELL\\Desktop\\各学院2021届毕业生就业评估资料汇总\\合肥学院各学院2021年就业工作总结.docx" \l "_Toc48032837" </w:instrText>
      </w:r>
      <w:r>
        <w:fldChar w:fldCharType="separate"/>
      </w:r>
      <w:r>
        <w:rPr>
          <w:rStyle w:val="38"/>
          <w:rFonts w:hint="eastAsia" w:asciiTheme="minorEastAsia" w:hAnsiTheme="minorEastAsia" w:eastAsiaTheme="minorEastAsia"/>
          <w:b w:val="0"/>
          <w:bCs w:val="0"/>
          <w:lang w:val="en-US" w:eastAsia="zh-CN"/>
        </w:rPr>
        <w:t>1</w:t>
      </w:r>
      <w:r>
        <w:rPr>
          <w:rStyle w:val="38"/>
          <w:rFonts w:asciiTheme="minorEastAsia" w:hAnsiTheme="minorEastAsia" w:eastAsiaTheme="minorEastAsia"/>
          <w:b w:val="0"/>
          <w:bCs w:val="0"/>
        </w:rPr>
        <w:t>0</w:t>
      </w:r>
      <w:r>
        <w:rPr>
          <w:rStyle w:val="38"/>
          <w:rFonts w:hint="eastAsia" w:asciiTheme="minorEastAsia" w:hAnsiTheme="minorEastAsia" w:eastAsiaTheme="minorEastAsia"/>
          <w:b w:val="0"/>
          <w:bCs w:val="0"/>
        </w:rPr>
        <w:t>、外国语学院202</w:t>
      </w:r>
      <w:r>
        <w:rPr>
          <w:rStyle w:val="38"/>
          <w:rFonts w:hint="eastAsia" w:asciiTheme="minorEastAsia" w:hAnsiTheme="minorEastAsia" w:eastAsiaTheme="minorEastAsia"/>
          <w:b w:val="0"/>
          <w:bCs w:val="0"/>
          <w:lang w:eastAsia="zh-CN"/>
        </w:rPr>
        <w:t>2</w:t>
      </w:r>
      <w:r>
        <w:rPr>
          <w:rStyle w:val="38"/>
          <w:rFonts w:hint="eastAsia" w:asciiTheme="minorEastAsia" w:hAnsiTheme="minorEastAsia" w:eastAsiaTheme="minorEastAsia"/>
          <w:b w:val="0"/>
          <w:bCs w:val="0"/>
        </w:rPr>
        <w:t>年就业评估自查报告</w:t>
      </w:r>
      <w:r>
        <w:rPr>
          <w:rStyle w:val="38"/>
          <w:rFonts w:hint="eastAsia" w:asciiTheme="minorEastAsia" w:hAnsiTheme="minorEastAsia" w:eastAsiaTheme="minorEastAsia"/>
          <w:b w:val="0"/>
          <w:bCs w:val="0"/>
        </w:rPr>
        <w:fldChar w:fldCharType="end"/>
      </w:r>
      <w:r>
        <w:rPr>
          <w:rFonts w:hint="eastAsia" w:ascii="宋体" w:hAnsi="宋体" w:eastAsia="宋体"/>
          <w:sz w:val="32"/>
          <w:szCs w:val="32"/>
        </w:rPr>
        <w:t>………………</w:t>
      </w:r>
      <w:r>
        <w:rPr>
          <w:rFonts w:hint="eastAsia" w:ascii="宋体" w:hAnsi="宋体" w:eastAsia="宋体"/>
          <w:b w:val="0"/>
          <w:bCs w:val="0"/>
          <w:sz w:val="32"/>
          <w:szCs w:val="32"/>
          <w:lang w:eastAsia="zh-CN"/>
        </w:rPr>
        <w:t>2</w:t>
      </w:r>
      <w:r>
        <w:rPr>
          <w:rFonts w:ascii="宋体" w:hAnsi="宋体" w:eastAsia="宋体"/>
          <w:b w:val="0"/>
          <w:bCs w:val="0"/>
          <w:sz w:val="32"/>
          <w:szCs w:val="32"/>
        </w:rPr>
        <w:t>62</w:t>
      </w:r>
    </w:p>
    <w:p>
      <w:pPr>
        <w:pStyle w:val="9"/>
        <w:jc w:val="both"/>
        <w:rPr>
          <w:rStyle w:val="38"/>
          <w:rFonts w:hint="eastAsia" w:asciiTheme="minorEastAsia" w:hAnsiTheme="minorEastAsia" w:eastAsiaTheme="minorEastAsia"/>
          <w:b w:val="0"/>
          <w:bCs w:val="0"/>
        </w:rPr>
      </w:pPr>
      <w:bookmarkStart w:id="1" w:name="_Hlk88263596"/>
      <w:r>
        <w:fldChar w:fldCharType="begin"/>
      </w:r>
      <w:r>
        <w:instrText xml:space="preserve"> HYPERLINK "file:///C:\\Users\\DELL\\Desktop\\各学院2021届毕业生就业评估资料汇总\\合肥学院各学院2021年就业工作总结.docx" \l "_Toc48032831" </w:instrText>
      </w:r>
      <w:r>
        <w:fldChar w:fldCharType="separate"/>
      </w:r>
      <w:r>
        <w:rPr>
          <w:rStyle w:val="38"/>
          <w:rFonts w:hint="eastAsia" w:asciiTheme="minorEastAsia" w:hAnsiTheme="minorEastAsia" w:eastAsiaTheme="minorEastAsia"/>
          <w:b w:val="0"/>
          <w:bCs w:val="0"/>
          <w:lang w:val="en-US" w:eastAsia="zh-CN"/>
        </w:rPr>
        <w:t>11</w:t>
      </w:r>
      <w:r>
        <w:rPr>
          <w:rStyle w:val="38"/>
          <w:rFonts w:hint="eastAsia" w:asciiTheme="minorEastAsia" w:hAnsiTheme="minorEastAsia" w:eastAsiaTheme="minorEastAsia"/>
          <w:b w:val="0"/>
          <w:bCs w:val="0"/>
        </w:rPr>
        <w:t>、旅游与会展学院202</w:t>
      </w:r>
      <w:r>
        <w:rPr>
          <w:rStyle w:val="38"/>
          <w:rFonts w:hint="eastAsia" w:asciiTheme="minorEastAsia" w:hAnsiTheme="minorEastAsia" w:eastAsiaTheme="minorEastAsia"/>
          <w:b w:val="0"/>
          <w:bCs w:val="0"/>
          <w:lang w:eastAsia="zh-CN"/>
        </w:rPr>
        <w:t>2</w:t>
      </w:r>
      <w:r>
        <w:rPr>
          <w:rStyle w:val="38"/>
          <w:rFonts w:hint="eastAsia" w:asciiTheme="minorEastAsia" w:hAnsiTheme="minorEastAsia" w:eastAsiaTheme="minorEastAsia"/>
          <w:b w:val="0"/>
          <w:bCs w:val="0"/>
        </w:rPr>
        <w:t>年就业评估自查报告</w:t>
      </w:r>
      <w:r>
        <w:rPr>
          <w:rStyle w:val="19"/>
          <w:rFonts w:hint="eastAsia" w:ascii="宋体" w:hAnsi="宋体" w:eastAsia="宋体"/>
          <w:sz w:val="32"/>
          <w:szCs w:val="32"/>
        </w:rPr>
        <w:t>…………</w:t>
      </w:r>
      <w:r>
        <w:rPr>
          <w:rStyle w:val="38"/>
          <w:rFonts w:asciiTheme="minorEastAsia" w:hAnsiTheme="minorEastAsia" w:eastAsiaTheme="minorEastAsia"/>
          <w:b w:val="0"/>
          <w:bCs w:val="0"/>
        </w:rPr>
        <w:t>179</w:t>
      </w:r>
      <w:r>
        <w:fldChar w:fldCharType="end"/>
      </w:r>
    </w:p>
    <w:bookmarkEnd w:id="1"/>
    <w:p>
      <w:pPr>
        <w:jc w:val="right"/>
        <w:rPr>
          <w:rFonts w:hint="eastAsia"/>
          <w:sz w:val="24"/>
        </w:rPr>
      </w:pPr>
      <w:r>
        <w:rPr>
          <w:rFonts w:hint="eastAsia"/>
          <w:sz w:val="24"/>
        </w:rPr>
        <w:fldChar w:fldCharType="end"/>
      </w:r>
    </w:p>
    <w:p>
      <w:pPr>
        <w:jc w:val="right"/>
        <w:rPr>
          <w:sz w:val="24"/>
        </w:rPr>
      </w:pPr>
    </w:p>
    <w:p>
      <w:pPr>
        <w:spacing w:line="360" w:lineRule="auto"/>
        <w:ind w:left="549" w:hanging="549" w:hangingChars="171"/>
        <w:jc w:val="center"/>
        <w:rPr>
          <w:rFonts w:ascii="宋体" w:hAnsi="宋体"/>
          <w:b/>
          <w:sz w:val="32"/>
          <w:szCs w:val="32"/>
        </w:rPr>
      </w:pPr>
    </w:p>
    <w:p>
      <w:pPr>
        <w:spacing w:line="360" w:lineRule="auto"/>
        <w:ind w:left="549" w:hanging="549" w:hangingChars="171"/>
        <w:jc w:val="center"/>
        <w:rPr>
          <w:rFonts w:hint="eastAsia" w:ascii="宋体" w:hAnsi="宋体"/>
          <w:b/>
          <w:sz w:val="32"/>
          <w:szCs w:val="32"/>
        </w:rPr>
      </w:pPr>
    </w:p>
    <w:p>
      <w:pPr>
        <w:widowControl/>
        <w:jc w:val="left"/>
        <w:rPr>
          <w:rFonts w:hint="eastAsia" w:ascii="宋体" w:hAnsi="宋体"/>
          <w:b/>
          <w:sz w:val="32"/>
          <w:szCs w:val="32"/>
        </w:rPr>
      </w:pPr>
    </w:p>
    <w:p>
      <w:pPr>
        <w:rPr>
          <w:rFonts w:hint="eastAsia" w:ascii="宋体" w:hAnsi="宋体"/>
          <w:sz w:val="32"/>
          <w:szCs w:val="32"/>
        </w:rPr>
      </w:pPr>
    </w:p>
    <w:p>
      <w:pPr>
        <w:rPr>
          <w:rFonts w:hint="eastAsia" w:ascii="宋体" w:hAnsi="宋体"/>
          <w:sz w:val="32"/>
          <w:szCs w:val="32"/>
        </w:rPr>
      </w:pPr>
    </w:p>
    <w:p>
      <w:pPr>
        <w:rPr>
          <w:rFonts w:hint="eastAsia" w:ascii="宋体" w:hAnsi="宋体"/>
          <w:sz w:val="32"/>
          <w:szCs w:val="32"/>
        </w:rPr>
      </w:pPr>
    </w:p>
    <w:p>
      <w:pPr>
        <w:rPr>
          <w:rFonts w:hint="eastAsia" w:ascii="宋体" w:hAnsi="宋体"/>
          <w:sz w:val="32"/>
          <w:szCs w:val="32"/>
        </w:rPr>
      </w:pPr>
    </w:p>
    <w:p>
      <w:pPr>
        <w:widowControl/>
        <w:jc w:val="center"/>
        <w:rPr>
          <w:rFonts w:ascii="宋体" w:hAnsi="宋体" w:eastAsia="宋体" w:cs="宋体"/>
          <w:b/>
          <w:sz w:val="32"/>
          <w:szCs w:val="32"/>
        </w:rPr>
      </w:pPr>
      <w:r>
        <w:rPr>
          <w:rFonts w:hint="eastAsia" w:ascii="宋体" w:hAnsi="宋体"/>
          <w:sz w:val="32"/>
          <w:szCs w:val="32"/>
        </w:rPr>
        <w:br w:type="page"/>
      </w:r>
      <w:r>
        <w:rPr>
          <w:rFonts w:hint="eastAsia" w:ascii="宋体" w:hAnsi="宋体" w:eastAsia="宋体" w:cs="宋体"/>
          <w:b/>
          <w:sz w:val="32"/>
          <w:szCs w:val="32"/>
        </w:rPr>
        <w:t>先进制造工程学院202</w:t>
      </w:r>
      <w:r>
        <w:rPr>
          <w:rFonts w:hint="eastAsia" w:ascii="宋体" w:hAnsi="宋体" w:eastAsia="宋体" w:cs="宋体"/>
          <w:b/>
          <w:sz w:val="32"/>
          <w:szCs w:val="32"/>
          <w:lang w:val="en-US" w:eastAsia="zh-CN"/>
        </w:rPr>
        <w:t>2</w:t>
      </w:r>
      <w:r>
        <w:rPr>
          <w:rFonts w:hint="eastAsia" w:ascii="宋体" w:hAnsi="宋体" w:eastAsia="宋体" w:cs="宋体"/>
          <w:b/>
          <w:sz w:val="32"/>
          <w:szCs w:val="32"/>
        </w:rPr>
        <w:t>年就业评估自查报告</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宋体" w:hAnsi="宋体" w:eastAsia="宋体" w:cs="宋体"/>
          <w:b w:val="0"/>
          <w:bCs/>
          <w:color w:val="auto"/>
          <w:sz w:val="24"/>
          <w:szCs w:val="24"/>
          <w:lang w:val="en-US" w:eastAsia="zh-CN"/>
        </w:rPr>
      </w:pPr>
      <w:r>
        <w:rPr>
          <w:rFonts w:hint="eastAsia" w:ascii="宋体" w:hAnsi="宋体" w:eastAsia="宋体" w:cs="宋体"/>
          <w:b w:val="0"/>
          <w:bCs/>
          <w:color w:val="000000"/>
          <w:sz w:val="24"/>
          <w:szCs w:val="24"/>
          <w:u w:val="none"/>
          <w:lang w:val="en-US" w:eastAsia="zh-CN"/>
        </w:rPr>
        <w:t>据权威数据显示，2022年普通高校毕业生人数共计1000万人，与2020年相比增长了167万人，创历史新高，促进高校毕业生就业任务更为繁重。2022年受新冠肺炎疫情影响，全社会就业矛盾突出、高校毕业生人数继续增加、高校毕业生就业压力持续增大，就业工作造成了更大的困扰。先进制造工程学院认真贯彻落实国家和省、校有关毕业生就业工作的方针、政策以及一系列文件、会议精神，在上级主管部门和领导的关心指导下，在全院教职员工的共同努力下，我院2022届毕业生就业继续保持良好态势。</w:t>
      </w:r>
      <w:r>
        <w:rPr>
          <w:rFonts w:hint="eastAsia" w:ascii="宋体" w:hAnsi="宋体" w:eastAsia="宋体" w:cs="宋体"/>
          <w:b w:val="0"/>
          <w:bCs/>
          <w:color w:val="auto"/>
          <w:sz w:val="24"/>
          <w:szCs w:val="24"/>
          <w:lang w:val="en-US" w:eastAsia="zh-CN"/>
        </w:rPr>
        <w:t>对照《合肥学院就业工作考评量化评分表》，我院自评分为120分。</w:t>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0" w:leftChars="0" w:right="0" w:rightChars="0" w:firstLine="482" w:firstLineChars="200"/>
        <w:jc w:val="both"/>
        <w:textAlignment w:val="auto"/>
        <w:outlineLvl w:val="9"/>
        <w:rPr>
          <w:rFonts w:hint="eastAsia" w:ascii="宋体" w:hAnsi="宋体" w:eastAsia="宋体" w:cs="宋体"/>
          <w:b/>
          <w:bCs w:val="0"/>
          <w:color w:val="auto"/>
          <w:sz w:val="24"/>
          <w:szCs w:val="24"/>
          <w:lang w:val="en-US" w:eastAsia="zh-CN"/>
        </w:rPr>
      </w:pPr>
      <w:r>
        <w:rPr>
          <w:rFonts w:hint="eastAsia" w:ascii="宋体" w:hAnsi="宋体" w:eastAsia="宋体" w:cs="宋体"/>
          <w:b/>
          <w:bCs w:val="0"/>
          <w:color w:val="auto"/>
          <w:sz w:val="24"/>
          <w:szCs w:val="24"/>
          <w:lang w:val="en-US" w:eastAsia="zh-CN"/>
        </w:rPr>
        <w:t>分：先进制造工程学院就业基本情况</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firstLine="480" w:firstLineChars="200"/>
        <w:jc w:val="left"/>
        <w:outlineLvl w:val="9"/>
        <w:rPr>
          <w:rFonts w:hint="eastAsia" w:ascii="宋体" w:hAnsi="宋体" w:eastAsia="宋体" w:cs="宋体"/>
          <w:b w:val="0"/>
          <w:bCs/>
          <w:color w:val="000000"/>
          <w:sz w:val="24"/>
          <w:szCs w:val="24"/>
          <w:u w:val="none"/>
          <w:lang w:val="en-US" w:eastAsia="zh-CN"/>
        </w:rPr>
      </w:pPr>
      <w:r>
        <w:rPr>
          <w:rFonts w:hint="eastAsia" w:ascii="宋体" w:hAnsi="宋体" w:eastAsia="宋体" w:cs="宋体"/>
          <w:b w:val="0"/>
          <w:bCs/>
          <w:color w:val="000000"/>
          <w:sz w:val="24"/>
          <w:szCs w:val="24"/>
          <w:u w:val="none"/>
          <w:lang w:val="en-US" w:eastAsia="zh-CN"/>
        </w:rPr>
        <w:t>先进制造工程学院2022届毕业生共有564人，男生468人，女生97人；材料成型及控制工程专业31人，电子信息工程专业151人，机械电子工程66人，机械设计制造及其自动化139人，通信工程74人，自动化103人。截至2022年9月，就业539人，就业率为95.57%。</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firstLine="480" w:firstLineChars="200"/>
        <w:jc w:val="left"/>
        <w:outlineLvl w:val="9"/>
        <w:rPr>
          <w:rFonts w:hint="eastAsia" w:ascii="宋体" w:hAnsi="宋体" w:eastAsia="宋体" w:cs="宋体"/>
          <w:b w:val="0"/>
          <w:bCs/>
          <w:color w:val="000000"/>
          <w:sz w:val="24"/>
          <w:szCs w:val="24"/>
          <w:u w:val="none"/>
          <w:lang w:val="en-US" w:eastAsia="zh-CN"/>
        </w:rPr>
      </w:pPr>
      <w:r>
        <w:rPr>
          <w:rFonts w:hint="eastAsia" w:ascii="宋体" w:hAnsi="宋体" w:eastAsia="宋体" w:cs="宋体"/>
          <w:b w:val="0"/>
          <w:bCs/>
          <w:color w:val="000000"/>
          <w:sz w:val="24"/>
          <w:szCs w:val="24"/>
          <w:u w:val="none"/>
          <w:lang w:val="en-US" w:eastAsia="zh-CN"/>
        </w:rPr>
        <w:t>（1）各专业就业率：</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firstLine="480" w:firstLineChars="200"/>
        <w:jc w:val="left"/>
        <w:outlineLvl w:val="9"/>
        <w:rPr>
          <w:rFonts w:hint="eastAsia" w:ascii="宋体" w:hAnsi="宋体" w:eastAsia="宋体" w:cs="宋体"/>
          <w:b w:val="0"/>
          <w:bCs/>
          <w:color w:val="000000"/>
          <w:sz w:val="24"/>
          <w:szCs w:val="24"/>
          <w:u w:val="none"/>
          <w:lang w:val="en-US" w:eastAsia="zh-CN"/>
        </w:rPr>
      </w:pPr>
      <w:r>
        <w:rPr>
          <w:rFonts w:hint="eastAsia" w:ascii="宋体" w:hAnsi="宋体" w:eastAsia="宋体" w:cs="宋体"/>
          <w:b w:val="0"/>
          <w:bCs/>
          <w:color w:val="000000"/>
          <w:sz w:val="24"/>
          <w:szCs w:val="24"/>
          <w:u w:val="none"/>
          <w:lang w:val="en-US" w:eastAsia="zh-CN"/>
        </w:rPr>
        <w:t>① 材料控制31人，就业27人，就业率87.10%；</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firstLine="480" w:firstLineChars="200"/>
        <w:jc w:val="left"/>
        <w:outlineLvl w:val="9"/>
        <w:rPr>
          <w:rFonts w:hint="eastAsia" w:ascii="宋体" w:hAnsi="宋体" w:eastAsia="宋体" w:cs="宋体"/>
          <w:b w:val="0"/>
          <w:bCs/>
          <w:color w:val="000000"/>
          <w:sz w:val="24"/>
          <w:szCs w:val="24"/>
          <w:u w:val="none"/>
          <w:lang w:val="en-US" w:eastAsia="zh-CN"/>
        </w:rPr>
      </w:pPr>
      <w:r>
        <w:rPr>
          <w:rFonts w:hint="eastAsia" w:ascii="宋体" w:hAnsi="宋体" w:eastAsia="宋体" w:cs="宋体"/>
          <w:b w:val="0"/>
          <w:bCs/>
          <w:color w:val="000000"/>
          <w:sz w:val="24"/>
          <w:szCs w:val="24"/>
          <w:u w:val="none"/>
          <w:lang w:val="en-US" w:eastAsia="zh-CN"/>
        </w:rPr>
        <w:t>② 电子信息工程151：就业141人，就业率为：93.38%</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firstLine="480" w:firstLineChars="200"/>
        <w:jc w:val="left"/>
        <w:outlineLvl w:val="9"/>
        <w:rPr>
          <w:rFonts w:hint="eastAsia" w:ascii="宋体" w:hAnsi="宋体" w:eastAsia="宋体" w:cs="宋体"/>
          <w:b w:val="0"/>
          <w:bCs/>
          <w:color w:val="000000"/>
          <w:sz w:val="24"/>
          <w:szCs w:val="24"/>
          <w:u w:val="none"/>
          <w:lang w:val="en-US" w:eastAsia="zh-CN"/>
        </w:rPr>
      </w:pPr>
      <w:r>
        <w:rPr>
          <w:rFonts w:hint="eastAsia" w:ascii="宋体" w:hAnsi="宋体" w:eastAsia="宋体" w:cs="宋体"/>
          <w:b w:val="0"/>
          <w:bCs/>
          <w:color w:val="000000"/>
          <w:sz w:val="24"/>
          <w:szCs w:val="24"/>
          <w:u w:val="none"/>
          <w:lang w:val="en-US" w:eastAsia="zh-CN"/>
        </w:rPr>
        <w:t>③ 机械电子工程66人，就业66人，就业率：100%；</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firstLine="480" w:firstLineChars="200"/>
        <w:jc w:val="left"/>
        <w:outlineLvl w:val="9"/>
        <w:rPr>
          <w:rFonts w:hint="eastAsia" w:ascii="宋体" w:hAnsi="宋体" w:eastAsia="宋体" w:cs="宋体"/>
          <w:b w:val="0"/>
          <w:bCs/>
          <w:color w:val="000000"/>
          <w:sz w:val="24"/>
          <w:szCs w:val="24"/>
          <w:u w:val="none"/>
          <w:lang w:val="en-US" w:eastAsia="zh-CN"/>
        </w:rPr>
      </w:pPr>
      <w:r>
        <w:rPr>
          <w:rFonts w:hint="eastAsia" w:ascii="宋体" w:hAnsi="宋体" w:eastAsia="宋体" w:cs="宋体"/>
          <w:b w:val="0"/>
          <w:bCs/>
          <w:color w:val="000000"/>
          <w:sz w:val="24"/>
          <w:szCs w:val="24"/>
          <w:u w:val="none"/>
          <w:lang w:val="en-US" w:eastAsia="zh-CN"/>
        </w:rPr>
        <w:t>④ 机械设计制造及其自动化139人，就业130人，就业率：93.53%；</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firstLine="480" w:firstLineChars="200"/>
        <w:jc w:val="left"/>
        <w:outlineLvl w:val="9"/>
        <w:rPr>
          <w:rFonts w:hint="eastAsia" w:ascii="宋体" w:hAnsi="宋体" w:eastAsia="宋体" w:cs="宋体"/>
          <w:b w:val="0"/>
          <w:bCs/>
          <w:color w:val="000000"/>
          <w:sz w:val="24"/>
          <w:szCs w:val="24"/>
          <w:u w:val="none"/>
          <w:lang w:val="en-US" w:eastAsia="zh-CN"/>
        </w:rPr>
      </w:pPr>
      <w:r>
        <w:rPr>
          <w:rFonts w:hint="eastAsia" w:ascii="宋体" w:hAnsi="宋体" w:eastAsia="宋体" w:cs="宋体"/>
          <w:b w:val="0"/>
          <w:bCs/>
          <w:color w:val="000000"/>
          <w:sz w:val="24"/>
          <w:szCs w:val="24"/>
          <w:u w:val="none"/>
          <w:lang w:val="en-US" w:eastAsia="zh-CN"/>
        </w:rPr>
        <w:t>⑤ 通信工程74人，就业74人，就业率100%；</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firstLine="480" w:firstLineChars="200"/>
        <w:jc w:val="left"/>
        <w:outlineLvl w:val="9"/>
        <w:rPr>
          <w:rFonts w:hint="default" w:ascii="宋体" w:hAnsi="宋体" w:eastAsia="宋体" w:cs="宋体"/>
          <w:b w:val="0"/>
          <w:bCs/>
          <w:color w:val="000000"/>
          <w:sz w:val="24"/>
          <w:szCs w:val="24"/>
          <w:u w:val="none"/>
          <w:lang w:val="en-US" w:eastAsia="zh-CN"/>
        </w:rPr>
      </w:pPr>
      <w:r>
        <w:rPr>
          <w:rFonts w:hint="eastAsia" w:ascii="宋体" w:hAnsi="宋体" w:eastAsia="宋体" w:cs="宋体"/>
          <w:b w:val="0"/>
          <w:bCs/>
          <w:color w:val="000000"/>
          <w:sz w:val="24"/>
          <w:szCs w:val="24"/>
          <w:u w:val="none"/>
          <w:lang w:val="en-US" w:eastAsia="zh-CN"/>
        </w:rPr>
        <w:t>⑥ 自动化103人，就业101人，就业率98.06%。</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firstLine="480" w:firstLineChars="200"/>
        <w:jc w:val="left"/>
        <w:outlineLvl w:val="9"/>
        <w:rPr>
          <w:rFonts w:hint="eastAsia" w:ascii="宋体" w:hAnsi="宋体" w:cs="宋体"/>
          <w:color w:val="auto"/>
          <w:sz w:val="24"/>
          <w:szCs w:val="24"/>
        </w:rPr>
      </w:pPr>
      <w:r>
        <w:rPr>
          <w:rFonts w:hint="eastAsia" w:ascii="宋体" w:hAnsi="宋体" w:eastAsia="宋体" w:cs="宋体"/>
          <w:b w:val="0"/>
          <w:bCs/>
          <w:color w:val="auto"/>
          <w:sz w:val="24"/>
          <w:szCs w:val="24"/>
          <w:lang w:val="en-US" w:eastAsia="zh-CN"/>
        </w:rPr>
        <w:t>（2）研究生录取率：我院2022届毕业生共有76人录取为硕士研究生，研究生录取率为13.48%。</w:t>
      </w:r>
    </w:p>
    <w:p>
      <w:pPr>
        <w:keepNext w:val="0"/>
        <w:keepLines w:val="0"/>
        <w:pageBreakBefore w:val="0"/>
        <w:kinsoku/>
        <w:wordWrap/>
        <w:overflowPunct/>
        <w:topLinePunct w:val="0"/>
        <w:autoSpaceDE/>
        <w:autoSpaceDN/>
        <w:bidi w:val="0"/>
        <w:adjustRightInd/>
        <w:snapToGrid/>
        <w:spacing w:line="360" w:lineRule="auto"/>
        <w:ind w:left="0" w:leftChars="0" w:right="0" w:rightChars="0" w:firstLine="480" w:firstLineChars="200"/>
        <w:outlineLvl w:val="9"/>
        <w:rPr>
          <w:rFonts w:hint="eastAsia" w:ascii="宋体" w:hAnsi="宋体" w:cs="宋体"/>
          <w:color w:val="auto"/>
          <w:sz w:val="24"/>
          <w:szCs w:val="24"/>
        </w:rPr>
      </w:pPr>
      <w:r>
        <w:rPr>
          <w:rFonts w:hint="eastAsia" w:ascii="宋体" w:hAnsi="宋体" w:cs="宋体"/>
          <w:color w:val="auto"/>
          <w:sz w:val="24"/>
          <w:szCs w:val="24"/>
        </w:rPr>
        <w:t>表</w:t>
      </w:r>
      <w:r>
        <w:rPr>
          <w:rFonts w:hint="eastAsia" w:ascii="宋体" w:hAnsi="宋体" w:cs="宋体"/>
          <w:color w:val="auto"/>
          <w:sz w:val="24"/>
          <w:szCs w:val="24"/>
          <w:lang w:val="en-US" w:eastAsia="zh-CN"/>
        </w:rPr>
        <w:t>1</w:t>
      </w:r>
      <w:r>
        <w:rPr>
          <w:rFonts w:hint="eastAsia" w:ascii="宋体" w:hAnsi="宋体" w:cs="宋体"/>
          <w:color w:val="auto"/>
          <w:sz w:val="24"/>
          <w:szCs w:val="24"/>
        </w:rPr>
        <w:t>：</w:t>
      </w:r>
      <w:r>
        <w:rPr>
          <w:rFonts w:hint="eastAsia" w:ascii="宋体" w:hAnsi="宋体" w:cs="宋体"/>
          <w:color w:val="auto"/>
          <w:sz w:val="24"/>
          <w:szCs w:val="24"/>
          <w:lang w:val="en-US" w:eastAsia="zh-CN"/>
        </w:rPr>
        <w:t>2022</w:t>
      </w:r>
      <w:r>
        <w:rPr>
          <w:rFonts w:hint="eastAsia" w:ascii="宋体" w:hAnsi="宋体" w:cs="宋体"/>
          <w:color w:val="auto"/>
          <w:sz w:val="24"/>
          <w:szCs w:val="24"/>
        </w:rPr>
        <w:t>届</w:t>
      </w:r>
      <w:r>
        <w:rPr>
          <w:rFonts w:hint="eastAsia" w:ascii="宋体" w:hAnsi="宋体" w:cs="宋体"/>
          <w:color w:val="auto"/>
          <w:sz w:val="24"/>
          <w:szCs w:val="24"/>
          <w:lang w:val="en-US" w:eastAsia="zh-CN"/>
        </w:rPr>
        <w:t>离校学生（</w:t>
      </w:r>
      <w:r>
        <w:rPr>
          <w:rFonts w:hint="eastAsia" w:ascii="宋体" w:hAnsi="宋体" w:cs="宋体"/>
          <w:color w:val="auto"/>
          <w:sz w:val="24"/>
          <w:szCs w:val="24"/>
        </w:rPr>
        <w:t>毕业</w:t>
      </w:r>
      <w:r>
        <w:rPr>
          <w:rFonts w:hint="eastAsia" w:ascii="宋体" w:hAnsi="宋体" w:cs="宋体"/>
          <w:color w:val="auto"/>
          <w:sz w:val="24"/>
          <w:szCs w:val="24"/>
          <w:lang w:eastAsia="zh-CN"/>
        </w:rPr>
        <w:t>、</w:t>
      </w:r>
      <w:r>
        <w:rPr>
          <w:rFonts w:hint="eastAsia" w:ascii="宋体" w:hAnsi="宋体" w:cs="宋体"/>
          <w:color w:val="auto"/>
          <w:sz w:val="24"/>
          <w:szCs w:val="24"/>
          <w:lang w:val="en-US" w:eastAsia="zh-CN"/>
        </w:rPr>
        <w:t>结业）</w:t>
      </w:r>
      <w:r>
        <w:rPr>
          <w:rFonts w:hint="eastAsia" w:ascii="宋体" w:hAnsi="宋体" w:cs="宋体"/>
          <w:color w:val="auto"/>
          <w:sz w:val="24"/>
          <w:szCs w:val="24"/>
        </w:rPr>
        <w:t>流向统计</w:t>
      </w:r>
    </w:p>
    <w:tbl>
      <w:tblPr>
        <w:tblStyle w:val="13"/>
        <w:tblW w:w="0" w:type="auto"/>
        <w:jc w:val="center"/>
        <w:tblLayout w:type="fixed"/>
        <w:tblCellMar>
          <w:top w:w="15" w:type="dxa"/>
          <w:left w:w="15" w:type="dxa"/>
          <w:bottom w:w="15" w:type="dxa"/>
          <w:right w:w="15" w:type="dxa"/>
        </w:tblCellMar>
      </w:tblPr>
      <w:tblGrid>
        <w:gridCol w:w="1741"/>
        <w:gridCol w:w="997"/>
        <w:gridCol w:w="3518"/>
      </w:tblGrid>
      <w:tr>
        <w:tblPrEx>
          <w:tblCellMar>
            <w:top w:w="15" w:type="dxa"/>
            <w:left w:w="15" w:type="dxa"/>
            <w:bottom w:w="15" w:type="dxa"/>
            <w:right w:w="15" w:type="dxa"/>
          </w:tblCellMar>
        </w:tblPrEx>
        <w:trPr>
          <w:trHeight w:val="374" w:hRule="exact"/>
          <w:jc w:val="center"/>
        </w:trPr>
        <w:tc>
          <w:tcPr>
            <w:tcW w:w="1741"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tabs>
                <w:tab w:val="left" w:pos="398"/>
                <w:tab w:val="center" w:pos="915"/>
              </w:tabs>
              <w:kinsoku/>
              <w:wordWrap/>
              <w:overflowPunct/>
              <w:topLinePunct w:val="0"/>
              <w:autoSpaceDE/>
              <w:autoSpaceDN/>
              <w:bidi w:val="0"/>
              <w:adjustRightInd/>
              <w:snapToGrid/>
              <w:spacing w:line="360" w:lineRule="auto"/>
              <w:ind w:left="0" w:leftChars="0" w:right="0" w:rightChars="0"/>
              <w:jc w:val="left"/>
              <w:textAlignment w:val="bottom"/>
              <w:outlineLvl w:val="9"/>
              <w:rPr>
                <w:rFonts w:hint="eastAsia" w:ascii="宋体" w:hAnsi="宋体" w:cs="宋体"/>
                <w:b/>
                <w:bCs/>
                <w:color w:val="auto"/>
                <w:sz w:val="24"/>
                <w:szCs w:val="24"/>
              </w:rPr>
            </w:pPr>
            <w:r>
              <w:rPr>
                <w:rFonts w:hint="eastAsia" w:ascii="宋体" w:hAnsi="宋体" w:cs="宋体"/>
                <w:b/>
                <w:bCs/>
                <w:color w:val="auto"/>
                <w:kern w:val="0"/>
                <w:sz w:val="24"/>
                <w:szCs w:val="24"/>
                <w:lang w:eastAsia="zh-CN"/>
              </w:rPr>
              <w:tab/>
            </w:r>
            <w:r>
              <w:rPr>
                <w:rFonts w:hint="eastAsia" w:ascii="宋体" w:hAnsi="宋体" w:cs="宋体"/>
                <w:b/>
                <w:bCs/>
                <w:color w:val="auto"/>
                <w:kern w:val="0"/>
                <w:sz w:val="24"/>
                <w:szCs w:val="24"/>
                <w:lang w:val="en-US" w:eastAsia="zh-CN"/>
              </w:rPr>
              <w:t xml:space="preserve"> </w:t>
            </w:r>
            <w:r>
              <w:rPr>
                <w:rFonts w:hint="eastAsia" w:ascii="宋体" w:hAnsi="宋体" w:cs="宋体"/>
                <w:b/>
                <w:bCs/>
                <w:color w:val="auto"/>
                <w:kern w:val="0"/>
                <w:sz w:val="24"/>
                <w:szCs w:val="24"/>
              </w:rPr>
              <w:t>流向</w:t>
            </w:r>
          </w:p>
        </w:tc>
        <w:tc>
          <w:tcPr>
            <w:tcW w:w="99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jc w:val="center"/>
              <w:textAlignment w:val="bottom"/>
              <w:outlineLvl w:val="9"/>
              <w:rPr>
                <w:rFonts w:hint="eastAsia" w:ascii="宋体" w:hAnsi="宋体" w:cs="宋体"/>
                <w:b/>
                <w:bCs/>
                <w:color w:val="auto"/>
                <w:sz w:val="24"/>
                <w:szCs w:val="24"/>
              </w:rPr>
            </w:pPr>
            <w:r>
              <w:rPr>
                <w:rFonts w:hint="eastAsia" w:ascii="宋体" w:hAnsi="宋体" w:cs="宋体"/>
                <w:b/>
                <w:bCs/>
                <w:color w:val="auto"/>
                <w:kern w:val="0"/>
                <w:sz w:val="24"/>
                <w:szCs w:val="24"/>
              </w:rPr>
              <w:t>人数</w:t>
            </w:r>
          </w:p>
        </w:tc>
        <w:tc>
          <w:tcPr>
            <w:tcW w:w="351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jc w:val="center"/>
              <w:textAlignment w:val="bottom"/>
              <w:outlineLvl w:val="9"/>
              <w:rPr>
                <w:rFonts w:hint="eastAsia" w:ascii="宋体" w:hAnsi="宋体" w:cs="宋体"/>
                <w:b/>
                <w:bCs/>
                <w:color w:val="auto"/>
                <w:sz w:val="24"/>
                <w:szCs w:val="24"/>
              </w:rPr>
            </w:pPr>
            <w:r>
              <w:rPr>
                <w:rFonts w:hint="eastAsia" w:ascii="宋体" w:hAnsi="宋体" w:cs="宋体"/>
                <w:b/>
                <w:bCs/>
                <w:color w:val="auto"/>
                <w:kern w:val="0"/>
                <w:sz w:val="24"/>
                <w:szCs w:val="24"/>
                <w:lang w:val="en-US" w:eastAsia="zh-CN"/>
              </w:rPr>
              <w:t>占毕业生人数（564人）</w:t>
            </w:r>
            <w:r>
              <w:rPr>
                <w:rFonts w:hint="eastAsia" w:ascii="宋体" w:hAnsi="宋体" w:cs="宋体"/>
                <w:b/>
                <w:bCs/>
                <w:color w:val="auto"/>
                <w:kern w:val="0"/>
                <w:sz w:val="24"/>
                <w:szCs w:val="24"/>
              </w:rPr>
              <w:t>比例</w:t>
            </w:r>
          </w:p>
        </w:tc>
      </w:tr>
      <w:tr>
        <w:tblPrEx>
          <w:tblCellMar>
            <w:top w:w="15" w:type="dxa"/>
            <w:left w:w="15" w:type="dxa"/>
            <w:bottom w:w="15" w:type="dxa"/>
            <w:right w:w="15" w:type="dxa"/>
          </w:tblCellMar>
        </w:tblPrEx>
        <w:trPr>
          <w:trHeight w:val="574" w:hRule="exact"/>
          <w:jc w:val="center"/>
        </w:trPr>
        <w:tc>
          <w:tcPr>
            <w:tcW w:w="1741"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jc w:val="center"/>
              <w:textAlignment w:val="bottom"/>
              <w:outlineLvl w:val="9"/>
              <w:rPr>
                <w:rFonts w:hint="eastAsia" w:ascii="宋体" w:hAnsi="宋体" w:eastAsia="宋体" w:cs="宋体"/>
                <w:color w:val="auto"/>
                <w:sz w:val="24"/>
                <w:szCs w:val="24"/>
                <w:lang w:val="en-US" w:eastAsia="zh-CN"/>
              </w:rPr>
            </w:pPr>
            <w:r>
              <w:rPr>
                <w:rFonts w:hint="eastAsia" w:ascii="宋体" w:hAnsi="宋体" w:cs="宋体"/>
                <w:color w:val="auto"/>
                <w:kern w:val="0"/>
                <w:sz w:val="24"/>
                <w:szCs w:val="24"/>
                <w:lang w:val="en-US" w:eastAsia="zh-CN"/>
              </w:rPr>
              <w:t>签订就业协议</w:t>
            </w:r>
          </w:p>
        </w:tc>
        <w:tc>
          <w:tcPr>
            <w:tcW w:w="99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jc w:val="center"/>
              <w:textAlignment w:val="bottom"/>
              <w:outlineLvl w:val="9"/>
              <w:rPr>
                <w:rFonts w:hint="default" w:ascii="宋体" w:hAnsi="宋体" w:cs="宋体"/>
                <w:color w:val="auto"/>
                <w:sz w:val="24"/>
                <w:szCs w:val="24"/>
                <w:lang w:val="en-US" w:eastAsia="zh-CN"/>
              </w:rPr>
            </w:pPr>
            <w:r>
              <w:rPr>
                <w:rFonts w:hint="eastAsia" w:ascii="宋体" w:hAnsi="宋体" w:cs="宋体"/>
                <w:color w:val="auto"/>
                <w:sz w:val="24"/>
                <w:szCs w:val="24"/>
                <w:lang w:val="en-US" w:eastAsia="zh-CN"/>
              </w:rPr>
              <w:t>438</w:t>
            </w:r>
          </w:p>
        </w:tc>
        <w:tc>
          <w:tcPr>
            <w:tcW w:w="351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jc w:val="center"/>
              <w:textAlignment w:val="bottom"/>
              <w:outlineLvl w:val="9"/>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77.66%</w:t>
            </w:r>
          </w:p>
        </w:tc>
      </w:tr>
      <w:tr>
        <w:tblPrEx>
          <w:tblCellMar>
            <w:top w:w="15" w:type="dxa"/>
            <w:left w:w="15" w:type="dxa"/>
            <w:bottom w:w="15" w:type="dxa"/>
            <w:right w:w="15" w:type="dxa"/>
          </w:tblCellMar>
        </w:tblPrEx>
        <w:trPr>
          <w:trHeight w:val="520" w:hRule="exact"/>
          <w:jc w:val="center"/>
        </w:trPr>
        <w:tc>
          <w:tcPr>
            <w:tcW w:w="1741"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jc w:val="center"/>
              <w:textAlignment w:val="bottom"/>
              <w:outlineLvl w:val="9"/>
              <w:rPr>
                <w:rFonts w:hint="eastAsia" w:ascii="宋体" w:hAnsi="宋体" w:cs="宋体"/>
                <w:color w:val="auto"/>
                <w:sz w:val="24"/>
                <w:szCs w:val="24"/>
                <w:u w:val="none"/>
              </w:rPr>
            </w:pPr>
            <w:r>
              <w:rPr>
                <w:rFonts w:hint="eastAsia" w:ascii="宋体" w:hAnsi="宋体" w:cs="宋体"/>
                <w:color w:val="auto"/>
                <w:kern w:val="0"/>
                <w:sz w:val="24"/>
                <w:szCs w:val="24"/>
                <w:u w:val="none"/>
              </w:rPr>
              <w:t>升学</w:t>
            </w:r>
          </w:p>
        </w:tc>
        <w:tc>
          <w:tcPr>
            <w:tcW w:w="99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jc w:val="center"/>
              <w:textAlignment w:val="bottom"/>
              <w:outlineLvl w:val="9"/>
              <w:rPr>
                <w:rFonts w:hint="default" w:ascii="宋体" w:hAnsi="宋体" w:eastAsia="宋体" w:cs="宋体"/>
                <w:color w:val="auto"/>
                <w:sz w:val="24"/>
                <w:szCs w:val="24"/>
                <w:u w:val="none"/>
                <w:lang w:val="en-US" w:eastAsia="zh-CN"/>
              </w:rPr>
            </w:pPr>
            <w:r>
              <w:rPr>
                <w:rFonts w:hint="eastAsia" w:ascii="宋体" w:hAnsi="宋体" w:eastAsia="宋体" w:cs="宋体"/>
                <w:color w:val="auto"/>
                <w:sz w:val="24"/>
                <w:szCs w:val="24"/>
                <w:u w:val="none"/>
                <w:lang w:val="en-US" w:eastAsia="zh-CN"/>
              </w:rPr>
              <w:t>76</w:t>
            </w:r>
          </w:p>
        </w:tc>
        <w:tc>
          <w:tcPr>
            <w:tcW w:w="351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jc w:val="center"/>
              <w:textAlignment w:val="bottom"/>
              <w:outlineLvl w:val="9"/>
              <w:rPr>
                <w:rFonts w:hint="eastAsia" w:ascii="宋体" w:hAnsi="宋体" w:eastAsia="宋体" w:cs="宋体"/>
                <w:color w:val="auto"/>
                <w:sz w:val="24"/>
                <w:szCs w:val="24"/>
                <w:u w:val="none"/>
                <w:lang w:val="en-US" w:eastAsia="zh-CN"/>
              </w:rPr>
            </w:pPr>
            <w:r>
              <w:rPr>
                <w:rFonts w:hint="eastAsia" w:ascii="宋体" w:hAnsi="宋体" w:eastAsia="宋体" w:cs="宋体"/>
                <w:color w:val="auto"/>
                <w:sz w:val="24"/>
                <w:szCs w:val="24"/>
                <w:u w:val="none"/>
                <w:lang w:val="en-US" w:eastAsia="zh-CN"/>
              </w:rPr>
              <w:t>13.48%</w:t>
            </w:r>
          </w:p>
        </w:tc>
      </w:tr>
      <w:tr>
        <w:tblPrEx>
          <w:tblCellMar>
            <w:top w:w="15" w:type="dxa"/>
            <w:left w:w="15" w:type="dxa"/>
            <w:bottom w:w="15" w:type="dxa"/>
            <w:right w:w="15" w:type="dxa"/>
          </w:tblCellMar>
        </w:tblPrEx>
        <w:trPr>
          <w:trHeight w:val="519" w:hRule="exact"/>
          <w:jc w:val="center"/>
        </w:trPr>
        <w:tc>
          <w:tcPr>
            <w:tcW w:w="1741"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jc w:val="center"/>
              <w:textAlignment w:val="bottom"/>
              <w:outlineLvl w:val="9"/>
              <w:rPr>
                <w:rFonts w:hint="eastAsia" w:ascii="宋体" w:hAnsi="宋体" w:eastAsia="宋体" w:cs="宋体"/>
                <w:color w:val="auto"/>
                <w:sz w:val="24"/>
                <w:szCs w:val="24"/>
                <w:u w:val="none"/>
                <w:lang w:val="en-US" w:eastAsia="zh-CN"/>
              </w:rPr>
            </w:pPr>
            <w:r>
              <w:rPr>
                <w:rFonts w:hint="eastAsia" w:ascii="宋体" w:hAnsi="宋体" w:cs="宋体"/>
                <w:color w:val="auto"/>
                <w:sz w:val="24"/>
                <w:szCs w:val="24"/>
                <w:u w:val="none"/>
                <w:lang w:val="en-US" w:eastAsia="zh-CN"/>
              </w:rPr>
              <w:t>创业</w:t>
            </w:r>
          </w:p>
        </w:tc>
        <w:tc>
          <w:tcPr>
            <w:tcW w:w="99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jc w:val="center"/>
              <w:textAlignment w:val="bottom"/>
              <w:outlineLvl w:val="9"/>
              <w:rPr>
                <w:rFonts w:hint="eastAsia" w:ascii="宋体" w:hAnsi="宋体" w:eastAsia="宋体" w:cs="宋体"/>
                <w:color w:val="auto"/>
                <w:sz w:val="24"/>
                <w:szCs w:val="24"/>
                <w:u w:val="none"/>
                <w:lang w:val="en-US" w:eastAsia="zh-CN"/>
              </w:rPr>
            </w:pPr>
            <w:r>
              <w:rPr>
                <w:rFonts w:hint="eastAsia" w:ascii="宋体" w:hAnsi="宋体" w:eastAsia="宋体" w:cs="宋体"/>
                <w:color w:val="auto"/>
                <w:sz w:val="24"/>
                <w:szCs w:val="24"/>
                <w:u w:val="none"/>
                <w:lang w:val="en-US" w:eastAsia="zh-CN"/>
              </w:rPr>
              <w:t>1</w:t>
            </w:r>
          </w:p>
        </w:tc>
        <w:tc>
          <w:tcPr>
            <w:tcW w:w="351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jc w:val="center"/>
              <w:textAlignment w:val="bottom"/>
              <w:outlineLvl w:val="9"/>
              <w:rPr>
                <w:rFonts w:hint="eastAsia" w:ascii="宋体" w:hAnsi="宋体" w:eastAsia="宋体" w:cs="宋体"/>
                <w:color w:val="auto"/>
                <w:sz w:val="24"/>
                <w:szCs w:val="24"/>
                <w:u w:val="none"/>
                <w:lang w:val="en-US" w:eastAsia="zh-CN"/>
              </w:rPr>
            </w:pPr>
            <w:r>
              <w:rPr>
                <w:rFonts w:hint="eastAsia" w:ascii="宋体" w:hAnsi="宋体" w:eastAsia="宋体" w:cs="宋体"/>
                <w:color w:val="auto"/>
                <w:sz w:val="24"/>
                <w:szCs w:val="24"/>
                <w:u w:val="none"/>
                <w:lang w:val="en-US" w:eastAsia="zh-CN"/>
              </w:rPr>
              <w:t>0.18%</w:t>
            </w:r>
          </w:p>
        </w:tc>
      </w:tr>
      <w:tr>
        <w:tblPrEx>
          <w:tblCellMar>
            <w:top w:w="15" w:type="dxa"/>
            <w:left w:w="15" w:type="dxa"/>
            <w:bottom w:w="15" w:type="dxa"/>
            <w:right w:w="15" w:type="dxa"/>
          </w:tblCellMar>
        </w:tblPrEx>
        <w:trPr>
          <w:trHeight w:val="574" w:hRule="exact"/>
          <w:jc w:val="center"/>
        </w:trPr>
        <w:tc>
          <w:tcPr>
            <w:tcW w:w="1741"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jc w:val="center"/>
              <w:textAlignment w:val="bottom"/>
              <w:outlineLvl w:val="9"/>
              <w:rPr>
                <w:rFonts w:hint="eastAsia" w:ascii="宋体" w:hAnsi="宋体" w:eastAsia="宋体" w:cs="宋体"/>
                <w:color w:val="auto"/>
                <w:kern w:val="0"/>
                <w:sz w:val="24"/>
                <w:szCs w:val="24"/>
                <w:u w:val="none"/>
                <w:lang w:val="en-US" w:eastAsia="zh-CN"/>
              </w:rPr>
            </w:pPr>
            <w:r>
              <w:rPr>
                <w:rFonts w:hint="eastAsia" w:ascii="宋体" w:hAnsi="宋体" w:cs="宋体"/>
                <w:color w:val="auto"/>
                <w:kern w:val="0"/>
                <w:sz w:val="24"/>
                <w:szCs w:val="24"/>
                <w:u w:val="none"/>
                <w:lang w:val="en-US" w:eastAsia="zh-CN"/>
              </w:rPr>
              <w:t>出国</w:t>
            </w:r>
          </w:p>
        </w:tc>
        <w:tc>
          <w:tcPr>
            <w:tcW w:w="99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jc w:val="center"/>
              <w:textAlignment w:val="bottom"/>
              <w:outlineLvl w:val="9"/>
              <w:rPr>
                <w:rFonts w:hint="default" w:ascii="宋体" w:hAnsi="宋体" w:cs="宋体"/>
                <w:color w:val="auto"/>
                <w:sz w:val="24"/>
                <w:szCs w:val="24"/>
                <w:u w:val="none"/>
                <w:lang w:val="en-US" w:eastAsia="zh-CN"/>
              </w:rPr>
            </w:pPr>
            <w:r>
              <w:rPr>
                <w:rFonts w:hint="eastAsia" w:ascii="宋体" w:hAnsi="宋体" w:cs="宋体"/>
                <w:color w:val="auto"/>
                <w:sz w:val="24"/>
                <w:szCs w:val="24"/>
                <w:u w:val="none"/>
                <w:lang w:val="en-US" w:eastAsia="zh-CN"/>
              </w:rPr>
              <w:t>7</w:t>
            </w:r>
          </w:p>
        </w:tc>
        <w:tc>
          <w:tcPr>
            <w:tcW w:w="351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jc w:val="center"/>
              <w:textAlignment w:val="bottom"/>
              <w:outlineLvl w:val="9"/>
              <w:rPr>
                <w:rFonts w:hint="eastAsia" w:ascii="宋体" w:hAnsi="宋体" w:cs="宋体"/>
                <w:color w:val="auto"/>
                <w:sz w:val="24"/>
                <w:szCs w:val="24"/>
                <w:u w:val="none"/>
                <w:lang w:val="en-US" w:eastAsia="zh-CN"/>
              </w:rPr>
            </w:pPr>
            <w:r>
              <w:rPr>
                <w:rFonts w:hint="eastAsia" w:ascii="宋体" w:hAnsi="宋体" w:cs="宋体"/>
                <w:color w:val="auto"/>
                <w:sz w:val="24"/>
                <w:szCs w:val="24"/>
                <w:u w:val="none"/>
                <w:lang w:val="en-US" w:eastAsia="zh-CN"/>
              </w:rPr>
              <w:t>1.24%</w:t>
            </w:r>
          </w:p>
        </w:tc>
      </w:tr>
      <w:tr>
        <w:tblPrEx>
          <w:tblCellMar>
            <w:top w:w="15" w:type="dxa"/>
            <w:left w:w="15" w:type="dxa"/>
            <w:bottom w:w="15" w:type="dxa"/>
            <w:right w:w="15" w:type="dxa"/>
          </w:tblCellMar>
        </w:tblPrEx>
        <w:trPr>
          <w:trHeight w:val="574" w:hRule="exact"/>
          <w:jc w:val="center"/>
        </w:trPr>
        <w:tc>
          <w:tcPr>
            <w:tcW w:w="1741"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jc w:val="center"/>
              <w:textAlignment w:val="bottom"/>
              <w:outlineLvl w:val="9"/>
              <w:rPr>
                <w:rFonts w:hint="eastAsia" w:ascii="宋体" w:hAnsi="宋体" w:cs="宋体"/>
                <w:color w:val="auto"/>
                <w:kern w:val="0"/>
                <w:sz w:val="24"/>
                <w:szCs w:val="24"/>
                <w:u w:val="none"/>
                <w:lang w:val="en-US" w:eastAsia="zh-CN"/>
              </w:rPr>
            </w:pPr>
            <w:r>
              <w:rPr>
                <w:rFonts w:hint="eastAsia" w:ascii="宋体" w:hAnsi="宋体" w:cs="宋体"/>
                <w:color w:val="auto"/>
                <w:kern w:val="0"/>
                <w:sz w:val="24"/>
                <w:szCs w:val="24"/>
                <w:u w:val="none"/>
                <w:lang w:val="en-US" w:eastAsia="zh-CN"/>
              </w:rPr>
              <w:t>待</w:t>
            </w:r>
            <w:r>
              <w:rPr>
                <w:rFonts w:hint="eastAsia" w:ascii="宋体" w:hAnsi="宋体" w:cs="宋体"/>
                <w:color w:val="auto"/>
                <w:kern w:val="0"/>
                <w:sz w:val="24"/>
                <w:szCs w:val="24"/>
                <w:u w:val="none"/>
              </w:rPr>
              <w:t>就业</w:t>
            </w:r>
          </w:p>
        </w:tc>
        <w:tc>
          <w:tcPr>
            <w:tcW w:w="99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jc w:val="center"/>
              <w:textAlignment w:val="bottom"/>
              <w:outlineLvl w:val="9"/>
              <w:rPr>
                <w:rFonts w:hint="default" w:ascii="宋体" w:hAnsi="宋体" w:cs="宋体"/>
                <w:color w:val="auto"/>
                <w:sz w:val="24"/>
                <w:szCs w:val="24"/>
                <w:u w:val="none"/>
                <w:lang w:val="en-US" w:eastAsia="zh-CN"/>
              </w:rPr>
            </w:pPr>
            <w:r>
              <w:rPr>
                <w:rFonts w:hint="eastAsia" w:ascii="宋体" w:hAnsi="宋体" w:cs="宋体"/>
                <w:color w:val="auto"/>
                <w:sz w:val="24"/>
                <w:szCs w:val="24"/>
                <w:u w:val="none"/>
                <w:lang w:val="en-US" w:eastAsia="zh-CN"/>
              </w:rPr>
              <w:t>25</w:t>
            </w:r>
          </w:p>
        </w:tc>
        <w:tc>
          <w:tcPr>
            <w:tcW w:w="351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jc w:val="center"/>
              <w:textAlignment w:val="bottom"/>
              <w:outlineLvl w:val="9"/>
              <w:rPr>
                <w:rFonts w:hint="eastAsia" w:ascii="宋体" w:hAnsi="宋体" w:cs="宋体"/>
                <w:color w:val="auto"/>
                <w:sz w:val="24"/>
                <w:szCs w:val="24"/>
                <w:u w:val="none"/>
                <w:lang w:val="en-US" w:eastAsia="zh-CN"/>
              </w:rPr>
            </w:pPr>
            <w:r>
              <w:rPr>
                <w:rFonts w:hint="eastAsia" w:ascii="宋体" w:hAnsi="宋体" w:cs="宋体"/>
                <w:color w:val="auto"/>
                <w:sz w:val="24"/>
                <w:szCs w:val="24"/>
                <w:u w:val="none"/>
                <w:lang w:val="en-US" w:eastAsia="zh-CN"/>
              </w:rPr>
              <w:t>4.43%</w:t>
            </w:r>
          </w:p>
        </w:tc>
      </w:tr>
      <w:tr>
        <w:tblPrEx>
          <w:tblCellMar>
            <w:top w:w="15" w:type="dxa"/>
            <w:left w:w="15" w:type="dxa"/>
            <w:bottom w:w="15" w:type="dxa"/>
            <w:right w:w="15" w:type="dxa"/>
          </w:tblCellMar>
        </w:tblPrEx>
        <w:trPr>
          <w:trHeight w:val="574" w:hRule="exact"/>
          <w:jc w:val="center"/>
        </w:trPr>
        <w:tc>
          <w:tcPr>
            <w:tcW w:w="1741"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jc w:val="center"/>
              <w:textAlignment w:val="bottom"/>
              <w:outlineLvl w:val="9"/>
              <w:rPr>
                <w:rFonts w:hint="eastAsia" w:ascii="宋体" w:hAnsi="宋体" w:cs="宋体"/>
                <w:color w:val="auto"/>
                <w:kern w:val="0"/>
                <w:sz w:val="24"/>
                <w:szCs w:val="24"/>
                <w:u w:val="none"/>
                <w:lang w:val="en-US" w:eastAsia="zh-CN"/>
              </w:rPr>
            </w:pPr>
            <w:r>
              <w:rPr>
                <w:rFonts w:hint="eastAsia" w:ascii="宋体" w:hAnsi="宋体" w:cs="宋体"/>
                <w:color w:val="auto"/>
                <w:kern w:val="0"/>
                <w:sz w:val="24"/>
                <w:szCs w:val="24"/>
                <w:u w:val="none"/>
                <w:lang w:val="en-US" w:eastAsia="zh-CN"/>
              </w:rPr>
              <w:t>入伍</w:t>
            </w:r>
          </w:p>
        </w:tc>
        <w:tc>
          <w:tcPr>
            <w:tcW w:w="99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jc w:val="center"/>
              <w:textAlignment w:val="bottom"/>
              <w:outlineLvl w:val="9"/>
              <w:rPr>
                <w:rFonts w:hint="default" w:ascii="宋体" w:hAnsi="宋体" w:cs="宋体"/>
                <w:color w:val="auto"/>
                <w:sz w:val="24"/>
                <w:szCs w:val="24"/>
                <w:u w:val="none"/>
                <w:lang w:val="en-US" w:eastAsia="zh-CN"/>
              </w:rPr>
            </w:pPr>
            <w:r>
              <w:rPr>
                <w:rFonts w:hint="eastAsia" w:ascii="宋体" w:hAnsi="宋体" w:cs="宋体"/>
                <w:color w:val="auto"/>
                <w:sz w:val="24"/>
                <w:szCs w:val="24"/>
                <w:u w:val="none"/>
                <w:lang w:val="en-US" w:eastAsia="zh-CN"/>
              </w:rPr>
              <w:t>13</w:t>
            </w:r>
          </w:p>
        </w:tc>
        <w:tc>
          <w:tcPr>
            <w:tcW w:w="351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jc w:val="center"/>
              <w:textAlignment w:val="bottom"/>
              <w:outlineLvl w:val="9"/>
              <w:rPr>
                <w:rFonts w:hint="eastAsia" w:ascii="宋体" w:hAnsi="宋体" w:cs="宋体"/>
                <w:color w:val="auto"/>
                <w:sz w:val="24"/>
                <w:szCs w:val="24"/>
                <w:u w:val="none"/>
                <w:lang w:val="en-US" w:eastAsia="zh-CN"/>
              </w:rPr>
            </w:pPr>
            <w:r>
              <w:rPr>
                <w:rFonts w:hint="eastAsia" w:ascii="宋体" w:hAnsi="宋体" w:cs="宋体"/>
                <w:color w:val="auto"/>
                <w:sz w:val="24"/>
                <w:szCs w:val="24"/>
                <w:u w:val="none"/>
                <w:lang w:val="en-US" w:eastAsia="zh-CN"/>
              </w:rPr>
              <w:t>2.30%</w:t>
            </w:r>
          </w:p>
        </w:tc>
      </w:tr>
      <w:tr>
        <w:tblPrEx>
          <w:tblCellMar>
            <w:top w:w="15" w:type="dxa"/>
            <w:left w:w="15" w:type="dxa"/>
            <w:bottom w:w="15" w:type="dxa"/>
            <w:right w:w="15" w:type="dxa"/>
          </w:tblCellMar>
        </w:tblPrEx>
        <w:trPr>
          <w:trHeight w:val="569" w:hRule="exact"/>
          <w:jc w:val="center"/>
        </w:trPr>
        <w:tc>
          <w:tcPr>
            <w:tcW w:w="1741"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jc w:val="center"/>
              <w:textAlignment w:val="bottom"/>
              <w:outlineLvl w:val="9"/>
              <w:rPr>
                <w:rFonts w:hint="default" w:ascii="宋体" w:hAnsi="宋体" w:eastAsia="宋体" w:cs="宋体"/>
                <w:color w:val="auto"/>
                <w:sz w:val="24"/>
                <w:szCs w:val="24"/>
                <w:lang w:val="en-US" w:eastAsia="zh-CN"/>
              </w:rPr>
            </w:pPr>
            <w:r>
              <w:rPr>
                <w:rFonts w:hint="eastAsia" w:ascii="宋体" w:hAnsi="宋体" w:cs="宋体"/>
                <w:color w:val="auto"/>
                <w:sz w:val="24"/>
                <w:szCs w:val="24"/>
                <w:lang w:val="en-US" w:eastAsia="zh-CN"/>
              </w:rPr>
              <w:t>地方基层项目</w:t>
            </w:r>
          </w:p>
        </w:tc>
        <w:tc>
          <w:tcPr>
            <w:tcW w:w="99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jc w:val="center"/>
              <w:textAlignment w:val="bottom"/>
              <w:outlineLvl w:val="9"/>
              <w:rPr>
                <w:rFonts w:hint="default"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4</w:t>
            </w:r>
          </w:p>
        </w:tc>
        <w:tc>
          <w:tcPr>
            <w:tcW w:w="351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jc w:val="center"/>
              <w:textAlignment w:val="bottom"/>
              <w:outlineLvl w:val="9"/>
              <w:rPr>
                <w:rFonts w:hint="default"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0.71%</w:t>
            </w:r>
          </w:p>
        </w:tc>
      </w:tr>
      <w:tr>
        <w:tblPrEx>
          <w:tblCellMar>
            <w:top w:w="15" w:type="dxa"/>
            <w:left w:w="15" w:type="dxa"/>
            <w:bottom w:w="15" w:type="dxa"/>
            <w:right w:w="15" w:type="dxa"/>
          </w:tblCellMar>
        </w:tblPrEx>
        <w:trPr>
          <w:trHeight w:val="569" w:hRule="exact"/>
          <w:jc w:val="center"/>
        </w:trPr>
        <w:tc>
          <w:tcPr>
            <w:tcW w:w="1741"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jc w:val="center"/>
              <w:textAlignment w:val="bottom"/>
              <w:outlineLvl w:val="9"/>
              <w:rPr>
                <w:rFonts w:hint="eastAsia" w:ascii="宋体" w:hAnsi="宋体" w:cs="宋体"/>
                <w:color w:val="auto"/>
                <w:kern w:val="0"/>
                <w:sz w:val="24"/>
                <w:szCs w:val="24"/>
                <w:lang w:val="en-US" w:eastAsia="zh-CN"/>
              </w:rPr>
            </w:pPr>
            <w:r>
              <w:rPr>
                <w:rFonts w:hint="eastAsia" w:ascii="宋体" w:hAnsi="宋体" w:cs="宋体"/>
                <w:color w:val="auto"/>
                <w:kern w:val="0"/>
                <w:sz w:val="24"/>
                <w:szCs w:val="24"/>
                <w:lang w:val="en-US" w:eastAsia="zh-CN"/>
              </w:rPr>
              <w:t>毕业生</w:t>
            </w:r>
            <w:r>
              <w:rPr>
                <w:rFonts w:hint="eastAsia" w:ascii="宋体" w:hAnsi="宋体" w:cs="宋体"/>
                <w:color w:val="auto"/>
                <w:kern w:val="0"/>
                <w:sz w:val="24"/>
                <w:szCs w:val="24"/>
              </w:rPr>
              <w:t>合计</w:t>
            </w:r>
          </w:p>
        </w:tc>
        <w:tc>
          <w:tcPr>
            <w:tcW w:w="99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jc w:val="center"/>
              <w:textAlignment w:val="bottom"/>
              <w:outlineLvl w:val="9"/>
              <w:rPr>
                <w:rFonts w:hint="default"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564</w:t>
            </w:r>
          </w:p>
        </w:tc>
        <w:tc>
          <w:tcPr>
            <w:tcW w:w="351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360" w:lineRule="auto"/>
              <w:ind w:left="0" w:leftChars="0" w:right="0" w:rightChars="0"/>
              <w:jc w:val="center"/>
              <w:textAlignment w:val="bottom"/>
              <w:outlineLvl w:val="9"/>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100%</w:t>
            </w:r>
          </w:p>
        </w:tc>
      </w:tr>
    </w:tbl>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0" w:leftChars="0" w:right="0" w:rightChars="0" w:firstLine="482" w:firstLineChars="200"/>
        <w:jc w:val="both"/>
        <w:textAlignment w:val="auto"/>
        <w:outlineLvl w:val="9"/>
        <w:rPr>
          <w:rFonts w:hint="eastAsia" w:ascii="宋体" w:hAnsi="宋体" w:eastAsia="宋体" w:cs="宋体"/>
          <w:b/>
          <w:bCs w:val="0"/>
          <w:color w:val="auto"/>
          <w:sz w:val="24"/>
          <w:szCs w:val="24"/>
          <w:lang w:val="en-US" w:eastAsia="zh-CN"/>
        </w:rPr>
      </w:pPr>
      <w:r>
        <w:rPr>
          <w:rFonts w:hint="eastAsia" w:ascii="宋体" w:hAnsi="宋体" w:eastAsia="宋体" w:cs="宋体"/>
          <w:b/>
          <w:bCs w:val="0"/>
          <w:color w:val="auto"/>
          <w:sz w:val="24"/>
          <w:szCs w:val="24"/>
          <w:lang w:val="en-US" w:eastAsia="zh-CN"/>
        </w:rPr>
        <w:t>分：先进制造工程学院毕业生就业结构分析情况</w:t>
      </w:r>
    </w:p>
    <w:p>
      <w:pPr>
        <w:spacing w:line="360" w:lineRule="auto"/>
        <w:ind w:firstLine="480" w:firstLineChars="200"/>
        <w:rPr>
          <w:rFonts w:hint="eastAsia" w:ascii="宋体" w:hAnsi="宋体" w:cs="宋体"/>
          <w:color w:val="auto"/>
          <w:sz w:val="24"/>
          <w:szCs w:val="24"/>
        </w:rPr>
      </w:pPr>
      <w:r>
        <w:rPr>
          <w:rFonts w:hint="eastAsia" w:ascii="宋体" w:hAnsi="宋体" w:cs="宋体"/>
          <w:color w:val="auto"/>
          <w:sz w:val="24"/>
          <w:szCs w:val="24"/>
        </w:rPr>
        <w:t>1、毕业生就业地域</w:t>
      </w:r>
    </w:p>
    <w:p>
      <w:pPr>
        <w:spacing w:line="360" w:lineRule="auto"/>
        <w:ind w:firstLine="480" w:firstLineChars="200"/>
        <w:rPr>
          <w:rFonts w:hint="eastAsia" w:ascii="宋体" w:hAnsi="宋体" w:cs="宋体"/>
          <w:color w:val="auto"/>
          <w:sz w:val="24"/>
          <w:szCs w:val="24"/>
        </w:rPr>
      </w:pPr>
      <w:r>
        <w:rPr>
          <w:rFonts w:hint="eastAsia" w:ascii="宋体" w:hAnsi="宋体" w:cs="宋体"/>
          <w:color w:val="auto"/>
          <w:sz w:val="24"/>
          <w:szCs w:val="24"/>
        </w:rPr>
        <w:t>从毕业生就业分布区域来看，在签就业协议形式就业的</w:t>
      </w:r>
      <w:r>
        <w:rPr>
          <w:rFonts w:hint="eastAsia" w:ascii="宋体" w:hAnsi="宋体" w:cs="宋体"/>
          <w:color w:val="auto"/>
          <w:sz w:val="24"/>
          <w:szCs w:val="24"/>
          <w:lang w:val="en-US" w:eastAsia="zh-CN"/>
        </w:rPr>
        <w:t>438</w:t>
      </w:r>
      <w:r>
        <w:rPr>
          <w:rFonts w:hint="eastAsia" w:ascii="宋体" w:hAnsi="宋体" w:cs="宋体"/>
          <w:color w:val="auto"/>
          <w:sz w:val="24"/>
          <w:szCs w:val="24"/>
        </w:rPr>
        <w:t>人中，有</w:t>
      </w:r>
      <w:r>
        <w:rPr>
          <w:rFonts w:hint="eastAsia" w:ascii="宋体" w:hAnsi="宋体" w:cs="宋体"/>
          <w:color w:val="auto"/>
          <w:sz w:val="24"/>
          <w:szCs w:val="24"/>
          <w:lang w:val="en-US" w:eastAsia="zh-CN"/>
        </w:rPr>
        <w:t>317</w:t>
      </w:r>
      <w:r>
        <w:rPr>
          <w:rFonts w:hint="eastAsia" w:ascii="宋体" w:hAnsi="宋体" w:cs="宋体"/>
          <w:color w:val="auto"/>
          <w:sz w:val="24"/>
          <w:szCs w:val="24"/>
        </w:rPr>
        <w:t>人在安徽省内工作，占签就业协议形式总人数的</w:t>
      </w:r>
      <w:r>
        <w:rPr>
          <w:rFonts w:hint="eastAsia" w:ascii="宋体" w:hAnsi="宋体" w:cs="宋体"/>
          <w:color w:val="auto"/>
          <w:sz w:val="24"/>
          <w:szCs w:val="24"/>
          <w:lang w:val="en-US" w:eastAsia="zh-CN"/>
        </w:rPr>
        <w:t>72.37</w:t>
      </w:r>
      <w:r>
        <w:rPr>
          <w:rFonts w:hint="eastAsia" w:ascii="宋体" w:hAnsi="宋体" w:cs="宋体"/>
          <w:color w:val="auto"/>
          <w:sz w:val="24"/>
          <w:szCs w:val="24"/>
        </w:rPr>
        <w:t>%，占毕业生总数的</w:t>
      </w:r>
      <w:r>
        <w:rPr>
          <w:rFonts w:hint="eastAsia" w:ascii="宋体" w:hAnsi="宋体" w:cs="宋体"/>
          <w:color w:val="auto"/>
          <w:sz w:val="24"/>
          <w:szCs w:val="24"/>
          <w:lang w:val="en-US" w:eastAsia="zh-CN"/>
        </w:rPr>
        <w:t>56.21</w:t>
      </w:r>
      <w:r>
        <w:rPr>
          <w:rFonts w:hint="eastAsia" w:ascii="宋体" w:hAnsi="宋体" w:cs="宋体"/>
          <w:color w:val="auto"/>
          <w:sz w:val="24"/>
          <w:szCs w:val="24"/>
        </w:rPr>
        <w:t>%</w:t>
      </w:r>
      <w:r>
        <w:rPr>
          <w:rFonts w:hint="eastAsia" w:ascii="宋体" w:hAnsi="宋体" w:cs="宋体"/>
          <w:color w:val="auto"/>
          <w:sz w:val="24"/>
          <w:szCs w:val="24"/>
          <w:lang w:eastAsia="zh-CN"/>
        </w:rPr>
        <w:t>；</w:t>
      </w:r>
      <w:r>
        <w:rPr>
          <w:rFonts w:hint="eastAsia" w:ascii="宋体" w:hAnsi="宋体" w:cs="宋体"/>
          <w:color w:val="auto"/>
          <w:sz w:val="24"/>
          <w:szCs w:val="24"/>
        </w:rPr>
        <w:t>其中有</w:t>
      </w:r>
      <w:r>
        <w:rPr>
          <w:rFonts w:hint="eastAsia" w:ascii="宋体" w:hAnsi="宋体" w:cs="宋体"/>
          <w:color w:val="auto"/>
          <w:sz w:val="24"/>
          <w:szCs w:val="24"/>
          <w:lang w:val="en-US" w:eastAsia="zh-CN"/>
        </w:rPr>
        <w:t>223</w:t>
      </w:r>
      <w:r>
        <w:rPr>
          <w:rFonts w:hint="eastAsia" w:ascii="宋体" w:hAnsi="宋体" w:cs="宋体"/>
          <w:color w:val="auto"/>
          <w:sz w:val="24"/>
          <w:szCs w:val="24"/>
        </w:rPr>
        <w:t>人选择在合肥市工作，占签就业协议形式总人数的</w:t>
      </w:r>
      <w:r>
        <w:rPr>
          <w:rFonts w:hint="eastAsia" w:ascii="宋体" w:hAnsi="宋体" w:cs="宋体"/>
          <w:color w:val="auto"/>
          <w:sz w:val="24"/>
          <w:szCs w:val="24"/>
          <w:lang w:val="en-US" w:eastAsia="zh-CN"/>
        </w:rPr>
        <w:t>50.91</w:t>
      </w:r>
      <w:r>
        <w:rPr>
          <w:rFonts w:hint="eastAsia" w:ascii="宋体" w:hAnsi="宋体" w:cs="宋体"/>
          <w:color w:val="auto"/>
          <w:sz w:val="24"/>
          <w:szCs w:val="24"/>
        </w:rPr>
        <w:t>%，占安徽省内就业总人数的</w:t>
      </w:r>
      <w:r>
        <w:rPr>
          <w:rFonts w:hint="eastAsia" w:ascii="宋体" w:hAnsi="宋体" w:cs="宋体"/>
          <w:color w:val="auto"/>
          <w:sz w:val="24"/>
          <w:szCs w:val="24"/>
          <w:lang w:val="en-US" w:eastAsia="zh-CN"/>
        </w:rPr>
        <w:t>70.35</w:t>
      </w:r>
      <w:r>
        <w:rPr>
          <w:rFonts w:hint="eastAsia" w:ascii="宋体" w:hAnsi="宋体" w:cs="宋体"/>
          <w:color w:val="auto"/>
          <w:sz w:val="24"/>
          <w:szCs w:val="24"/>
        </w:rPr>
        <w:t>%，占毕业生总数的</w:t>
      </w:r>
      <w:r>
        <w:rPr>
          <w:rFonts w:hint="eastAsia" w:ascii="宋体" w:hAnsi="宋体" w:cs="宋体"/>
          <w:color w:val="auto"/>
          <w:sz w:val="24"/>
          <w:szCs w:val="24"/>
          <w:lang w:val="en-US" w:eastAsia="zh-CN"/>
        </w:rPr>
        <w:t>39.54</w:t>
      </w:r>
      <w:r>
        <w:rPr>
          <w:rFonts w:hint="eastAsia" w:ascii="宋体" w:hAnsi="宋体" w:cs="宋体"/>
          <w:color w:val="auto"/>
          <w:sz w:val="24"/>
          <w:szCs w:val="24"/>
        </w:rPr>
        <w:t>%。这一数据表明：</w:t>
      </w:r>
      <w:r>
        <w:rPr>
          <w:rFonts w:hint="eastAsia" w:ascii="宋体" w:hAnsi="宋体" w:cs="宋体"/>
          <w:color w:val="auto"/>
          <w:sz w:val="24"/>
          <w:szCs w:val="24"/>
          <w:lang w:val="en-US" w:eastAsia="zh-CN"/>
        </w:rPr>
        <w:t>2022</w:t>
      </w:r>
      <w:r>
        <w:rPr>
          <w:rFonts w:hint="eastAsia" w:ascii="宋体" w:hAnsi="宋体" w:cs="宋体"/>
          <w:color w:val="auto"/>
          <w:sz w:val="24"/>
          <w:szCs w:val="24"/>
        </w:rPr>
        <w:t>年，我</w:t>
      </w:r>
      <w:r>
        <w:rPr>
          <w:rFonts w:hint="eastAsia" w:ascii="宋体" w:hAnsi="宋体" w:cs="宋体"/>
          <w:color w:val="auto"/>
          <w:sz w:val="24"/>
          <w:szCs w:val="24"/>
          <w:lang w:val="en-US" w:eastAsia="zh-CN"/>
        </w:rPr>
        <w:t>院</w:t>
      </w:r>
      <w:r>
        <w:rPr>
          <w:rFonts w:hint="eastAsia" w:ascii="宋体" w:hAnsi="宋体" w:cs="宋体"/>
          <w:color w:val="auto"/>
          <w:sz w:val="24"/>
          <w:szCs w:val="24"/>
        </w:rPr>
        <w:t>有</w:t>
      </w:r>
      <w:r>
        <w:rPr>
          <w:rFonts w:hint="eastAsia" w:ascii="宋体" w:hAnsi="宋体" w:cs="宋体"/>
          <w:color w:val="auto"/>
          <w:sz w:val="24"/>
          <w:szCs w:val="24"/>
          <w:lang w:val="en-US" w:eastAsia="zh-CN"/>
        </w:rPr>
        <w:t>五</w:t>
      </w:r>
      <w:r>
        <w:rPr>
          <w:rFonts w:hint="eastAsia" w:ascii="宋体" w:hAnsi="宋体" w:cs="宋体"/>
          <w:color w:val="auto"/>
          <w:sz w:val="24"/>
          <w:szCs w:val="24"/>
        </w:rPr>
        <w:t>成</w:t>
      </w:r>
      <w:r>
        <w:rPr>
          <w:rFonts w:hint="eastAsia" w:ascii="宋体" w:hAnsi="宋体" w:cs="宋体"/>
          <w:color w:val="auto"/>
          <w:sz w:val="24"/>
          <w:szCs w:val="24"/>
          <w:lang w:val="en-US" w:eastAsia="zh-CN"/>
        </w:rPr>
        <w:t>以上</w:t>
      </w:r>
      <w:r>
        <w:rPr>
          <w:rFonts w:hint="eastAsia" w:ascii="宋体" w:hAnsi="宋体" w:cs="宋体"/>
          <w:color w:val="auto"/>
          <w:sz w:val="24"/>
          <w:szCs w:val="24"/>
        </w:rPr>
        <w:t>的毕业生选择在安徽省内发展。另外，占签就业协议形式总数</w:t>
      </w:r>
      <w:r>
        <w:rPr>
          <w:rFonts w:hint="eastAsia" w:ascii="宋体" w:hAnsi="宋体" w:cs="宋体"/>
          <w:color w:val="auto"/>
          <w:sz w:val="24"/>
          <w:szCs w:val="24"/>
          <w:lang w:val="en-US" w:eastAsia="zh-CN"/>
        </w:rPr>
        <w:t>27.63</w:t>
      </w:r>
      <w:r>
        <w:rPr>
          <w:rFonts w:hint="eastAsia" w:ascii="宋体" w:hAnsi="宋体" w:cs="宋体"/>
          <w:color w:val="auto"/>
          <w:sz w:val="24"/>
          <w:szCs w:val="24"/>
        </w:rPr>
        <w:t>%的</w:t>
      </w:r>
      <w:r>
        <w:rPr>
          <w:rFonts w:hint="eastAsia" w:ascii="宋体" w:hAnsi="宋体" w:cs="宋体"/>
          <w:color w:val="auto"/>
          <w:sz w:val="24"/>
          <w:szCs w:val="24"/>
          <w:lang w:val="en-US" w:eastAsia="zh-CN"/>
        </w:rPr>
        <w:t>121</w:t>
      </w:r>
      <w:r>
        <w:rPr>
          <w:rFonts w:hint="eastAsia" w:ascii="宋体" w:hAnsi="宋体" w:cs="宋体"/>
          <w:color w:val="auto"/>
          <w:sz w:val="24"/>
          <w:szCs w:val="24"/>
        </w:rPr>
        <w:t>名毕业生选择到省外发展，这</w:t>
      </w:r>
      <w:r>
        <w:rPr>
          <w:rFonts w:hint="eastAsia" w:ascii="宋体" w:hAnsi="宋体" w:cs="宋体"/>
          <w:color w:val="auto"/>
          <w:sz w:val="24"/>
          <w:szCs w:val="24"/>
          <w:lang w:val="en-US" w:eastAsia="zh-CN"/>
        </w:rPr>
        <w:t>121</w:t>
      </w:r>
      <w:r>
        <w:rPr>
          <w:rFonts w:hint="eastAsia" w:ascii="宋体" w:hAnsi="宋体" w:cs="宋体"/>
          <w:color w:val="auto"/>
          <w:sz w:val="24"/>
          <w:szCs w:val="24"/>
        </w:rPr>
        <w:t>名毕业生分布于北京、福建、广东、</w:t>
      </w:r>
      <w:r>
        <w:rPr>
          <w:rFonts w:hint="eastAsia" w:ascii="宋体" w:hAnsi="宋体" w:cs="宋体"/>
          <w:color w:val="auto"/>
          <w:sz w:val="24"/>
          <w:szCs w:val="24"/>
          <w:lang w:val="en-US" w:eastAsia="zh-CN"/>
        </w:rPr>
        <w:t>贵州、河北</w:t>
      </w:r>
      <w:r>
        <w:rPr>
          <w:rFonts w:hint="eastAsia" w:ascii="宋体" w:hAnsi="宋体" w:cs="宋体"/>
          <w:color w:val="auto"/>
          <w:sz w:val="24"/>
          <w:szCs w:val="24"/>
        </w:rPr>
        <w:t>、</w:t>
      </w:r>
      <w:r>
        <w:rPr>
          <w:rFonts w:hint="eastAsia" w:ascii="宋体" w:hAnsi="宋体" w:cs="宋体"/>
          <w:color w:val="auto"/>
          <w:sz w:val="24"/>
          <w:szCs w:val="24"/>
          <w:lang w:val="en-US" w:eastAsia="zh-CN"/>
        </w:rPr>
        <w:t>河南、黑龙江</w:t>
      </w:r>
      <w:r>
        <w:rPr>
          <w:rFonts w:hint="eastAsia" w:ascii="宋体" w:hAnsi="宋体" w:cs="宋体"/>
          <w:color w:val="auto"/>
          <w:sz w:val="24"/>
          <w:szCs w:val="24"/>
        </w:rPr>
        <w:t>、</w:t>
      </w:r>
      <w:r>
        <w:rPr>
          <w:rFonts w:hint="eastAsia" w:ascii="宋体" w:hAnsi="宋体" w:cs="宋体"/>
          <w:color w:val="auto"/>
          <w:sz w:val="24"/>
          <w:szCs w:val="24"/>
          <w:lang w:val="en-US" w:eastAsia="zh-CN"/>
        </w:rPr>
        <w:t>湖北</w:t>
      </w:r>
      <w:r>
        <w:rPr>
          <w:rFonts w:hint="eastAsia" w:ascii="宋体" w:hAnsi="宋体" w:cs="宋体"/>
          <w:color w:val="auto"/>
          <w:sz w:val="24"/>
          <w:szCs w:val="24"/>
        </w:rPr>
        <w:t>、</w:t>
      </w:r>
      <w:r>
        <w:rPr>
          <w:rFonts w:hint="eastAsia" w:ascii="宋体" w:hAnsi="宋体" w:cs="宋体"/>
          <w:color w:val="auto"/>
          <w:sz w:val="24"/>
          <w:szCs w:val="24"/>
          <w:lang w:val="en-US" w:eastAsia="zh-CN"/>
        </w:rPr>
        <w:t>江苏</w:t>
      </w:r>
      <w:r>
        <w:rPr>
          <w:rFonts w:hint="eastAsia" w:ascii="宋体" w:hAnsi="宋体" w:cs="宋体"/>
          <w:color w:val="auto"/>
          <w:sz w:val="24"/>
          <w:szCs w:val="24"/>
        </w:rPr>
        <w:t>、</w:t>
      </w:r>
      <w:r>
        <w:rPr>
          <w:rFonts w:hint="eastAsia" w:ascii="宋体" w:hAnsi="宋体" w:cs="宋体"/>
          <w:color w:val="auto"/>
          <w:sz w:val="24"/>
          <w:szCs w:val="24"/>
          <w:lang w:val="en-US" w:eastAsia="zh-CN"/>
        </w:rPr>
        <w:t>内蒙古</w:t>
      </w:r>
      <w:r>
        <w:rPr>
          <w:rFonts w:hint="eastAsia" w:ascii="宋体" w:hAnsi="宋体" w:cs="宋体"/>
          <w:color w:val="auto"/>
          <w:sz w:val="24"/>
          <w:szCs w:val="24"/>
        </w:rPr>
        <w:t>、</w:t>
      </w:r>
      <w:r>
        <w:rPr>
          <w:rFonts w:hint="eastAsia" w:ascii="宋体" w:hAnsi="宋体" w:cs="宋体"/>
          <w:color w:val="auto"/>
          <w:sz w:val="24"/>
          <w:szCs w:val="24"/>
          <w:lang w:val="en-US" w:eastAsia="zh-CN"/>
        </w:rPr>
        <w:t>山东</w:t>
      </w:r>
      <w:r>
        <w:rPr>
          <w:rFonts w:hint="eastAsia" w:ascii="宋体" w:hAnsi="宋体" w:cs="宋体"/>
          <w:color w:val="auto"/>
          <w:sz w:val="24"/>
          <w:szCs w:val="24"/>
        </w:rPr>
        <w:t>、</w:t>
      </w:r>
      <w:r>
        <w:rPr>
          <w:rFonts w:hint="eastAsia" w:ascii="宋体" w:hAnsi="宋体" w:cs="宋体"/>
          <w:color w:val="auto"/>
          <w:sz w:val="24"/>
          <w:szCs w:val="24"/>
          <w:lang w:val="en-US" w:eastAsia="zh-CN"/>
        </w:rPr>
        <w:t>山西</w:t>
      </w:r>
      <w:r>
        <w:rPr>
          <w:rFonts w:hint="eastAsia" w:ascii="宋体" w:hAnsi="宋体" w:cs="宋体"/>
          <w:color w:val="auto"/>
          <w:sz w:val="24"/>
          <w:szCs w:val="24"/>
        </w:rPr>
        <w:t>、</w:t>
      </w:r>
      <w:r>
        <w:rPr>
          <w:rFonts w:hint="eastAsia" w:ascii="宋体" w:hAnsi="宋体" w:cs="宋体"/>
          <w:color w:val="auto"/>
          <w:sz w:val="24"/>
          <w:szCs w:val="24"/>
          <w:lang w:val="en-US" w:eastAsia="zh-CN"/>
        </w:rPr>
        <w:t>陕西、上海、天津、浙江</w:t>
      </w:r>
      <w:r>
        <w:rPr>
          <w:rFonts w:hint="eastAsia" w:ascii="宋体" w:hAnsi="宋体" w:cs="宋体"/>
          <w:color w:val="auto"/>
          <w:sz w:val="24"/>
          <w:szCs w:val="24"/>
        </w:rPr>
        <w:t>。其中以广东、江苏、上海、浙江居多，分别是广东省</w:t>
      </w:r>
      <w:r>
        <w:rPr>
          <w:rFonts w:hint="eastAsia" w:ascii="宋体" w:hAnsi="宋体" w:cs="宋体"/>
          <w:color w:val="auto"/>
          <w:sz w:val="24"/>
          <w:szCs w:val="24"/>
          <w:lang w:val="en-US" w:eastAsia="zh-CN"/>
        </w:rPr>
        <w:t>13</w:t>
      </w:r>
      <w:r>
        <w:rPr>
          <w:rFonts w:hint="eastAsia" w:ascii="宋体" w:hAnsi="宋体" w:cs="宋体"/>
          <w:color w:val="auto"/>
          <w:sz w:val="24"/>
          <w:szCs w:val="24"/>
        </w:rPr>
        <w:t>人、江苏省</w:t>
      </w:r>
      <w:r>
        <w:rPr>
          <w:rFonts w:hint="eastAsia" w:ascii="宋体" w:hAnsi="宋体" w:cs="宋体"/>
          <w:color w:val="auto"/>
          <w:sz w:val="24"/>
          <w:szCs w:val="24"/>
          <w:lang w:val="en-US" w:eastAsia="zh-CN"/>
        </w:rPr>
        <w:t>26</w:t>
      </w:r>
      <w:r>
        <w:rPr>
          <w:rFonts w:hint="eastAsia" w:ascii="宋体" w:hAnsi="宋体" w:cs="宋体"/>
          <w:color w:val="auto"/>
          <w:sz w:val="24"/>
          <w:szCs w:val="24"/>
        </w:rPr>
        <w:t>人、上海市1</w:t>
      </w:r>
      <w:r>
        <w:rPr>
          <w:rFonts w:hint="eastAsia" w:ascii="宋体" w:hAnsi="宋体" w:cs="宋体"/>
          <w:color w:val="auto"/>
          <w:sz w:val="24"/>
          <w:szCs w:val="24"/>
          <w:lang w:val="en-US" w:eastAsia="zh-CN"/>
        </w:rPr>
        <w:t>7</w:t>
      </w:r>
      <w:r>
        <w:rPr>
          <w:rFonts w:hint="eastAsia" w:ascii="宋体" w:hAnsi="宋体" w:cs="宋体"/>
          <w:color w:val="auto"/>
          <w:sz w:val="24"/>
          <w:szCs w:val="24"/>
        </w:rPr>
        <w:t>人、浙江省</w:t>
      </w:r>
      <w:r>
        <w:rPr>
          <w:rFonts w:hint="eastAsia" w:ascii="宋体" w:hAnsi="宋体" w:cs="宋体"/>
          <w:color w:val="auto"/>
          <w:sz w:val="24"/>
          <w:szCs w:val="24"/>
          <w:lang w:val="en-US" w:eastAsia="zh-CN"/>
        </w:rPr>
        <w:t>23</w:t>
      </w:r>
      <w:r>
        <w:rPr>
          <w:rFonts w:hint="eastAsia" w:ascii="宋体" w:hAnsi="宋体" w:cs="宋体"/>
          <w:color w:val="auto"/>
          <w:sz w:val="24"/>
          <w:szCs w:val="24"/>
        </w:rPr>
        <w:t>人，共计</w:t>
      </w:r>
      <w:r>
        <w:rPr>
          <w:rFonts w:hint="eastAsia" w:ascii="宋体" w:hAnsi="宋体" w:cs="宋体"/>
          <w:color w:val="auto"/>
          <w:sz w:val="24"/>
          <w:szCs w:val="24"/>
          <w:lang w:val="en-US" w:eastAsia="zh-CN"/>
        </w:rPr>
        <w:t>79</w:t>
      </w:r>
      <w:r>
        <w:rPr>
          <w:rFonts w:hint="eastAsia" w:ascii="宋体" w:hAnsi="宋体" w:cs="宋体"/>
          <w:color w:val="auto"/>
          <w:sz w:val="24"/>
          <w:szCs w:val="24"/>
        </w:rPr>
        <w:t>人。江浙沪粤地区就业人数占省外就业总人数的</w:t>
      </w:r>
      <w:r>
        <w:rPr>
          <w:rFonts w:hint="eastAsia" w:ascii="宋体" w:hAnsi="宋体" w:cs="宋体"/>
          <w:color w:val="auto"/>
          <w:sz w:val="24"/>
          <w:szCs w:val="24"/>
          <w:lang w:val="en-US" w:eastAsia="zh-CN"/>
        </w:rPr>
        <w:t>65.29</w:t>
      </w:r>
      <w:r>
        <w:rPr>
          <w:rFonts w:hint="eastAsia" w:ascii="宋体" w:hAnsi="宋体" w:cs="宋体"/>
          <w:color w:val="auto"/>
          <w:sz w:val="24"/>
          <w:szCs w:val="24"/>
        </w:rPr>
        <w:t>%。这表明我</w:t>
      </w:r>
      <w:r>
        <w:rPr>
          <w:rFonts w:hint="eastAsia" w:ascii="宋体" w:hAnsi="宋体" w:cs="宋体"/>
          <w:color w:val="auto"/>
          <w:sz w:val="24"/>
          <w:szCs w:val="24"/>
          <w:lang w:val="en-US" w:eastAsia="zh-CN"/>
        </w:rPr>
        <w:t>院</w:t>
      </w:r>
      <w:r>
        <w:rPr>
          <w:rFonts w:hint="eastAsia" w:ascii="宋体" w:hAnsi="宋体" w:cs="宋体"/>
          <w:color w:val="auto"/>
          <w:sz w:val="24"/>
          <w:szCs w:val="24"/>
        </w:rPr>
        <w:t>选择省外就业的毕业生倾向于经济比较发达的东部沿海开放地区。</w:t>
      </w:r>
    </w:p>
    <w:p>
      <w:pPr>
        <w:spacing w:line="360" w:lineRule="auto"/>
        <w:ind w:firstLine="480" w:firstLineChars="200"/>
        <w:rPr>
          <w:rFonts w:hint="eastAsia" w:ascii="宋体" w:hAnsi="宋体" w:cs="宋体"/>
          <w:color w:val="auto"/>
          <w:sz w:val="24"/>
          <w:szCs w:val="24"/>
        </w:rPr>
      </w:pPr>
      <w:r>
        <w:rPr>
          <w:rFonts w:hint="eastAsia" w:ascii="宋体" w:hAnsi="宋体" w:cs="宋体"/>
          <w:color w:val="auto"/>
          <w:sz w:val="24"/>
          <w:szCs w:val="24"/>
        </w:rPr>
        <w:t>表2：毕业生就业地域</w:t>
      </w:r>
    </w:p>
    <w:tbl>
      <w:tblPr>
        <w:tblStyle w:val="13"/>
        <w:tblW w:w="0" w:type="auto"/>
        <w:jc w:val="center"/>
        <w:tblLayout w:type="fixed"/>
        <w:tblCellMar>
          <w:top w:w="15" w:type="dxa"/>
          <w:left w:w="15" w:type="dxa"/>
          <w:bottom w:w="15" w:type="dxa"/>
          <w:right w:w="15" w:type="dxa"/>
        </w:tblCellMar>
      </w:tblPr>
      <w:tblGrid>
        <w:gridCol w:w="2059"/>
        <w:gridCol w:w="1318"/>
        <w:gridCol w:w="1200"/>
        <w:gridCol w:w="3148"/>
      </w:tblGrid>
      <w:tr>
        <w:tblPrEx>
          <w:tblCellMar>
            <w:top w:w="15" w:type="dxa"/>
            <w:left w:w="15" w:type="dxa"/>
            <w:bottom w:w="15" w:type="dxa"/>
            <w:right w:w="15" w:type="dxa"/>
          </w:tblCellMar>
        </w:tblPrEx>
        <w:trPr>
          <w:trHeight w:val="564" w:hRule="atLeast"/>
          <w:jc w:val="center"/>
        </w:trPr>
        <w:tc>
          <w:tcPr>
            <w:tcW w:w="2059" w:type="dxa"/>
            <w:vMerge w:val="restart"/>
            <w:tcBorders>
              <w:top w:val="single" w:color="auto" w:sz="4" w:space="0"/>
              <w:left w:val="single" w:color="auto" w:sz="4" w:space="0"/>
              <w:right w:val="single" w:color="auto" w:sz="4" w:space="0"/>
            </w:tcBorders>
            <w:noWrap w:val="0"/>
            <w:vAlign w:val="center"/>
          </w:tcPr>
          <w:p>
            <w:pPr>
              <w:widowControl/>
              <w:spacing w:line="360" w:lineRule="auto"/>
              <w:jc w:val="center"/>
              <w:textAlignment w:val="bottom"/>
              <w:rPr>
                <w:rFonts w:hint="eastAsia" w:ascii="宋体" w:hAnsi="宋体" w:cs="宋体"/>
                <w:b/>
                <w:bCs/>
                <w:color w:val="auto"/>
                <w:kern w:val="0"/>
                <w:sz w:val="24"/>
                <w:szCs w:val="24"/>
              </w:rPr>
            </w:pPr>
          </w:p>
          <w:p>
            <w:pPr>
              <w:widowControl/>
              <w:spacing w:line="360" w:lineRule="auto"/>
              <w:jc w:val="center"/>
              <w:textAlignment w:val="bottom"/>
              <w:rPr>
                <w:rFonts w:hint="eastAsia" w:ascii="宋体" w:hAnsi="宋体" w:cs="宋体"/>
                <w:b/>
                <w:bCs/>
                <w:color w:val="auto"/>
                <w:sz w:val="24"/>
                <w:szCs w:val="24"/>
              </w:rPr>
            </w:pPr>
            <w:r>
              <w:rPr>
                <w:rFonts w:hint="eastAsia" w:ascii="宋体" w:hAnsi="宋体" w:cs="宋体"/>
                <w:b/>
                <w:bCs/>
                <w:color w:val="auto"/>
                <w:kern w:val="0"/>
                <w:sz w:val="24"/>
                <w:szCs w:val="24"/>
              </w:rPr>
              <w:t>就业地域</w:t>
            </w:r>
          </w:p>
        </w:tc>
        <w:tc>
          <w:tcPr>
            <w:tcW w:w="2518" w:type="dxa"/>
            <w:gridSpan w:val="2"/>
            <w:tcBorders>
              <w:top w:val="single" w:color="auto" w:sz="4" w:space="0"/>
              <w:left w:val="single" w:color="auto" w:sz="4" w:space="0"/>
              <w:bottom w:val="single" w:color="auto" w:sz="4" w:space="0"/>
              <w:right w:val="single" w:color="auto" w:sz="4" w:space="0"/>
            </w:tcBorders>
            <w:noWrap w:val="0"/>
            <w:vAlign w:val="center"/>
          </w:tcPr>
          <w:p>
            <w:pPr>
              <w:widowControl/>
              <w:spacing w:line="360" w:lineRule="auto"/>
              <w:jc w:val="center"/>
              <w:textAlignment w:val="bottom"/>
              <w:rPr>
                <w:rFonts w:hint="eastAsia" w:ascii="宋体" w:hAnsi="宋体" w:cs="宋体"/>
                <w:b/>
                <w:bCs/>
                <w:color w:val="auto"/>
                <w:sz w:val="24"/>
                <w:szCs w:val="24"/>
              </w:rPr>
            </w:pPr>
            <w:r>
              <w:rPr>
                <w:rFonts w:hint="eastAsia" w:ascii="宋体" w:hAnsi="宋体" w:cs="宋体"/>
                <w:b/>
                <w:bCs/>
                <w:color w:val="auto"/>
                <w:kern w:val="0"/>
                <w:sz w:val="24"/>
                <w:szCs w:val="24"/>
              </w:rPr>
              <w:t>安徽省</w:t>
            </w:r>
          </w:p>
        </w:tc>
        <w:tc>
          <w:tcPr>
            <w:tcW w:w="3148" w:type="dxa"/>
            <w:vMerge w:val="restart"/>
            <w:tcBorders>
              <w:top w:val="single" w:color="auto" w:sz="4" w:space="0"/>
              <w:left w:val="single" w:color="auto" w:sz="4" w:space="0"/>
              <w:right w:val="single" w:color="auto" w:sz="4" w:space="0"/>
            </w:tcBorders>
            <w:noWrap w:val="0"/>
            <w:vAlign w:val="center"/>
          </w:tcPr>
          <w:p>
            <w:pPr>
              <w:widowControl/>
              <w:spacing w:line="360" w:lineRule="auto"/>
              <w:jc w:val="center"/>
              <w:textAlignment w:val="bottom"/>
              <w:rPr>
                <w:rFonts w:hint="eastAsia" w:ascii="宋体" w:hAnsi="宋体" w:cs="宋体"/>
                <w:b/>
                <w:bCs/>
                <w:color w:val="auto"/>
                <w:sz w:val="24"/>
                <w:szCs w:val="24"/>
              </w:rPr>
            </w:pPr>
            <w:r>
              <w:rPr>
                <w:rFonts w:hint="eastAsia" w:ascii="宋体" w:hAnsi="宋体" w:cs="宋体"/>
                <w:b/>
                <w:bCs/>
                <w:color w:val="auto"/>
                <w:kern w:val="0"/>
                <w:sz w:val="24"/>
                <w:szCs w:val="24"/>
              </w:rPr>
              <w:t>外省</w:t>
            </w:r>
          </w:p>
        </w:tc>
      </w:tr>
      <w:tr>
        <w:tblPrEx>
          <w:tblCellMar>
            <w:top w:w="15" w:type="dxa"/>
            <w:left w:w="15" w:type="dxa"/>
            <w:bottom w:w="15" w:type="dxa"/>
            <w:right w:w="15" w:type="dxa"/>
          </w:tblCellMar>
        </w:tblPrEx>
        <w:trPr>
          <w:trHeight w:val="564" w:hRule="atLeast"/>
          <w:jc w:val="center"/>
        </w:trPr>
        <w:tc>
          <w:tcPr>
            <w:tcW w:w="2059" w:type="dxa"/>
            <w:vMerge w:val="continue"/>
            <w:tcBorders>
              <w:left w:val="single" w:color="auto" w:sz="4" w:space="0"/>
              <w:bottom w:val="single" w:color="auto" w:sz="4" w:space="0"/>
              <w:right w:val="single" w:color="auto" w:sz="4" w:space="0"/>
            </w:tcBorders>
            <w:noWrap w:val="0"/>
            <w:vAlign w:val="center"/>
          </w:tcPr>
          <w:p>
            <w:pPr>
              <w:widowControl/>
              <w:spacing w:line="360" w:lineRule="auto"/>
              <w:jc w:val="center"/>
              <w:textAlignment w:val="bottom"/>
              <w:rPr>
                <w:color w:val="auto"/>
                <w:sz w:val="24"/>
                <w:szCs w:val="24"/>
              </w:rPr>
            </w:pPr>
          </w:p>
        </w:tc>
        <w:tc>
          <w:tcPr>
            <w:tcW w:w="1318" w:type="dxa"/>
            <w:tcBorders>
              <w:top w:val="single" w:color="auto" w:sz="4" w:space="0"/>
              <w:left w:val="single" w:color="auto" w:sz="4" w:space="0"/>
              <w:bottom w:val="single" w:color="auto" w:sz="4" w:space="0"/>
              <w:right w:val="single" w:color="auto" w:sz="4" w:space="0"/>
            </w:tcBorders>
            <w:noWrap w:val="0"/>
            <w:vAlign w:val="center"/>
          </w:tcPr>
          <w:p>
            <w:pPr>
              <w:widowControl/>
              <w:spacing w:line="360" w:lineRule="auto"/>
              <w:jc w:val="center"/>
              <w:textAlignment w:val="bottom"/>
              <w:rPr>
                <w:rFonts w:hint="eastAsia" w:ascii="宋体" w:hAnsi="宋体" w:cs="宋体"/>
                <w:b/>
                <w:bCs/>
                <w:color w:val="auto"/>
                <w:kern w:val="0"/>
                <w:sz w:val="24"/>
                <w:szCs w:val="24"/>
              </w:rPr>
            </w:pPr>
            <w:r>
              <w:rPr>
                <w:rFonts w:hint="eastAsia" w:ascii="宋体" w:hAnsi="宋体" w:cs="宋体"/>
                <w:b/>
                <w:bCs/>
                <w:color w:val="auto"/>
                <w:kern w:val="0"/>
                <w:sz w:val="24"/>
                <w:szCs w:val="24"/>
              </w:rPr>
              <w:t>合肥市</w:t>
            </w:r>
          </w:p>
        </w:tc>
        <w:tc>
          <w:tcPr>
            <w:tcW w:w="1200" w:type="dxa"/>
            <w:tcBorders>
              <w:top w:val="single" w:color="auto" w:sz="4" w:space="0"/>
              <w:left w:val="single" w:color="auto" w:sz="4" w:space="0"/>
              <w:bottom w:val="single" w:color="auto" w:sz="4" w:space="0"/>
              <w:right w:val="single" w:color="auto" w:sz="4" w:space="0"/>
            </w:tcBorders>
            <w:noWrap w:val="0"/>
            <w:vAlign w:val="center"/>
          </w:tcPr>
          <w:p>
            <w:pPr>
              <w:widowControl/>
              <w:spacing w:line="360" w:lineRule="auto"/>
              <w:jc w:val="center"/>
              <w:textAlignment w:val="bottom"/>
              <w:rPr>
                <w:rFonts w:hint="eastAsia" w:ascii="宋体" w:hAnsi="宋体" w:cs="宋体"/>
                <w:b/>
                <w:bCs/>
                <w:color w:val="auto"/>
                <w:kern w:val="0"/>
                <w:sz w:val="24"/>
                <w:szCs w:val="24"/>
              </w:rPr>
            </w:pPr>
            <w:r>
              <w:rPr>
                <w:rFonts w:hint="eastAsia" w:ascii="宋体" w:hAnsi="宋体" w:cs="宋体"/>
                <w:b/>
                <w:bCs/>
                <w:color w:val="auto"/>
                <w:kern w:val="0"/>
                <w:sz w:val="24"/>
                <w:szCs w:val="24"/>
              </w:rPr>
              <w:t>合肥市外</w:t>
            </w:r>
          </w:p>
        </w:tc>
        <w:tc>
          <w:tcPr>
            <w:tcW w:w="3148" w:type="dxa"/>
            <w:vMerge w:val="continue"/>
            <w:tcBorders>
              <w:left w:val="single" w:color="auto" w:sz="4" w:space="0"/>
              <w:bottom w:val="single" w:color="auto" w:sz="4" w:space="0"/>
              <w:right w:val="single" w:color="auto" w:sz="4" w:space="0"/>
            </w:tcBorders>
            <w:noWrap w:val="0"/>
            <w:vAlign w:val="center"/>
          </w:tcPr>
          <w:p>
            <w:pPr>
              <w:widowControl/>
              <w:spacing w:line="360" w:lineRule="auto"/>
              <w:jc w:val="center"/>
              <w:textAlignment w:val="bottom"/>
              <w:rPr>
                <w:rFonts w:hint="eastAsia" w:ascii="宋体" w:hAnsi="宋体" w:cs="宋体"/>
                <w:color w:val="auto"/>
                <w:kern w:val="0"/>
                <w:sz w:val="24"/>
                <w:szCs w:val="24"/>
              </w:rPr>
            </w:pPr>
          </w:p>
        </w:tc>
      </w:tr>
      <w:tr>
        <w:tblPrEx>
          <w:tblCellMar>
            <w:top w:w="15" w:type="dxa"/>
            <w:left w:w="15" w:type="dxa"/>
            <w:bottom w:w="15" w:type="dxa"/>
            <w:right w:w="15" w:type="dxa"/>
          </w:tblCellMar>
        </w:tblPrEx>
        <w:trPr>
          <w:trHeight w:val="285" w:hRule="atLeast"/>
          <w:jc w:val="center"/>
        </w:trPr>
        <w:tc>
          <w:tcPr>
            <w:tcW w:w="2059" w:type="dxa"/>
            <w:tcBorders>
              <w:top w:val="single" w:color="auto" w:sz="4" w:space="0"/>
              <w:left w:val="single" w:color="auto" w:sz="4" w:space="0"/>
              <w:bottom w:val="single" w:color="auto" w:sz="4" w:space="0"/>
              <w:right w:val="single" w:color="auto" w:sz="4" w:space="0"/>
            </w:tcBorders>
            <w:noWrap w:val="0"/>
            <w:vAlign w:val="center"/>
          </w:tcPr>
          <w:p>
            <w:pPr>
              <w:widowControl/>
              <w:spacing w:line="360" w:lineRule="auto"/>
              <w:jc w:val="center"/>
              <w:textAlignment w:val="bottom"/>
              <w:rPr>
                <w:rFonts w:hint="eastAsia" w:ascii="宋体" w:hAnsi="宋体" w:cs="宋体"/>
                <w:color w:val="auto"/>
                <w:sz w:val="24"/>
                <w:szCs w:val="24"/>
              </w:rPr>
            </w:pPr>
            <w:r>
              <w:rPr>
                <w:rFonts w:hint="eastAsia" w:ascii="宋体" w:hAnsi="宋体" w:cs="宋体"/>
                <w:color w:val="auto"/>
                <w:kern w:val="0"/>
                <w:sz w:val="24"/>
                <w:szCs w:val="24"/>
              </w:rPr>
              <w:t>人数</w:t>
            </w:r>
          </w:p>
        </w:tc>
        <w:tc>
          <w:tcPr>
            <w:tcW w:w="1318" w:type="dxa"/>
            <w:tcBorders>
              <w:top w:val="single" w:color="auto" w:sz="4" w:space="0"/>
              <w:left w:val="single" w:color="auto" w:sz="4" w:space="0"/>
              <w:bottom w:val="single" w:color="auto" w:sz="4" w:space="0"/>
              <w:right w:val="single" w:color="auto" w:sz="4" w:space="0"/>
            </w:tcBorders>
            <w:noWrap w:val="0"/>
            <w:vAlign w:val="center"/>
          </w:tcPr>
          <w:p>
            <w:pPr>
              <w:widowControl/>
              <w:spacing w:line="360" w:lineRule="auto"/>
              <w:jc w:val="center"/>
              <w:textAlignment w:val="bottom"/>
              <w:rPr>
                <w:rFonts w:hint="default"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223</w:t>
            </w:r>
          </w:p>
        </w:tc>
        <w:tc>
          <w:tcPr>
            <w:tcW w:w="1200" w:type="dxa"/>
            <w:tcBorders>
              <w:top w:val="single" w:color="auto" w:sz="4" w:space="0"/>
              <w:left w:val="single" w:color="auto" w:sz="4" w:space="0"/>
              <w:bottom w:val="single" w:color="auto" w:sz="4" w:space="0"/>
              <w:right w:val="single" w:color="auto" w:sz="4" w:space="0"/>
            </w:tcBorders>
            <w:noWrap w:val="0"/>
            <w:vAlign w:val="center"/>
          </w:tcPr>
          <w:p>
            <w:pPr>
              <w:widowControl/>
              <w:spacing w:line="360" w:lineRule="auto"/>
              <w:jc w:val="center"/>
              <w:textAlignment w:val="bottom"/>
              <w:rPr>
                <w:rFonts w:hint="default"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94</w:t>
            </w:r>
          </w:p>
        </w:tc>
        <w:tc>
          <w:tcPr>
            <w:tcW w:w="3148" w:type="dxa"/>
            <w:tcBorders>
              <w:top w:val="single" w:color="auto" w:sz="4" w:space="0"/>
              <w:left w:val="single" w:color="auto" w:sz="4" w:space="0"/>
              <w:bottom w:val="single" w:color="auto" w:sz="4" w:space="0"/>
              <w:right w:val="single" w:color="auto" w:sz="4" w:space="0"/>
            </w:tcBorders>
            <w:noWrap w:val="0"/>
            <w:vAlign w:val="center"/>
          </w:tcPr>
          <w:p>
            <w:pPr>
              <w:widowControl/>
              <w:spacing w:line="360" w:lineRule="auto"/>
              <w:jc w:val="center"/>
              <w:textAlignment w:val="bottom"/>
              <w:rPr>
                <w:rFonts w:hint="default" w:ascii="宋体" w:hAnsi="宋体" w:eastAsia="宋体" w:cs="宋体"/>
                <w:color w:val="auto"/>
                <w:sz w:val="24"/>
                <w:szCs w:val="24"/>
                <w:lang w:val="en-US" w:eastAsia="zh-CN"/>
              </w:rPr>
            </w:pPr>
            <w:r>
              <w:rPr>
                <w:rFonts w:hint="eastAsia" w:ascii="宋体" w:hAnsi="宋体" w:cs="宋体"/>
                <w:color w:val="auto"/>
                <w:sz w:val="24"/>
                <w:szCs w:val="24"/>
                <w:lang w:val="en-US" w:eastAsia="zh-CN"/>
              </w:rPr>
              <w:t>121</w:t>
            </w:r>
          </w:p>
        </w:tc>
      </w:tr>
      <w:tr>
        <w:tblPrEx>
          <w:tblCellMar>
            <w:top w:w="15" w:type="dxa"/>
            <w:left w:w="15" w:type="dxa"/>
            <w:bottom w:w="15" w:type="dxa"/>
            <w:right w:w="15" w:type="dxa"/>
          </w:tblCellMar>
        </w:tblPrEx>
        <w:trPr>
          <w:trHeight w:val="300" w:hRule="atLeast"/>
          <w:jc w:val="center"/>
        </w:trPr>
        <w:tc>
          <w:tcPr>
            <w:tcW w:w="2059"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eastAsia" w:ascii="宋体" w:hAnsi="宋体" w:cs="宋体"/>
                <w:color w:val="auto"/>
                <w:sz w:val="24"/>
                <w:szCs w:val="24"/>
              </w:rPr>
            </w:pPr>
            <w:r>
              <w:rPr>
                <w:rFonts w:hint="eastAsia" w:ascii="宋体" w:hAnsi="宋体" w:cs="宋体"/>
                <w:color w:val="auto"/>
                <w:sz w:val="24"/>
                <w:szCs w:val="24"/>
              </w:rPr>
              <w:t>占签订协议书比例</w:t>
            </w:r>
          </w:p>
        </w:tc>
        <w:tc>
          <w:tcPr>
            <w:tcW w:w="2518" w:type="dxa"/>
            <w:gridSpan w:val="2"/>
            <w:tcBorders>
              <w:top w:val="single" w:color="auto" w:sz="4" w:space="0"/>
              <w:left w:val="single" w:color="auto" w:sz="4" w:space="0"/>
              <w:bottom w:val="single" w:color="auto" w:sz="4" w:space="0"/>
              <w:right w:val="single" w:color="auto" w:sz="4" w:space="0"/>
            </w:tcBorders>
            <w:noWrap w:val="0"/>
            <w:vAlign w:val="center"/>
          </w:tcPr>
          <w:p>
            <w:pPr>
              <w:widowControl/>
              <w:spacing w:line="360" w:lineRule="auto"/>
              <w:jc w:val="center"/>
              <w:textAlignment w:val="bottom"/>
              <w:rPr>
                <w:rFonts w:hint="default" w:ascii="宋体" w:hAnsi="宋体" w:eastAsia="宋体" w:cs="宋体"/>
                <w:color w:val="auto"/>
                <w:sz w:val="24"/>
                <w:szCs w:val="24"/>
                <w:lang w:val="en-US" w:eastAsia="zh-CN"/>
              </w:rPr>
            </w:pPr>
            <w:r>
              <w:rPr>
                <w:rFonts w:hint="eastAsia" w:ascii="宋体" w:hAnsi="宋体" w:cs="宋体"/>
                <w:color w:val="auto"/>
                <w:sz w:val="24"/>
                <w:szCs w:val="24"/>
                <w:lang w:val="en-US" w:eastAsia="zh-CN"/>
              </w:rPr>
              <w:t>72.37%</w:t>
            </w:r>
          </w:p>
        </w:tc>
        <w:tc>
          <w:tcPr>
            <w:tcW w:w="3148" w:type="dxa"/>
            <w:tcBorders>
              <w:left w:val="single" w:color="auto" w:sz="4" w:space="0"/>
              <w:bottom w:val="single" w:color="auto" w:sz="4" w:space="0"/>
              <w:right w:val="single" w:color="auto" w:sz="4" w:space="0"/>
            </w:tcBorders>
            <w:noWrap w:val="0"/>
            <w:vAlign w:val="center"/>
          </w:tcPr>
          <w:p>
            <w:pPr>
              <w:widowControl/>
              <w:spacing w:line="360" w:lineRule="auto"/>
              <w:jc w:val="center"/>
              <w:textAlignment w:val="bottom"/>
              <w:rPr>
                <w:rFonts w:hint="default" w:ascii="宋体" w:hAnsi="宋体" w:eastAsia="宋体" w:cs="宋体"/>
                <w:color w:val="auto"/>
                <w:sz w:val="24"/>
                <w:szCs w:val="24"/>
                <w:lang w:val="en-US" w:eastAsia="zh-CN"/>
              </w:rPr>
            </w:pPr>
            <w:r>
              <w:rPr>
                <w:rFonts w:hint="eastAsia" w:ascii="宋体" w:hAnsi="宋体" w:cs="宋体"/>
                <w:color w:val="auto"/>
                <w:sz w:val="24"/>
                <w:szCs w:val="24"/>
                <w:lang w:val="en-US" w:eastAsia="zh-CN"/>
              </w:rPr>
              <w:t>27.63%</w:t>
            </w:r>
          </w:p>
        </w:tc>
      </w:tr>
    </w:tbl>
    <w:p>
      <w:pPr>
        <w:keepNext w:val="0"/>
        <w:keepLines w:val="0"/>
        <w:pageBreakBefore w:val="0"/>
        <w:kinsoku/>
        <w:wordWrap/>
        <w:overflowPunct/>
        <w:topLinePunct w:val="0"/>
        <w:autoSpaceDE/>
        <w:autoSpaceDN/>
        <w:bidi w:val="0"/>
        <w:adjustRightInd/>
        <w:snapToGrid/>
        <w:spacing w:line="360" w:lineRule="auto"/>
        <w:ind w:right="0" w:rightChars="0" w:firstLine="480" w:firstLineChars="200"/>
        <w:outlineLvl w:val="9"/>
        <w:rPr>
          <w:rFonts w:hint="eastAsia" w:ascii="宋体" w:hAnsi="宋体" w:cs="宋体"/>
          <w:color w:val="auto"/>
          <w:sz w:val="24"/>
          <w:szCs w:val="24"/>
          <w:highlight w:val="none"/>
          <w:shd w:val="clear" w:color="auto" w:fill="auto"/>
        </w:rPr>
      </w:pPr>
      <w:r>
        <w:rPr>
          <w:rFonts w:hint="eastAsia" w:ascii="宋体" w:hAnsi="宋体" w:cs="宋体"/>
          <w:color w:val="auto"/>
          <w:sz w:val="24"/>
          <w:szCs w:val="24"/>
          <w:highlight w:val="none"/>
          <w:shd w:val="clear" w:color="auto" w:fill="auto"/>
          <w:lang w:val="en-US" w:eastAsia="zh-CN"/>
        </w:rPr>
        <w:t>2、</w:t>
      </w:r>
      <w:r>
        <w:rPr>
          <w:rFonts w:hint="eastAsia" w:ascii="宋体" w:hAnsi="宋体" w:cs="宋体"/>
          <w:color w:val="auto"/>
          <w:sz w:val="24"/>
          <w:szCs w:val="24"/>
          <w:highlight w:val="none"/>
          <w:shd w:val="clear" w:color="auto" w:fill="auto"/>
        </w:rPr>
        <w:t>毕业生就业结构</w:t>
      </w:r>
    </w:p>
    <w:p>
      <w:pPr>
        <w:keepNext w:val="0"/>
        <w:keepLines w:val="0"/>
        <w:pageBreakBefore w:val="0"/>
        <w:kinsoku/>
        <w:wordWrap/>
        <w:overflowPunct/>
        <w:topLinePunct w:val="0"/>
        <w:autoSpaceDE/>
        <w:autoSpaceDN/>
        <w:bidi w:val="0"/>
        <w:adjustRightInd/>
        <w:snapToGrid/>
        <w:spacing w:line="360" w:lineRule="auto"/>
        <w:ind w:left="0" w:leftChars="0" w:right="0" w:rightChars="0" w:firstLine="480" w:firstLineChars="200"/>
        <w:outlineLvl w:val="9"/>
        <w:rPr>
          <w:rFonts w:hint="eastAsia" w:ascii="宋体" w:hAnsi="宋体" w:cs="宋体"/>
          <w:color w:val="auto"/>
          <w:sz w:val="24"/>
          <w:szCs w:val="24"/>
          <w:highlight w:val="none"/>
          <w:shd w:val="clear" w:color="auto" w:fill="auto"/>
          <w:lang w:val="en-US" w:eastAsia="zh-CN"/>
        </w:rPr>
      </w:pPr>
      <w:r>
        <w:rPr>
          <w:rFonts w:hint="eastAsia" w:ascii="宋体" w:hAnsi="宋体" w:cs="宋体"/>
          <w:color w:val="auto"/>
          <w:sz w:val="24"/>
          <w:szCs w:val="24"/>
          <w:highlight w:val="none"/>
          <w:shd w:val="clear" w:color="auto" w:fill="auto"/>
          <w:lang w:eastAsia="zh-CN"/>
        </w:rPr>
        <w:t>（</w:t>
      </w:r>
      <w:r>
        <w:rPr>
          <w:rFonts w:hint="eastAsia" w:ascii="宋体" w:hAnsi="宋体" w:cs="宋体"/>
          <w:color w:val="auto"/>
          <w:sz w:val="24"/>
          <w:szCs w:val="24"/>
          <w:highlight w:val="none"/>
          <w:shd w:val="clear" w:color="auto" w:fill="auto"/>
          <w:lang w:val="en-US" w:eastAsia="zh-CN"/>
        </w:rPr>
        <w:t>1</w:t>
      </w:r>
      <w:r>
        <w:rPr>
          <w:rFonts w:hint="eastAsia" w:ascii="宋体" w:hAnsi="宋体" w:cs="宋体"/>
          <w:color w:val="auto"/>
          <w:sz w:val="24"/>
          <w:szCs w:val="24"/>
          <w:highlight w:val="none"/>
          <w:shd w:val="clear" w:color="auto" w:fill="auto"/>
          <w:lang w:eastAsia="zh-CN"/>
        </w:rPr>
        <w:t>）</w:t>
      </w:r>
      <w:r>
        <w:rPr>
          <w:rFonts w:hint="eastAsia" w:ascii="宋体" w:hAnsi="宋体" w:cs="宋体"/>
          <w:color w:val="auto"/>
          <w:sz w:val="24"/>
          <w:szCs w:val="24"/>
          <w:highlight w:val="none"/>
          <w:shd w:val="clear" w:color="auto" w:fill="auto"/>
        </w:rPr>
        <w:t>从单位性质来看，</w:t>
      </w:r>
      <w:r>
        <w:rPr>
          <w:rFonts w:hint="eastAsia" w:ascii="宋体" w:hAnsi="宋体" w:cs="宋体"/>
          <w:color w:val="auto"/>
          <w:sz w:val="24"/>
          <w:szCs w:val="24"/>
          <w:highlight w:val="none"/>
          <w:shd w:val="clear" w:color="auto" w:fill="auto"/>
          <w:lang w:val="en-US" w:eastAsia="zh-CN"/>
        </w:rPr>
        <w:t>在签订就业协议书的438人中，5人在机关，55人在国有企业，328人在民营</w:t>
      </w:r>
      <w:r>
        <w:rPr>
          <w:rFonts w:hint="eastAsia" w:ascii="宋体" w:hAnsi="宋体" w:eastAsia="宋体" w:cs="宋体"/>
          <w:color w:val="auto"/>
          <w:sz w:val="24"/>
          <w:szCs w:val="24"/>
          <w:highlight w:val="none"/>
          <w:shd w:val="clear" w:color="auto" w:fill="auto"/>
          <w:lang w:val="en-US" w:eastAsia="zh-CN"/>
        </w:rPr>
        <w:t>企业，2人在其他事业单位，48人在三资企业。机关就业比例为1.14%，国有企业就业比例为12.56%，事业单位就业比例为</w:t>
      </w:r>
      <w:r>
        <w:rPr>
          <w:rFonts w:hint="default" w:ascii="宋体" w:hAnsi="宋体" w:eastAsia="宋体" w:cs="宋体"/>
          <w:color w:val="auto"/>
          <w:sz w:val="24"/>
          <w:szCs w:val="24"/>
          <w:highlight w:val="none"/>
          <w:shd w:val="clear" w:color="auto" w:fill="auto"/>
          <w:lang w:val="en-US" w:eastAsia="zh-CN"/>
        </w:rPr>
        <w:t>0.</w:t>
      </w:r>
      <w:r>
        <w:rPr>
          <w:rFonts w:hint="eastAsia" w:ascii="宋体" w:hAnsi="宋体" w:eastAsia="宋体" w:cs="宋体"/>
          <w:color w:val="auto"/>
          <w:sz w:val="24"/>
          <w:szCs w:val="24"/>
          <w:highlight w:val="none"/>
          <w:shd w:val="clear" w:color="auto" w:fill="auto"/>
          <w:lang w:val="en-US" w:eastAsia="zh-CN"/>
        </w:rPr>
        <w:t>45%，</w:t>
      </w:r>
      <w:r>
        <w:rPr>
          <w:rFonts w:hint="eastAsia" w:ascii="宋体" w:hAnsi="宋体" w:cs="宋体"/>
          <w:color w:val="auto"/>
          <w:sz w:val="24"/>
          <w:szCs w:val="24"/>
          <w:highlight w:val="none"/>
          <w:shd w:val="clear" w:color="auto" w:fill="auto"/>
          <w:lang w:val="en-US" w:eastAsia="zh-CN"/>
        </w:rPr>
        <w:t>非公有制企业就业比为85.85%（民营企业就业比例为74.89%，三资企业就业比例为10.96%）。这表明，非公有制企业是吸纳我院毕业生就业的主体力量。</w:t>
      </w:r>
    </w:p>
    <w:p>
      <w:pPr>
        <w:keepNext w:val="0"/>
        <w:keepLines w:val="0"/>
        <w:pageBreakBefore w:val="0"/>
        <w:kinsoku/>
        <w:wordWrap/>
        <w:overflowPunct/>
        <w:topLinePunct w:val="0"/>
        <w:autoSpaceDE/>
        <w:autoSpaceDN/>
        <w:bidi w:val="0"/>
        <w:adjustRightInd/>
        <w:snapToGrid/>
        <w:spacing w:line="360" w:lineRule="auto"/>
        <w:ind w:right="0" w:rightChars="0" w:firstLine="480" w:firstLineChars="200"/>
        <w:outlineLvl w:val="9"/>
        <w:rPr>
          <w:rFonts w:hint="eastAsia" w:ascii="宋体" w:hAnsi="宋体" w:cs="宋体"/>
          <w:color w:val="auto"/>
          <w:sz w:val="24"/>
          <w:szCs w:val="24"/>
          <w:highlight w:val="none"/>
          <w:shd w:val="clear" w:color="auto" w:fill="auto"/>
        </w:rPr>
      </w:pPr>
      <w:r>
        <w:rPr>
          <w:rFonts w:hint="eastAsia" w:ascii="宋体" w:hAnsi="宋体" w:cs="宋体"/>
          <w:color w:val="auto"/>
          <w:sz w:val="24"/>
          <w:szCs w:val="24"/>
          <w:highlight w:val="none"/>
          <w:shd w:val="clear" w:color="auto" w:fill="auto"/>
        </w:rPr>
        <w:t>表</w:t>
      </w:r>
      <w:r>
        <w:rPr>
          <w:rFonts w:hint="eastAsia" w:ascii="宋体" w:hAnsi="宋体" w:cs="宋体"/>
          <w:color w:val="auto"/>
          <w:sz w:val="24"/>
          <w:szCs w:val="24"/>
          <w:highlight w:val="none"/>
          <w:shd w:val="clear" w:color="auto" w:fill="auto"/>
          <w:lang w:val="en-US" w:eastAsia="zh-CN"/>
        </w:rPr>
        <w:t>3</w:t>
      </w:r>
      <w:r>
        <w:rPr>
          <w:rFonts w:hint="eastAsia" w:ascii="宋体" w:hAnsi="宋体" w:cs="宋体"/>
          <w:color w:val="auto"/>
          <w:sz w:val="24"/>
          <w:szCs w:val="24"/>
          <w:highlight w:val="none"/>
          <w:shd w:val="clear" w:color="auto" w:fill="auto"/>
        </w:rPr>
        <w:t>：毕业生就业单位性质</w:t>
      </w:r>
    </w:p>
    <w:tbl>
      <w:tblPr>
        <w:tblStyle w:val="13"/>
        <w:tblW w:w="0" w:type="auto"/>
        <w:jc w:val="center"/>
        <w:tblLayout w:type="fixed"/>
        <w:tblCellMar>
          <w:top w:w="15" w:type="dxa"/>
          <w:left w:w="15" w:type="dxa"/>
          <w:bottom w:w="15" w:type="dxa"/>
          <w:right w:w="15" w:type="dxa"/>
        </w:tblCellMar>
      </w:tblPr>
      <w:tblGrid>
        <w:gridCol w:w="2479"/>
        <w:gridCol w:w="1157"/>
        <w:gridCol w:w="1543"/>
      </w:tblGrid>
      <w:tr>
        <w:trPr>
          <w:trHeight w:val="285" w:hRule="atLeast"/>
          <w:jc w:val="center"/>
        </w:trPr>
        <w:tc>
          <w:tcPr>
            <w:tcW w:w="2479"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ind w:left="0" w:leftChars="0" w:right="0" w:rightChars="0" w:firstLine="480" w:firstLineChars="200"/>
              <w:outlineLvl w:val="9"/>
              <w:rPr>
                <w:rFonts w:hint="eastAsia" w:ascii="宋体" w:hAnsi="宋体" w:cs="宋体"/>
                <w:color w:val="auto"/>
                <w:sz w:val="24"/>
                <w:szCs w:val="24"/>
                <w:highlight w:val="none"/>
                <w:shd w:val="clear" w:color="auto" w:fill="auto"/>
              </w:rPr>
            </w:pPr>
            <w:r>
              <w:rPr>
                <w:rFonts w:hint="eastAsia" w:ascii="宋体" w:hAnsi="宋体" w:cs="宋体"/>
                <w:color w:val="auto"/>
                <w:sz w:val="24"/>
                <w:szCs w:val="24"/>
                <w:highlight w:val="none"/>
                <w:shd w:val="clear" w:color="auto" w:fill="auto"/>
              </w:rPr>
              <w:t>单位性质</w:t>
            </w:r>
          </w:p>
        </w:tc>
        <w:tc>
          <w:tcPr>
            <w:tcW w:w="115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ind w:right="0" w:rightChars="0"/>
              <w:jc w:val="center"/>
              <w:outlineLvl w:val="9"/>
              <w:rPr>
                <w:rFonts w:hint="eastAsia" w:ascii="宋体" w:hAnsi="宋体" w:cs="宋体"/>
                <w:color w:val="auto"/>
                <w:sz w:val="24"/>
                <w:szCs w:val="24"/>
                <w:highlight w:val="none"/>
                <w:shd w:val="clear" w:color="auto" w:fill="auto"/>
              </w:rPr>
            </w:pPr>
            <w:r>
              <w:rPr>
                <w:rFonts w:hint="eastAsia" w:ascii="宋体" w:hAnsi="宋体" w:cs="宋体"/>
                <w:color w:val="auto"/>
                <w:sz w:val="24"/>
                <w:szCs w:val="24"/>
                <w:highlight w:val="none"/>
                <w:shd w:val="clear" w:color="auto" w:fill="auto"/>
              </w:rPr>
              <w:t>人数</w:t>
            </w:r>
          </w:p>
        </w:tc>
        <w:tc>
          <w:tcPr>
            <w:tcW w:w="154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ind w:left="0" w:leftChars="0" w:right="0" w:rightChars="0" w:firstLine="480" w:firstLineChars="200"/>
              <w:outlineLvl w:val="9"/>
              <w:rPr>
                <w:rFonts w:hint="eastAsia" w:ascii="宋体" w:hAnsi="宋体" w:cs="宋体"/>
                <w:color w:val="auto"/>
                <w:sz w:val="24"/>
                <w:szCs w:val="24"/>
                <w:highlight w:val="none"/>
                <w:shd w:val="clear" w:color="auto" w:fill="auto"/>
              </w:rPr>
            </w:pPr>
            <w:r>
              <w:rPr>
                <w:rFonts w:hint="eastAsia" w:ascii="宋体" w:hAnsi="宋体" w:cs="宋体"/>
                <w:color w:val="auto"/>
                <w:sz w:val="24"/>
                <w:szCs w:val="24"/>
                <w:highlight w:val="none"/>
                <w:shd w:val="clear" w:color="auto" w:fill="auto"/>
              </w:rPr>
              <w:t>比例</w:t>
            </w:r>
          </w:p>
        </w:tc>
      </w:tr>
      <w:tr>
        <w:tblPrEx>
          <w:tblCellMar>
            <w:top w:w="15" w:type="dxa"/>
            <w:left w:w="15" w:type="dxa"/>
            <w:bottom w:w="15" w:type="dxa"/>
            <w:right w:w="15" w:type="dxa"/>
          </w:tblCellMar>
        </w:tblPrEx>
        <w:trPr>
          <w:trHeight w:val="285" w:hRule="atLeast"/>
          <w:jc w:val="center"/>
        </w:trPr>
        <w:tc>
          <w:tcPr>
            <w:tcW w:w="2479"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ind w:right="0" w:rightChars="0" w:firstLine="720" w:firstLineChars="300"/>
              <w:outlineLvl w:val="9"/>
              <w:rPr>
                <w:rFonts w:hint="eastAsia" w:ascii="宋体" w:hAnsi="宋体" w:eastAsia="宋体" w:cs="宋体"/>
                <w:color w:val="auto"/>
                <w:sz w:val="24"/>
                <w:szCs w:val="24"/>
                <w:highlight w:val="none"/>
                <w:shd w:val="clear" w:color="auto" w:fill="auto"/>
                <w:lang w:val="en-US" w:eastAsia="zh-CN"/>
              </w:rPr>
            </w:pPr>
            <w:r>
              <w:rPr>
                <w:rFonts w:hint="eastAsia" w:ascii="宋体" w:hAnsi="宋体" w:cs="宋体"/>
                <w:color w:val="auto"/>
                <w:sz w:val="24"/>
                <w:szCs w:val="24"/>
                <w:highlight w:val="none"/>
                <w:shd w:val="clear" w:color="auto" w:fill="auto"/>
                <w:lang w:val="en-US" w:eastAsia="zh-CN"/>
              </w:rPr>
              <w:t>机关</w:t>
            </w:r>
          </w:p>
        </w:tc>
        <w:tc>
          <w:tcPr>
            <w:tcW w:w="115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ind w:left="0" w:leftChars="0" w:right="0" w:rightChars="0" w:firstLine="480" w:firstLineChars="200"/>
              <w:jc w:val="center"/>
              <w:outlineLvl w:val="9"/>
              <w:rPr>
                <w:rFonts w:hint="default" w:ascii="宋体" w:hAnsi="宋体" w:eastAsia="宋体" w:cs="宋体"/>
                <w:color w:val="auto"/>
                <w:sz w:val="24"/>
                <w:szCs w:val="24"/>
                <w:highlight w:val="none"/>
                <w:shd w:val="clear" w:color="auto" w:fill="auto"/>
                <w:lang w:val="en-US" w:eastAsia="zh-CN"/>
              </w:rPr>
            </w:pPr>
            <w:r>
              <w:rPr>
                <w:rFonts w:hint="eastAsia" w:ascii="宋体" w:hAnsi="宋体" w:eastAsia="宋体" w:cs="宋体"/>
                <w:color w:val="auto"/>
                <w:sz w:val="24"/>
                <w:szCs w:val="24"/>
                <w:highlight w:val="none"/>
                <w:shd w:val="clear" w:color="auto" w:fill="auto"/>
                <w:lang w:val="en-US" w:eastAsia="zh-CN"/>
              </w:rPr>
              <w:t>5</w:t>
            </w:r>
          </w:p>
        </w:tc>
        <w:tc>
          <w:tcPr>
            <w:tcW w:w="154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ind w:left="0" w:leftChars="0" w:right="0" w:rightChars="0" w:firstLine="480" w:firstLineChars="200"/>
              <w:jc w:val="center"/>
              <w:outlineLvl w:val="9"/>
              <w:rPr>
                <w:rFonts w:hint="eastAsia" w:ascii="宋体" w:hAnsi="宋体" w:eastAsia="宋体" w:cs="宋体"/>
                <w:color w:val="auto"/>
                <w:sz w:val="24"/>
                <w:szCs w:val="24"/>
                <w:highlight w:val="none"/>
                <w:shd w:val="clear" w:color="auto" w:fill="auto"/>
                <w:lang w:val="en-US" w:eastAsia="zh-CN"/>
              </w:rPr>
            </w:pPr>
            <w:r>
              <w:rPr>
                <w:rFonts w:hint="eastAsia" w:ascii="宋体" w:hAnsi="宋体" w:eastAsia="宋体" w:cs="宋体"/>
                <w:color w:val="auto"/>
                <w:sz w:val="24"/>
                <w:szCs w:val="24"/>
                <w:highlight w:val="none"/>
                <w:shd w:val="clear" w:color="auto" w:fill="auto"/>
                <w:lang w:val="en-US" w:eastAsia="zh-CN"/>
              </w:rPr>
              <w:t>1.14%</w:t>
            </w:r>
          </w:p>
        </w:tc>
      </w:tr>
      <w:tr>
        <w:tblPrEx>
          <w:tblCellMar>
            <w:top w:w="15" w:type="dxa"/>
            <w:left w:w="15" w:type="dxa"/>
            <w:bottom w:w="15" w:type="dxa"/>
            <w:right w:w="15" w:type="dxa"/>
          </w:tblCellMar>
        </w:tblPrEx>
        <w:trPr>
          <w:trHeight w:val="556" w:hRule="atLeast"/>
          <w:jc w:val="center"/>
        </w:trPr>
        <w:tc>
          <w:tcPr>
            <w:tcW w:w="2479"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ind w:left="0" w:leftChars="0" w:right="0" w:rightChars="0" w:firstLine="480" w:firstLineChars="200"/>
              <w:outlineLvl w:val="9"/>
              <w:rPr>
                <w:rFonts w:hint="eastAsia" w:ascii="宋体" w:hAnsi="宋体" w:cs="宋体"/>
                <w:color w:val="auto"/>
                <w:sz w:val="24"/>
                <w:szCs w:val="24"/>
                <w:highlight w:val="none"/>
                <w:shd w:val="clear" w:color="auto" w:fill="auto"/>
              </w:rPr>
            </w:pPr>
            <w:r>
              <w:rPr>
                <w:rFonts w:hint="eastAsia" w:ascii="宋体" w:hAnsi="宋体" w:cs="宋体"/>
                <w:color w:val="auto"/>
                <w:sz w:val="24"/>
                <w:szCs w:val="24"/>
                <w:highlight w:val="none"/>
                <w:shd w:val="clear" w:color="auto" w:fill="auto"/>
              </w:rPr>
              <w:t>国有企业</w:t>
            </w:r>
          </w:p>
        </w:tc>
        <w:tc>
          <w:tcPr>
            <w:tcW w:w="115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ind w:left="0" w:leftChars="0" w:right="0" w:rightChars="0" w:firstLine="480" w:firstLineChars="200"/>
              <w:jc w:val="center"/>
              <w:outlineLvl w:val="9"/>
              <w:rPr>
                <w:rFonts w:hint="default" w:ascii="宋体" w:hAnsi="宋体" w:eastAsia="宋体" w:cs="宋体"/>
                <w:color w:val="auto"/>
                <w:sz w:val="24"/>
                <w:szCs w:val="24"/>
                <w:highlight w:val="none"/>
                <w:shd w:val="clear" w:color="auto" w:fill="auto"/>
                <w:lang w:val="en-US" w:eastAsia="zh-CN"/>
              </w:rPr>
            </w:pPr>
            <w:r>
              <w:rPr>
                <w:rFonts w:hint="eastAsia" w:ascii="宋体" w:hAnsi="宋体" w:cs="宋体"/>
                <w:color w:val="auto"/>
                <w:sz w:val="24"/>
                <w:szCs w:val="24"/>
                <w:highlight w:val="none"/>
                <w:shd w:val="clear" w:color="auto" w:fill="auto"/>
                <w:lang w:val="en-US" w:eastAsia="zh-CN"/>
              </w:rPr>
              <w:t>55</w:t>
            </w:r>
          </w:p>
        </w:tc>
        <w:tc>
          <w:tcPr>
            <w:tcW w:w="154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ind w:left="0" w:leftChars="0" w:right="0" w:rightChars="0" w:firstLine="480" w:firstLineChars="200"/>
              <w:jc w:val="center"/>
              <w:outlineLvl w:val="9"/>
              <w:rPr>
                <w:rFonts w:hint="eastAsia" w:ascii="宋体" w:hAnsi="宋体" w:eastAsia="宋体" w:cs="宋体"/>
                <w:color w:val="auto"/>
                <w:sz w:val="24"/>
                <w:szCs w:val="24"/>
                <w:highlight w:val="none"/>
                <w:shd w:val="clear" w:color="auto" w:fill="auto"/>
                <w:lang w:val="en-US" w:eastAsia="zh-CN"/>
              </w:rPr>
            </w:pPr>
            <w:r>
              <w:rPr>
                <w:rFonts w:hint="eastAsia" w:ascii="宋体" w:hAnsi="宋体" w:eastAsia="宋体" w:cs="宋体"/>
                <w:color w:val="auto"/>
                <w:sz w:val="24"/>
                <w:szCs w:val="24"/>
                <w:highlight w:val="none"/>
                <w:shd w:val="clear" w:color="auto" w:fill="auto"/>
                <w:lang w:val="en-US" w:eastAsia="zh-CN"/>
              </w:rPr>
              <w:t>12.56%</w:t>
            </w:r>
          </w:p>
        </w:tc>
      </w:tr>
      <w:tr>
        <w:tblPrEx>
          <w:tblCellMar>
            <w:top w:w="15" w:type="dxa"/>
            <w:left w:w="15" w:type="dxa"/>
            <w:bottom w:w="15" w:type="dxa"/>
            <w:right w:w="15" w:type="dxa"/>
          </w:tblCellMar>
        </w:tblPrEx>
        <w:trPr>
          <w:trHeight w:val="285" w:hRule="atLeast"/>
          <w:jc w:val="center"/>
        </w:trPr>
        <w:tc>
          <w:tcPr>
            <w:tcW w:w="2479"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ind w:left="0" w:leftChars="0" w:right="0" w:rightChars="0" w:firstLine="480" w:firstLineChars="200"/>
              <w:outlineLvl w:val="9"/>
              <w:rPr>
                <w:rFonts w:hint="eastAsia" w:ascii="宋体" w:hAnsi="宋体" w:cs="宋体"/>
                <w:color w:val="auto"/>
                <w:sz w:val="24"/>
                <w:szCs w:val="24"/>
                <w:highlight w:val="none"/>
                <w:shd w:val="clear" w:color="auto" w:fill="auto"/>
              </w:rPr>
            </w:pPr>
            <w:r>
              <w:rPr>
                <w:rFonts w:hint="eastAsia" w:ascii="宋体" w:hAnsi="宋体" w:cs="宋体"/>
                <w:color w:val="auto"/>
                <w:sz w:val="24"/>
                <w:szCs w:val="24"/>
                <w:highlight w:val="none"/>
                <w:shd w:val="clear" w:color="auto" w:fill="auto"/>
                <w:lang w:val="en-US" w:eastAsia="zh-CN"/>
              </w:rPr>
              <w:t>事业单位</w:t>
            </w:r>
          </w:p>
        </w:tc>
        <w:tc>
          <w:tcPr>
            <w:tcW w:w="115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ind w:right="0" w:rightChars="0" w:firstLine="480" w:firstLineChars="200"/>
              <w:jc w:val="center"/>
              <w:outlineLvl w:val="9"/>
              <w:rPr>
                <w:rFonts w:hint="default" w:ascii="宋体" w:hAnsi="宋体" w:eastAsia="宋体" w:cs="宋体"/>
                <w:color w:val="auto"/>
                <w:sz w:val="24"/>
                <w:szCs w:val="24"/>
                <w:highlight w:val="none"/>
                <w:shd w:val="clear" w:color="auto" w:fill="auto"/>
                <w:lang w:val="en-US" w:eastAsia="zh-CN"/>
              </w:rPr>
            </w:pPr>
            <w:r>
              <w:rPr>
                <w:rFonts w:hint="eastAsia" w:ascii="宋体" w:hAnsi="宋体" w:eastAsia="宋体" w:cs="宋体"/>
                <w:color w:val="auto"/>
                <w:sz w:val="24"/>
                <w:szCs w:val="24"/>
                <w:highlight w:val="none"/>
                <w:shd w:val="clear" w:color="auto" w:fill="auto"/>
                <w:lang w:val="en-US" w:eastAsia="zh-CN"/>
              </w:rPr>
              <w:t>2</w:t>
            </w:r>
          </w:p>
        </w:tc>
        <w:tc>
          <w:tcPr>
            <w:tcW w:w="154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ind w:left="0" w:leftChars="0" w:right="0" w:rightChars="0" w:firstLine="480" w:firstLineChars="200"/>
              <w:jc w:val="center"/>
              <w:outlineLvl w:val="9"/>
              <w:rPr>
                <w:rFonts w:hint="eastAsia" w:ascii="宋体" w:hAnsi="宋体" w:eastAsia="宋体" w:cs="宋体"/>
                <w:color w:val="auto"/>
                <w:sz w:val="24"/>
                <w:szCs w:val="24"/>
                <w:highlight w:val="none"/>
                <w:shd w:val="clear" w:color="auto" w:fill="auto"/>
                <w:lang w:val="en-US" w:eastAsia="zh-CN"/>
              </w:rPr>
            </w:pPr>
            <w:r>
              <w:rPr>
                <w:rFonts w:hint="default" w:ascii="宋体" w:hAnsi="宋体" w:eastAsia="宋体" w:cs="宋体"/>
                <w:color w:val="auto"/>
                <w:sz w:val="24"/>
                <w:szCs w:val="24"/>
                <w:highlight w:val="none"/>
                <w:shd w:val="clear" w:color="auto" w:fill="auto"/>
                <w:lang w:val="en-US" w:eastAsia="zh-CN"/>
              </w:rPr>
              <w:t>0.</w:t>
            </w:r>
            <w:r>
              <w:rPr>
                <w:rFonts w:hint="eastAsia" w:ascii="宋体" w:hAnsi="宋体" w:eastAsia="宋体" w:cs="宋体"/>
                <w:color w:val="auto"/>
                <w:sz w:val="24"/>
                <w:szCs w:val="24"/>
                <w:highlight w:val="none"/>
                <w:shd w:val="clear" w:color="auto" w:fill="auto"/>
                <w:lang w:val="en-US" w:eastAsia="zh-CN"/>
              </w:rPr>
              <w:t>45%</w:t>
            </w:r>
          </w:p>
        </w:tc>
      </w:tr>
      <w:tr>
        <w:tblPrEx>
          <w:tblCellMar>
            <w:top w:w="15" w:type="dxa"/>
            <w:left w:w="15" w:type="dxa"/>
            <w:bottom w:w="15" w:type="dxa"/>
            <w:right w:w="15" w:type="dxa"/>
          </w:tblCellMar>
        </w:tblPrEx>
        <w:trPr>
          <w:trHeight w:val="285" w:hRule="atLeast"/>
          <w:jc w:val="center"/>
        </w:trPr>
        <w:tc>
          <w:tcPr>
            <w:tcW w:w="2479"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ind w:right="0" w:rightChars="0"/>
              <w:jc w:val="both"/>
              <w:outlineLvl w:val="9"/>
              <w:rPr>
                <w:rFonts w:hint="eastAsia" w:ascii="宋体" w:hAnsi="宋体" w:cs="宋体"/>
                <w:color w:val="auto"/>
                <w:sz w:val="24"/>
                <w:szCs w:val="24"/>
                <w:highlight w:val="none"/>
                <w:shd w:val="clear" w:color="auto" w:fill="auto"/>
                <w:lang w:val="en-US" w:eastAsia="zh-CN"/>
              </w:rPr>
            </w:pPr>
            <w:r>
              <w:rPr>
                <w:rFonts w:hint="eastAsia" w:ascii="宋体" w:hAnsi="宋体" w:cs="宋体"/>
                <w:color w:val="auto"/>
                <w:sz w:val="24"/>
                <w:szCs w:val="24"/>
                <w:highlight w:val="none"/>
                <w:shd w:val="clear" w:color="auto" w:fill="auto"/>
                <w:lang w:val="en-US" w:eastAsia="zh-CN"/>
              </w:rPr>
              <w:t xml:space="preserve">    民营企业</w:t>
            </w:r>
          </w:p>
        </w:tc>
        <w:tc>
          <w:tcPr>
            <w:tcW w:w="115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ind w:right="0" w:rightChars="0" w:firstLine="480" w:firstLineChars="200"/>
              <w:jc w:val="center"/>
              <w:outlineLvl w:val="9"/>
              <w:rPr>
                <w:rFonts w:hint="default" w:ascii="宋体" w:hAnsi="宋体" w:eastAsia="宋体" w:cs="宋体"/>
                <w:color w:val="auto"/>
                <w:sz w:val="24"/>
                <w:szCs w:val="24"/>
                <w:highlight w:val="none"/>
                <w:shd w:val="clear" w:color="auto" w:fill="auto"/>
                <w:lang w:val="en-US" w:eastAsia="zh-CN"/>
              </w:rPr>
            </w:pPr>
            <w:r>
              <w:rPr>
                <w:rFonts w:hint="eastAsia" w:ascii="宋体" w:hAnsi="宋体" w:cs="宋体"/>
                <w:color w:val="auto"/>
                <w:sz w:val="24"/>
                <w:szCs w:val="24"/>
                <w:highlight w:val="none"/>
                <w:shd w:val="clear" w:color="auto" w:fill="auto"/>
                <w:lang w:val="en-US" w:eastAsia="zh-CN"/>
              </w:rPr>
              <w:t>328</w:t>
            </w:r>
          </w:p>
        </w:tc>
        <w:tc>
          <w:tcPr>
            <w:tcW w:w="154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ind w:left="0" w:leftChars="0" w:right="0" w:rightChars="0" w:firstLine="480" w:firstLineChars="200"/>
              <w:jc w:val="center"/>
              <w:outlineLvl w:val="9"/>
              <w:rPr>
                <w:rFonts w:hint="eastAsia" w:ascii="宋体" w:hAnsi="宋体" w:cs="宋体"/>
                <w:color w:val="auto"/>
                <w:sz w:val="24"/>
                <w:szCs w:val="24"/>
                <w:highlight w:val="none"/>
                <w:shd w:val="clear" w:color="auto" w:fill="auto"/>
                <w:lang w:val="en-US" w:eastAsia="zh-CN"/>
              </w:rPr>
            </w:pPr>
            <w:r>
              <w:rPr>
                <w:rFonts w:hint="eastAsia" w:ascii="宋体" w:hAnsi="宋体" w:cs="宋体"/>
                <w:color w:val="auto"/>
                <w:sz w:val="24"/>
                <w:szCs w:val="24"/>
                <w:highlight w:val="none"/>
                <w:shd w:val="clear" w:color="auto" w:fill="auto"/>
                <w:lang w:val="en-US" w:eastAsia="zh-CN"/>
              </w:rPr>
              <w:t>74.89%</w:t>
            </w:r>
          </w:p>
        </w:tc>
      </w:tr>
      <w:tr>
        <w:tblPrEx>
          <w:tblCellMar>
            <w:top w:w="15" w:type="dxa"/>
            <w:left w:w="15" w:type="dxa"/>
            <w:bottom w:w="15" w:type="dxa"/>
            <w:right w:w="15" w:type="dxa"/>
          </w:tblCellMar>
        </w:tblPrEx>
        <w:trPr>
          <w:trHeight w:val="285" w:hRule="atLeast"/>
          <w:jc w:val="center"/>
        </w:trPr>
        <w:tc>
          <w:tcPr>
            <w:tcW w:w="2479"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ind w:right="0" w:rightChars="0"/>
              <w:jc w:val="both"/>
              <w:outlineLvl w:val="9"/>
              <w:rPr>
                <w:rFonts w:hint="eastAsia" w:ascii="宋体" w:hAnsi="宋体" w:cs="宋体"/>
                <w:color w:val="auto"/>
                <w:sz w:val="24"/>
                <w:szCs w:val="24"/>
                <w:highlight w:val="none"/>
                <w:shd w:val="clear" w:color="auto" w:fill="auto"/>
                <w:lang w:val="en-US" w:eastAsia="zh-CN"/>
              </w:rPr>
            </w:pPr>
            <w:r>
              <w:rPr>
                <w:rFonts w:hint="eastAsia" w:ascii="宋体" w:hAnsi="宋体" w:cs="宋体"/>
                <w:color w:val="auto"/>
                <w:sz w:val="24"/>
                <w:szCs w:val="24"/>
                <w:highlight w:val="none"/>
                <w:shd w:val="clear" w:color="auto" w:fill="auto"/>
                <w:lang w:val="en-US" w:eastAsia="zh-CN"/>
              </w:rPr>
              <w:t xml:space="preserve">    三资企业</w:t>
            </w:r>
          </w:p>
        </w:tc>
        <w:tc>
          <w:tcPr>
            <w:tcW w:w="115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ind w:right="0" w:rightChars="0" w:firstLine="480" w:firstLineChars="200"/>
              <w:jc w:val="center"/>
              <w:outlineLvl w:val="9"/>
              <w:rPr>
                <w:rFonts w:hint="default" w:ascii="宋体" w:hAnsi="宋体" w:eastAsia="宋体" w:cs="宋体"/>
                <w:color w:val="auto"/>
                <w:sz w:val="24"/>
                <w:szCs w:val="24"/>
                <w:highlight w:val="none"/>
                <w:shd w:val="clear" w:color="auto" w:fill="auto"/>
                <w:lang w:val="en-US" w:eastAsia="zh-CN"/>
              </w:rPr>
            </w:pPr>
            <w:r>
              <w:rPr>
                <w:rFonts w:hint="eastAsia" w:ascii="宋体" w:hAnsi="宋体" w:eastAsia="宋体" w:cs="宋体"/>
                <w:color w:val="auto"/>
                <w:sz w:val="24"/>
                <w:szCs w:val="24"/>
                <w:highlight w:val="none"/>
                <w:shd w:val="clear" w:color="auto" w:fill="auto"/>
                <w:lang w:val="en-US" w:eastAsia="zh-CN"/>
              </w:rPr>
              <w:t>48</w:t>
            </w:r>
          </w:p>
        </w:tc>
        <w:tc>
          <w:tcPr>
            <w:tcW w:w="154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ind w:left="0" w:leftChars="0" w:right="0" w:rightChars="0" w:firstLine="480" w:firstLineChars="200"/>
              <w:jc w:val="center"/>
              <w:outlineLvl w:val="9"/>
              <w:rPr>
                <w:rFonts w:hint="eastAsia" w:ascii="宋体" w:hAnsi="宋体" w:cs="宋体"/>
                <w:color w:val="auto"/>
                <w:sz w:val="24"/>
                <w:szCs w:val="24"/>
                <w:highlight w:val="none"/>
                <w:shd w:val="clear" w:color="auto" w:fill="auto"/>
                <w:lang w:val="en-US" w:eastAsia="zh-CN"/>
              </w:rPr>
            </w:pPr>
            <w:r>
              <w:rPr>
                <w:rFonts w:hint="eastAsia" w:ascii="宋体" w:hAnsi="宋体" w:cs="宋体"/>
                <w:color w:val="auto"/>
                <w:sz w:val="24"/>
                <w:szCs w:val="24"/>
                <w:highlight w:val="none"/>
                <w:shd w:val="clear" w:color="auto" w:fill="auto"/>
                <w:lang w:val="en-US" w:eastAsia="zh-CN"/>
              </w:rPr>
              <w:t>10.96%</w:t>
            </w:r>
          </w:p>
        </w:tc>
      </w:tr>
      <w:tr>
        <w:tblPrEx>
          <w:tblCellMar>
            <w:top w:w="15" w:type="dxa"/>
            <w:left w:w="15" w:type="dxa"/>
            <w:bottom w:w="15" w:type="dxa"/>
            <w:right w:w="15" w:type="dxa"/>
          </w:tblCellMar>
        </w:tblPrEx>
        <w:trPr>
          <w:trHeight w:val="300" w:hRule="atLeast"/>
          <w:jc w:val="center"/>
        </w:trPr>
        <w:tc>
          <w:tcPr>
            <w:tcW w:w="2479"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ind w:left="0" w:leftChars="0" w:right="0" w:rightChars="0" w:firstLine="480" w:firstLineChars="200"/>
              <w:outlineLvl w:val="9"/>
              <w:rPr>
                <w:rFonts w:hint="eastAsia" w:ascii="宋体" w:hAnsi="宋体" w:cs="宋体"/>
                <w:color w:val="auto"/>
                <w:sz w:val="24"/>
                <w:szCs w:val="24"/>
                <w:highlight w:val="none"/>
                <w:shd w:val="clear" w:color="auto" w:fill="auto"/>
              </w:rPr>
            </w:pPr>
            <w:r>
              <w:rPr>
                <w:rFonts w:hint="eastAsia" w:ascii="宋体" w:hAnsi="宋体" w:cs="宋体"/>
                <w:color w:val="auto"/>
                <w:sz w:val="24"/>
                <w:szCs w:val="24"/>
                <w:highlight w:val="none"/>
                <w:shd w:val="clear" w:color="auto" w:fill="auto"/>
              </w:rPr>
              <w:t>合计</w:t>
            </w:r>
          </w:p>
        </w:tc>
        <w:tc>
          <w:tcPr>
            <w:tcW w:w="115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ind w:left="0" w:leftChars="0" w:right="0" w:rightChars="0" w:firstLine="480" w:firstLineChars="200"/>
              <w:jc w:val="center"/>
              <w:outlineLvl w:val="9"/>
              <w:rPr>
                <w:rFonts w:hint="default" w:ascii="宋体" w:hAnsi="宋体" w:eastAsia="宋体" w:cs="宋体"/>
                <w:color w:val="auto"/>
                <w:sz w:val="24"/>
                <w:szCs w:val="24"/>
                <w:highlight w:val="none"/>
                <w:shd w:val="clear" w:color="auto" w:fill="auto"/>
                <w:lang w:val="en-US" w:eastAsia="zh-CN"/>
              </w:rPr>
            </w:pPr>
            <w:r>
              <w:rPr>
                <w:rFonts w:hint="eastAsia" w:ascii="宋体" w:hAnsi="宋体" w:eastAsia="宋体" w:cs="宋体"/>
                <w:color w:val="auto"/>
                <w:sz w:val="24"/>
                <w:szCs w:val="24"/>
                <w:highlight w:val="none"/>
                <w:shd w:val="clear" w:color="auto" w:fill="auto"/>
                <w:lang w:val="en-US" w:eastAsia="zh-CN"/>
              </w:rPr>
              <w:t>438</w:t>
            </w:r>
          </w:p>
        </w:tc>
        <w:tc>
          <w:tcPr>
            <w:tcW w:w="154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ind w:left="0" w:leftChars="0" w:right="0" w:rightChars="0" w:firstLine="480" w:firstLineChars="200"/>
              <w:jc w:val="center"/>
              <w:outlineLvl w:val="9"/>
              <w:rPr>
                <w:rFonts w:hint="eastAsia" w:ascii="宋体" w:hAnsi="宋体" w:eastAsia="宋体" w:cs="宋体"/>
                <w:color w:val="auto"/>
                <w:sz w:val="24"/>
                <w:szCs w:val="24"/>
                <w:highlight w:val="none"/>
                <w:shd w:val="clear" w:color="auto" w:fill="auto"/>
                <w:lang w:val="en-US" w:eastAsia="zh-CN"/>
              </w:rPr>
            </w:pPr>
            <w:r>
              <w:rPr>
                <w:rFonts w:hint="eastAsia" w:ascii="宋体" w:hAnsi="宋体" w:eastAsia="宋体" w:cs="宋体"/>
                <w:color w:val="auto"/>
                <w:sz w:val="24"/>
                <w:szCs w:val="24"/>
                <w:highlight w:val="none"/>
                <w:shd w:val="clear" w:color="auto" w:fill="auto"/>
                <w:lang w:val="en-US" w:eastAsia="zh-CN"/>
              </w:rPr>
              <w:t>100%</w:t>
            </w:r>
          </w:p>
        </w:tc>
      </w:tr>
    </w:tbl>
    <w:p>
      <w:pPr>
        <w:keepNext w:val="0"/>
        <w:keepLines w:val="0"/>
        <w:pageBreakBefore w:val="0"/>
        <w:kinsoku/>
        <w:wordWrap/>
        <w:overflowPunct/>
        <w:topLinePunct w:val="0"/>
        <w:autoSpaceDE/>
        <w:autoSpaceDN/>
        <w:bidi w:val="0"/>
        <w:adjustRightInd/>
        <w:snapToGrid/>
        <w:spacing w:line="360" w:lineRule="auto"/>
        <w:ind w:right="0" w:rightChars="0" w:firstLine="480" w:firstLineChars="200"/>
        <w:outlineLvl w:val="9"/>
        <w:rPr>
          <w:rFonts w:hint="eastAsia" w:ascii="宋体" w:hAnsi="宋体" w:cs="宋体"/>
          <w:color w:val="auto"/>
          <w:sz w:val="24"/>
          <w:szCs w:val="24"/>
          <w:highlight w:val="none"/>
          <w:shd w:val="clear" w:color="auto" w:fill="auto"/>
          <w:lang w:val="en-US" w:eastAsia="zh-CN"/>
        </w:rPr>
      </w:pPr>
      <w:r>
        <w:rPr>
          <w:rFonts w:hint="eastAsia" w:ascii="宋体" w:hAnsi="宋体" w:cs="宋体"/>
          <w:color w:val="auto"/>
          <w:sz w:val="24"/>
          <w:szCs w:val="24"/>
          <w:highlight w:val="none"/>
          <w:shd w:val="clear" w:color="auto" w:fill="auto"/>
          <w:lang w:val="en-US" w:eastAsia="zh-CN"/>
        </w:rPr>
        <w:t>（2）行业相关率</w:t>
      </w:r>
    </w:p>
    <w:p>
      <w:pPr>
        <w:keepNext w:val="0"/>
        <w:keepLines w:val="0"/>
        <w:pageBreakBefore w:val="0"/>
        <w:kinsoku/>
        <w:wordWrap/>
        <w:overflowPunct/>
        <w:topLinePunct w:val="0"/>
        <w:autoSpaceDE/>
        <w:autoSpaceDN/>
        <w:bidi w:val="0"/>
        <w:adjustRightInd/>
        <w:snapToGrid/>
        <w:spacing w:line="360" w:lineRule="auto"/>
        <w:ind w:right="0" w:rightChars="0" w:firstLine="480" w:firstLineChars="200"/>
        <w:outlineLvl w:val="9"/>
        <w:rPr>
          <w:rFonts w:hint="eastAsia" w:ascii="宋体" w:hAnsi="宋体" w:cs="宋体"/>
          <w:color w:val="auto"/>
          <w:sz w:val="24"/>
          <w:szCs w:val="24"/>
          <w:highlight w:val="none"/>
          <w:shd w:val="clear" w:color="auto" w:fill="auto"/>
          <w:lang w:val="en-US" w:eastAsia="zh-CN"/>
        </w:rPr>
      </w:pPr>
      <w:r>
        <w:rPr>
          <w:rFonts w:hint="eastAsia" w:ascii="宋体" w:hAnsi="宋体" w:cs="宋体"/>
          <w:color w:val="auto"/>
          <w:sz w:val="24"/>
          <w:szCs w:val="24"/>
          <w:highlight w:val="none"/>
          <w:shd w:val="clear" w:color="auto" w:fill="auto"/>
          <w:lang w:val="en-US" w:eastAsia="zh-CN"/>
        </w:rPr>
        <w:t>从行业分类来看，在签订就业协议书的</w:t>
      </w:r>
      <w:r>
        <w:rPr>
          <w:rFonts w:hint="eastAsia" w:ascii="宋体" w:hAnsi="宋体" w:eastAsia="宋体" w:cs="宋体"/>
          <w:color w:val="auto"/>
          <w:sz w:val="24"/>
          <w:szCs w:val="24"/>
          <w:highlight w:val="none"/>
          <w:shd w:val="clear" w:color="auto" w:fill="auto"/>
          <w:lang w:val="en-US" w:eastAsia="zh-CN"/>
        </w:rPr>
        <w:t>438</w:t>
      </w:r>
      <w:r>
        <w:rPr>
          <w:rFonts w:hint="eastAsia" w:ascii="宋体" w:hAnsi="宋体" w:cs="宋体"/>
          <w:color w:val="auto"/>
          <w:sz w:val="24"/>
          <w:szCs w:val="24"/>
          <w:highlight w:val="none"/>
          <w:shd w:val="clear" w:color="auto" w:fill="auto"/>
          <w:lang w:val="en-US" w:eastAsia="zh-CN"/>
        </w:rPr>
        <w:t>人中，与电子信息工程、通信工程、自动化、机械电子工程、</w:t>
      </w:r>
      <w:r>
        <w:rPr>
          <w:rFonts w:hint="eastAsia" w:ascii="宋体" w:hAnsi="宋体" w:eastAsia="宋体" w:cs="宋体"/>
          <w:b w:val="0"/>
          <w:bCs/>
          <w:color w:val="000000"/>
          <w:sz w:val="24"/>
          <w:szCs w:val="24"/>
          <w:u w:val="none"/>
          <w:lang w:val="en-US" w:eastAsia="zh-CN"/>
        </w:rPr>
        <w:t>机械设计制造及其自动化</w:t>
      </w:r>
      <w:r>
        <w:rPr>
          <w:rFonts w:hint="eastAsia" w:ascii="宋体" w:hAnsi="宋体" w:cs="宋体"/>
          <w:color w:val="auto"/>
          <w:sz w:val="24"/>
          <w:szCs w:val="24"/>
          <w:highlight w:val="none"/>
          <w:shd w:val="clear" w:color="auto" w:fill="auto"/>
          <w:lang w:val="en-US" w:eastAsia="zh-CN"/>
        </w:rPr>
        <w:t>、通信工程、材料控制专业相关或相近的电力、热力、燃气及水生产和供应业6人，建筑业38人，居民服务、修理和其他服务业8人，科学研究和技术服务业</w:t>
      </w:r>
      <w:r>
        <w:rPr>
          <w:rFonts w:hint="eastAsia" w:hAnsi="宋体" w:cs="宋体"/>
          <w:color w:val="auto"/>
          <w:sz w:val="24"/>
          <w:szCs w:val="24"/>
          <w:highlight w:val="none"/>
          <w:shd w:val="clear" w:color="auto" w:fill="auto"/>
          <w:lang w:val="en-US" w:eastAsia="zh-CN"/>
        </w:rPr>
        <w:t>20</w:t>
      </w:r>
      <w:r>
        <w:rPr>
          <w:rFonts w:hint="eastAsia" w:ascii="宋体" w:hAnsi="宋体" w:cs="宋体"/>
          <w:color w:val="auto"/>
          <w:sz w:val="24"/>
          <w:szCs w:val="24"/>
          <w:highlight w:val="none"/>
          <w:shd w:val="clear" w:color="auto" w:fill="auto"/>
          <w:lang w:val="en-US" w:eastAsia="zh-CN"/>
        </w:rPr>
        <w:t>人，水利、环境和公共设施管理业2人，信息传输、软件和信息技术服务业</w:t>
      </w:r>
      <w:r>
        <w:rPr>
          <w:rFonts w:hint="eastAsia" w:hAnsi="宋体" w:cs="宋体"/>
          <w:color w:val="auto"/>
          <w:sz w:val="24"/>
          <w:szCs w:val="24"/>
          <w:highlight w:val="none"/>
          <w:shd w:val="clear" w:color="auto" w:fill="auto"/>
          <w:lang w:val="en-US" w:eastAsia="zh-CN"/>
        </w:rPr>
        <w:t>73</w:t>
      </w:r>
      <w:r>
        <w:rPr>
          <w:rFonts w:hint="eastAsia" w:ascii="宋体" w:hAnsi="宋体" w:cs="宋体"/>
          <w:color w:val="auto"/>
          <w:sz w:val="24"/>
          <w:szCs w:val="24"/>
          <w:highlight w:val="none"/>
          <w:shd w:val="clear" w:color="auto" w:fill="auto"/>
          <w:lang w:val="en-US" w:eastAsia="zh-CN"/>
        </w:rPr>
        <w:t>人，制造业219人，教育6人，交通运输、仓储和邮政业14人，共计人386；</w:t>
      </w:r>
    </w:p>
    <w:p>
      <w:pPr>
        <w:keepNext w:val="0"/>
        <w:keepLines w:val="0"/>
        <w:pageBreakBefore w:val="0"/>
        <w:kinsoku/>
        <w:wordWrap/>
        <w:overflowPunct/>
        <w:topLinePunct w:val="0"/>
        <w:autoSpaceDE/>
        <w:autoSpaceDN/>
        <w:bidi w:val="0"/>
        <w:adjustRightInd/>
        <w:snapToGrid/>
        <w:spacing w:line="360" w:lineRule="auto"/>
        <w:ind w:right="0" w:rightChars="0" w:firstLine="480" w:firstLineChars="200"/>
        <w:outlineLvl w:val="9"/>
        <w:rPr>
          <w:rFonts w:hint="eastAsia" w:ascii="宋体" w:hAnsi="宋体" w:cs="宋体"/>
          <w:color w:val="auto"/>
          <w:sz w:val="24"/>
          <w:szCs w:val="24"/>
          <w:highlight w:val="none"/>
          <w:shd w:val="clear" w:color="auto" w:fill="auto"/>
          <w:lang w:val="en-US" w:eastAsia="zh-CN"/>
        </w:rPr>
      </w:pPr>
      <w:r>
        <w:rPr>
          <w:rFonts w:hint="eastAsia" w:ascii="宋体" w:hAnsi="宋体" w:cs="宋体"/>
          <w:color w:val="auto"/>
          <w:sz w:val="24"/>
          <w:szCs w:val="24"/>
          <w:highlight w:val="none"/>
          <w:shd w:val="clear" w:color="auto" w:fill="auto"/>
          <w:lang w:val="en-US" w:eastAsia="zh-CN"/>
        </w:rPr>
        <w:t>其他行业情况为：房地产业2人，公共管理、社会保障和社会组织3人，金融业4人，农、林、牧、渔业4人，批发和零售业23人，文化、体育和娱乐业5人，住宿和餐饮业3人，租赁和商务服务业8人，采矿业0人，共计52人。</w:t>
      </w:r>
    </w:p>
    <w:p>
      <w:pPr>
        <w:keepNext w:val="0"/>
        <w:keepLines w:val="0"/>
        <w:pageBreakBefore w:val="0"/>
        <w:kinsoku/>
        <w:wordWrap/>
        <w:overflowPunct/>
        <w:topLinePunct w:val="0"/>
        <w:autoSpaceDE/>
        <w:autoSpaceDN/>
        <w:bidi w:val="0"/>
        <w:adjustRightInd/>
        <w:snapToGrid/>
        <w:spacing w:line="360" w:lineRule="auto"/>
        <w:ind w:right="0" w:rightChars="0" w:firstLine="480" w:firstLineChars="200"/>
        <w:outlineLvl w:val="9"/>
        <w:rPr>
          <w:rFonts w:hint="eastAsia" w:ascii="宋体" w:hAnsi="宋体" w:cs="宋体"/>
          <w:color w:val="auto"/>
          <w:sz w:val="24"/>
          <w:szCs w:val="24"/>
          <w:highlight w:val="none"/>
          <w:shd w:val="clear" w:color="auto" w:fill="auto"/>
          <w:lang w:val="en-US" w:eastAsia="zh-CN"/>
        </w:rPr>
      </w:pPr>
      <w:r>
        <w:rPr>
          <w:rFonts w:hint="eastAsia" w:ascii="宋体" w:hAnsi="宋体" w:cs="宋体"/>
          <w:color w:val="auto"/>
          <w:sz w:val="24"/>
          <w:szCs w:val="24"/>
          <w:highlight w:val="none"/>
          <w:shd w:val="clear" w:color="auto" w:fill="auto"/>
          <w:lang w:val="en-US" w:eastAsia="zh-CN"/>
        </w:rPr>
        <w:t>因此，与三个专业相关或相近的行业就业比为</w:t>
      </w:r>
      <w:r>
        <w:rPr>
          <w:rFonts w:hint="default" w:ascii="宋体" w:hAnsi="宋体" w:cs="宋体"/>
          <w:color w:val="auto"/>
          <w:sz w:val="24"/>
          <w:szCs w:val="24"/>
          <w:highlight w:val="none"/>
          <w:shd w:val="clear" w:color="auto" w:fill="auto"/>
          <w:lang w:val="en-US" w:eastAsia="zh-CN"/>
        </w:rPr>
        <w:t>8</w:t>
      </w:r>
      <w:r>
        <w:rPr>
          <w:rFonts w:hint="eastAsia" w:ascii="宋体" w:hAnsi="宋体" w:cs="宋体"/>
          <w:color w:val="auto"/>
          <w:sz w:val="24"/>
          <w:szCs w:val="24"/>
          <w:highlight w:val="none"/>
          <w:shd w:val="clear" w:color="auto" w:fill="auto"/>
          <w:lang w:val="en-US" w:eastAsia="zh-CN"/>
        </w:rPr>
        <w:t>8.13%，其他行业就业比为</w:t>
      </w:r>
      <w:r>
        <w:rPr>
          <w:rFonts w:hint="default" w:ascii="宋体" w:hAnsi="宋体" w:cs="宋体"/>
          <w:color w:val="auto"/>
          <w:sz w:val="24"/>
          <w:szCs w:val="24"/>
          <w:highlight w:val="none"/>
          <w:shd w:val="clear" w:color="auto" w:fill="auto"/>
          <w:lang w:val="en-US" w:eastAsia="zh-CN"/>
        </w:rPr>
        <w:t>1</w:t>
      </w:r>
      <w:r>
        <w:rPr>
          <w:rFonts w:hint="eastAsia" w:ascii="宋体" w:hAnsi="宋体" w:cs="宋体"/>
          <w:color w:val="auto"/>
          <w:sz w:val="24"/>
          <w:szCs w:val="24"/>
          <w:highlight w:val="none"/>
          <w:shd w:val="clear" w:color="auto" w:fill="auto"/>
          <w:lang w:val="en-US" w:eastAsia="zh-CN"/>
        </w:rPr>
        <w:t>1.87%。</w:t>
      </w:r>
    </w:p>
    <w:p>
      <w:pPr>
        <w:keepNext w:val="0"/>
        <w:keepLines w:val="0"/>
        <w:pageBreakBefore w:val="0"/>
        <w:kinsoku/>
        <w:wordWrap/>
        <w:overflowPunct/>
        <w:topLinePunct w:val="0"/>
        <w:autoSpaceDE/>
        <w:autoSpaceDN/>
        <w:bidi w:val="0"/>
        <w:adjustRightInd/>
        <w:snapToGrid/>
        <w:spacing w:line="360" w:lineRule="auto"/>
        <w:ind w:right="0" w:rightChars="0" w:firstLine="480" w:firstLineChars="200"/>
        <w:outlineLvl w:val="9"/>
        <w:rPr>
          <w:rFonts w:hint="eastAsia" w:ascii="宋体" w:hAnsi="宋体" w:cs="宋体"/>
          <w:color w:val="auto"/>
          <w:sz w:val="24"/>
          <w:szCs w:val="24"/>
          <w:highlight w:val="none"/>
          <w:shd w:val="clear" w:color="auto" w:fill="auto"/>
          <w:lang w:val="en-US" w:eastAsia="zh-CN"/>
        </w:rPr>
      </w:pPr>
      <w:r>
        <w:rPr>
          <w:rFonts w:hint="eastAsia" w:ascii="宋体" w:hAnsi="宋体" w:cs="宋体"/>
          <w:color w:val="auto"/>
          <w:sz w:val="24"/>
          <w:szCs w:val="24"/>
          <w:highlight w:val="none"/>
          <w:shd w:val="clear" w:color="auto" w:fill="auto"/>
          <w:lang w:val="en-US" w:eastAsia="zh-CN"/>
        </w:rPr>
        <w:t>表4：毕业生就业行业分类</w:t>
      </w:r>
    </w:p>
    <w:tbl>
      <w:tblPr>
        <w:tblStyle w:val="13"/>
        <w:tblW w:w="859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04"/>
        <w:gridCol w:w="4305"/>
        <w:gridCol w:w="1223"/>
        <w:gridCol w:w="13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kinsoku/>
              <w:wordWrap/>
              <w:overflowPunct/>
              <w:topLinePunct w:val="0"/>
              <w:autoSpaceDE/>
              <w:autoSpaceDN/>
              <w:bidi w:val="0"/>
              <w:adjustRightInd/>
              <w:snapToGrid/>
              <w:spacing w:line="360" w:lineRule="auto"/>
              <w:ind w:right="0" w:rightChars="0"/>
              <w:jc w:val="center"/>
              <w:outlineLvl w:val="9"/>
              <w:rPr>
                <w:rFonts w:hint="eastAsia" w:ascii="宋体" w:hAnsi="宋体" w:cs="宋体"/>
                <w:color w:val="auto"/>
                <w:sz w:val="24"/>
                <w:szCs w:val="24"/>
                <w:highlight w:val="none"/>
                <w:shd w:val="clear" w:color="auto" w:fill="auto"/>
                <w:vertAlign w:val="baseline"/>
                <w:lang w:val="en-US" w:eastAsia="zh-CN"/>
              </w:rPr>
            </w:pPr>
            <w:r>
              <w:rPr>
                <w:rFonts w:hint="eastAsia" w:ascii="宋体" w:hAnsi="宋体" w:cs="宋体"/>
                <w:color w:val="auto"/>
                <w:sz w:val="24"/>
                <w:szCs w:val="24"/>
                <w:highlight w:val="none"/>
                <w:shd w:val="clear" w:color="auto" w:fill="auto"/>
                <w:vertAlign w:val="baseline"/>
                <w:lang w:val="en-US" w:eastAsia="zh-CN"/>
              </w:rPr>
              <w:t>行业相关</w:t>
            </w:r>
          </w:p>
        </w:tc>
        <w:tc>
          <w:tcPr>
            <w:tcW w:w="430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ind w:right="0" w:rightChars="0"/>
              <w:jc w:val="center"/>
              <w:outlineLvl w:val="9"/>
              <w:rPr>
                <w:rFonts w:hint="eastAsia" w:ascii="宋体" w:hAnsi="宋体" w:cs="宋体"/>
                <w:color w:val="auto"/>
                <w:sz w:val="24"/>
                <w:szCs w:val="24"/>
                <w:highlight w:val="none"/>
                <w:shd w:val="clear" w:color="auto" w:fill="auto"/>
                <w:vertAlign w:val="baseline"/>
                <w:lang w:val="en-US" w:eastAsia="zh-CN"/>
              </w:rPr>
            </w:pPr>
            <w:r>
              <w:rPr>
                <w:rFonts w:hint="eastAsia" w:ascii="宋体" w:hAnsi="宋体" w:cs="宋体"/>
                <w:color w:val="auto"/>
                <w:sz w:val="24"/>
                <w:szCs w:val="24"/>
                <w:highlight w:val="none"/>
                <w:shd w:val="clear" w:color="auto" w:fill="auto"/>
                <w:vertAlign w:val="baseline"/>
                <w:lang w:val="en-US" w:eastAsia="zh-CN"/>
              </w:rPr>
              <w:t>行业分类</w:t>
            </w:r>
          </w:p>
        </w:tc>
        <w:tc>
          <w:tcPr>
            <w:tcW w:w="1223" w:type="dxa"/>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kinsoku/>
              <w:wordWrap/>
              <w:overflowPunct/>
              <w:topLinePunct w:val="0"/>
              <w:autoSpaceDE/>
              <w:autoSpaceDN/>
              <w:bidi w:val="0"/>
              <w:adjustRightInd/>
              <w:snapToGrid/>
              <w:spacing w:line="360" w:lineRule="auto"/>
              <w:ind w:right="0" w:rightChars="0"/>
              <w:jc w:val="center"/>
              <w:outlineLvl w:val="9"/>
              <w:rPr>
                <w:rFonts w:hint="eastAsia" w:ascii="宋体" w:hAnsi="宋体" w:cs="宋体"/>
                <w:color w:val="auto"/>
                <w:sz w:val="24"/>
                <w:szCs w:val="24"/>
                <w:highlight w:val="none"/>
                <w:shd w:val="clear" w:color="auto" w:fill="auto"/>
                <w:vertAlign w:val="baseline"/>
                <w:lang w:val="en-US" w:eastAsia="zh-CN"/>
              </w:rPr>
            </w:pPr>
            <w:r>
              <w:rPr>
                <w:rFonts w:hint="eastAsia" w:ascii="宋体" w:hAnsi="宋体" w:cs="宋体"/>
                <w:color w:val="auto"/>
                <w:sz w:val="24"/>
                <w:szCs w:val="24"/>
                <w:highlight w:val="none"/>
                <w:shd w:val="clear" w:color="auto" w:fill="auto"/>
                <w:vertAlign w:val="baseline"/>
                <w:lang w:val="en-US" w:eastAsia="zh-CN"/>
              </w:rPr>
              <w:t>就业人数</w:t>
            </w:r>
          </w:p>
        </w:tc>
        <w:tc>
          <w:tcPr>
            <w:tcW w:w="1365" w:type="dxa"/>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kinsoku/>
              <w:wordWrap/>
              <w:overflowPunct/>
              <w:topLinePunct w:val="0"/>
              <w:autoSpaceDE/>
              <w:autoSpaceDN/>
              <w:bidi w:val="0"/>
              <w:adjustRightInd/>
              <w:snapToGrid/>
              <w:spacing w:line="360" w:lineRule="auto"/>
              <w:ind w:right="0" w:rightChars="0"/>
              <w:jc w:val="center"/>
              <w:outlineLvl w:val="9"/>
              <w:rPr>
                <w:rFonts w:hint="eastAsia" w:ascii="宋体" w:hAnsi="宋体" w:cs="宋体"/>
                <w:color w:val="auto"/>
                <w:sz w:val="24"/>
                <w:szCs w:val="24"/>
                <w:highlight w:val="none"/>
                <w:shd w:val="clear" w:color="auto" w:fill="auto"/>
                <w:vertAlign w:val="baseline"/>
                <w:lang w:val="en-US" w:eastAsia="zh-CN"/>
              </w:rPr>
            </w:pPr>
            <w:r>
              <w:rPr>
                <w:rFonts w:hint="eastAsia" w:ascii="宋体" w:hAnsi="宋体" w:cs="宋体"/>
                <w:color w:val="auto"/>
                <w:sz w:val="24"/>
                <w:szCs w:val="24"/>
                <w:highlight w:val="none"/>
                <w:shd w:val="clear" w:color="auto" w:fill="auto"/>
                <w:vertAlign w:val="baseline"/>
                <w:lang w:val="en-US" w:eastAsia="zh-CN"/>
              </w:rPr>
              <w:t>比例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restar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ind w:right="0" w:rightChars="0"/>
              <w:jc w:val="center"/>
              <w:outlineLvl w:val="9"/>
              <w:rPr>
                <w:rFonts w:hint="eastAsia" w:ascii="宋体" w:hAnsi="宋体" w:cs="宋体"/>
                <w:color w:val="auto"/>
                <w:sz w:val="24"/>
                <w:szCs w:val="24"/>
                <w:highlight w:val="none"/>
                <w:shd w:val="clear" w:color="auto" w:fill="auto"/>
                <w:vertAlign w:val="baseline"/>
                <w:lang w:val="en-US" w:eastAsia="zh-CN"/>
              </w:rPr>
            </w:pPr>
            <w:r>
              <w:rPr>
                <w:rFonts w:hint="eastAsia" w:ascii="宋体" w:hAnsi="宋体" w:cs="宋体"/>
                <w:color w:val="auto"/>
                <w:sz w:val="24"/>
                <w:szCs w:val="24"/>
                <w:highlight w:val="none"/>
                <w:shd w:val="clear" w:color="auto" w:fill="auto"/>
                <w:lang w:val="en-US" w:eastAsia="zh-CN"/>
              </w:rPr>
              <w:t>与我院专业相关或相近</w:t>
            </w:r>
          </w:p>
        </w:tc>
        <w:tc>
          <w:tcPr>
            <w:tcW w:w="4305" w:type="dxa"/>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kinsoku/>
              <w:wordWrap/>
              <w:overflowPunct/>
              <w:topLinePunct w:val="0"/>
              <w:autoSpaceDE/>
              <w:autoSpaceDN/>
              <w:bidi w:val="0"/>
              <w:adjustRightInd/>
              <w:snapToGrid/>
              <w:spacing w:line="360" w:lineRule="auto"/>
              <w:ind w:right="0" w:rightChars="0"/>
              <w:jc w:val="center"/>
              <w:outlineLvl w:val="9"/>
              <w:rPr>
                <w:rFonts w:hint="eastAsia" w:ascii="宋体" w:hAnsi="宋体" w:cs="宋体"/>
                <w:color w:val="auto"/>
                <w:sz w:val="24"/>
                <w:szCs w:val="24"/>
                <w:highlight w:val="none"/>
                <w:shd w:val="clear" w:color="auto" w:fill="auto"/>
                <w:vertAlign w:val="baseline"/>
                <w:lang w:val="en-US" w:eastAsia="zh-CN"/>
              </w:rPr>
            </w:pPr>
            <w:r>
              <w:rPr>
                <w:rFonts w:hint="eastAsia" w:ascii="宋体" w:hAnsi="宋体" w:cs="宋体"/>
                <w:color w:val="auto"/>
                <w:sz w:val="24"/>
                <w:szCs w:val="24"/>
                <w:highlight w:val="none"/>
                <w:shd w:val="clear" w:color="auto" w:fill="auto"/>
                <w:vertAlign w:val="baseline"/>
                <w:lang w:val="en-US" w:eastAsia="zh-CN"/>
              </w:rPr>
              <w:t>电力、热力、燃气及水生产和供应业</w:t>
            </w:r>
          </w:p>
        </w:tc>
        <w:tc>
          <w:tcPr>
            <w:tcW w:w="1223" w:type="dxa"/>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kinsoku/>
              <w:wordWrap/>
              <w:overflowPunct/>
              <w:topLinePunct w:val="0"/>
              <w:autoSpaceDE/>
              <w:autoSpaceDN/>
              <w:bidi w:val="0"/>
              <w:adjustRightInd/>
              <w:snapToGrid/>
              <w:spacing w:line="360" w:lineRule="auto"/>
              <w:ind w:right="0" w:rightChars="0"/>
              <w:jc w:val="center"/>
              <w:outlineLvl w:val="9"/>
              <w:rPr>
                <w:rFonts w:hint="default" w:ascii="宋体" w:hAnsi="宋体" w:cs="宋体"/>
                <w:color w:val="auto"/>
                <w:sz w:val="24"/>
                <w:szCs w:val="24"/>
                <w:highlight w:val="none"/>
                <w:shd w:val="clear" w:color="auto" w:fill="auto"/>
                <w:vertAlign w:val="baseline"/>
                <w:lang w:val="en-US" w:eastAsia="zh-CN"/>
              </w:rPr>
            </w:pPr>
            <w:r>
              <w:rPr>
                <w:rFonts w:hint="eastAsia" w:ascii="宋体" w:hAnsi="宋体" w:cs="宋体"/>
                <w:color w:val="auto"/>
                <w:sz w:val="24"/>
                <w:szCs w:val="24"/>
                <w:highlight w:val="none"/>
                <w:shd w:val="clear" w:color="auto" w:fill="auto"/>
                <w:vertAlign w:val="baseline"/>
                <w:lang w:val="en-US" w:eastAsia="zh-CN"/>
              </w:rPr>
              <w:t>6</w:t>
            </w:r>
          </w:p>
        </w:tc>
        <w:tc>
          <w:tcPr>
            <w:tcW w:w="1365" w:type="dxa"/>
            <w:vMerge w:val="restar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ind w:right="0" w:rightChars="0"/>
              <w:jc w:val="center"/>
              <w:outlineLvl w:val="9"/>
              <w:rPr>
                <w:rFonts w:hint="eastAsia" w:ascii="宋体" w:hAnsi="宋体" w:cs="宋体"/>
                <w:color w:val="auto"/>
                <w:sz w:val="24"/>
                <w:szCs w:val="24"/>
                <w:highlight w:val="none"/>
                <w:shd w:val="clear" w:color="auto" w:fill="auto"/>
                <w:vertAlign w:val="baseline"/>
                <w:lang w:val="en-US" w:eastAsia="zh-CN"/>
              </w:rPr>
            </w:pPr>
            <w:r>
              <w:rPr>
                <w:rFonts w:hint="eastAsia" w:ascii="宋体" w:hAnsi="宋体" w:cs="宋体"/>
                <w:color w:val="auto"/>
                <w:sz w:val="24"/>
                <w:szCs w:val="24"/>
                <w:highlight w:val="none"/>
                <w:shd w:val="clear" w:color="auto" w:fill="auto"/>
                <w:vertAlign w:val="baseline"/>
                <w:lang w:val="en-US" w:eastAsia="zh-CN"/>
              </w:rPr>
              <w:t>88.13%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ind w:right="0" w:rightChars="0"/>
              <w:jc w:val="center"/>
              <w:outlineLvl w:val="9"/>
              <w:rPr>
                <w:rFonts w:hint="eastAsia" w:ascii="宋体" w:hAnsi="宋体" w:cs="宋体"/>
                <w:color w:val="auto"/>
                <w:sz w:val="24"/>
                <w:szCs w:val="24"/>
                <w:highlight w:val="none"/>
                <w:shd w:val="clear" w:color="auto" w:fill="auto"/>
                <w:vertAlign w:val="baseline"/>
                <w:lang w:val="en-US" w:eastAsia="zh-CN"/>
              </w:rPr>
            </w:pPr>
          </w:p>
        </w:tc>
        <w:tc>
          <w:tcPr>
            <w:tcW w:w="4305" w:type="dxa"/>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kinsoku/>
              <w:wordWrap/>
              <w:overflowPunct/>
              <w:topLinePunct w:val="0"/>
              <w:autoSpaceDE/>
              <w:autoSpaceDN/>
              <w:bidi w:val="0"/>
              <w:adjustRightInd/>
              <w:snapToGrid/>
              <w:spacing w:line="360" w:lineRule="auto"/>
              <w:ind w:right="0" w:rightChars="0"/>
              <w:jc w:val="center"/>
              <w:outlineLvl w:val="9"/>
              <w:rPr>
                <w:rFonts w:hint="eastAsia" w:ascii="宋体" w:hAnsi="宋体" w:cs="宋体"/>
                <w:color w:val="auto"/>
                <w:sz w:val="24"/>
                <w:szCs w:val="24"/>
                <w:highlight w:val="none"/>
                <w:shd w:val="clear" w:color="auto" w:fill="auto"/>
                <w:vertAlign w:val="baseline"/>
                <w:lang w:val="en-US" w:eastAsia="zh-CN"/>
              </w:rPr>
            </w:pPr>
            <w:r>
              <w:rPr>
                <w:rFonts w:hint="eastAsia" w:ascii="宋体" w:hAnsi="宋体" w:cs="宋体"/>
                <w:color w:val="auto"/>
                <w:sz w:val="24"/>
                <w:szCs w:val="24"/>
                <w:highlight w:val="none"/>
                <w:shd w:val="clear" w:color="auto" w:fill="auto"/>
                <w:vertAlign w:val="baseline"/>
                <w:lang w:val="en-US" w:eastAsia="zh-CN"/>
              </w:rPr>
              <w:t>建筑业</w:t>
            </w:r>
          </w:p>
        </w:tc>
        <w:tc>
          <w:tcPr>
            <w:tcW w:w="1223" w:type="dxa"/>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kinsoku/>
              <w:wordWrap/>
              <w:overflowPunct/>
              <w:topLinePunct w:val="0"/>
              <w:autoSpaceDE/>
              <w:autoSpaceDN/>
              <w:bidi w:val="0"/>
              <w:adjustRightInd/>
              <w:snapToGrid/>
              <w:spacing w:line="360" w:lineRule="auto"/>
              <w:ind w:right="0" w:rightChars="0"/>
              <w:jc w:val="center"/>
              <w:outlineLvl w:val="9"/>
              <w:rPr>
                <w:rFonts w:hint="default" w:ascii="宋体" w:hAnsi="宋体" w:cs="宋体"/>
                <w:color w:val="auto"/>
                <w:sz w:val="24"/>
                <w:szCs w:val="24"/>
                <w:highlight w:val="none"/>
                <w:shd w:val="clear" w:color="auto" w:fill="auto"/>
                <w:vertAlign w:val="baseline"/>
                <w:lang w:val="en-US" w:eastAsia="zh-CN"/>
              </w:rPr>
            </w:pPr>
            <w:r>
              <w:rPr>
                <w:rFonts w:hint="eastAsia" w:ascii="宋体" w:hAnsi="宋体" w:cs="宋体"/>
                <w:color w:val="auto"/>
                <w:sz w:val="24"/>
                <w:szCs w:val="24"/>
                <w:highlight w:val="none"/>
                <w:shd w:val="clear" w:color="auto" w:fill="auto"/>
                <w:vertAlign w:val="baseline"/>
                <w:lang w:val="en-US" w:eastAsia="zh-CN"/>
              </w:rPr>
              <w:t>38</w:t>
            </w:r>
          </w:p>
        </w:tc>
        <w:tc>
          <w:tcPr>
            <w:tcW w:w="1365" w:type="dxa"/>
            <w:vMerge w:val="continue"/>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ind w:right="0" w:rightChars="0"/>
              <w:jc w:val="center"/>
              <w:outlineLvl w:val="9"/>
              <w:rPr>
                <w:rFonts w:hint="eastAsia" w:ascii="宋体" w:hAnsi="宋体" w:cs="宋体"/>
                <w:color w:val="auto"/>
                <w:sz w:val="24"/>
                <w:szCs w:val="24"/>
                <w:highlight w:val="none"/>
                <w:shd w:val="clear" w:color="auto" w:fill="auto"/>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ind w:right="0" w:rightChars="0"/>
              <w:jc w:val="center"/>
              <w:outlineLvl w:val="9"/>
              <w:rPr>
                <w:rFonts w:hint="eastAsia" w:ascii="宋体" w:hAnsi="宋体" w:cs="宋体"/>
                <w:color w:val="auto"/>
                <w:sz w:val="24"/>
                <w:szCs w:val="24"/>
                <w:highlight w:val="none"/>
                <w:shd w:val="clear" w:color="auto" w:fill="auto"/>
                <w:vertAlign w:val="baseline"/>
                <w:lang w:val="en-US" w:eastAsia="zh-CN"/>
              </w:rPr>
            </w:pPr>
          </w:p>
        </w:tc>
        <w:tc>
          <w:tcPr>
            <w:tcW w:w="4305" w:type="dxa"/>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kinsoku/>
              <w:wordWrap/>
              <w:overflowPunct/>
              <w:topLinePunct w:val="0"/>
              <w:autoSpaceDE/>
              <w:autoSpaceDN/>
              <w:bidi w:val="0"/>
              <w:adjustRightInd/>
              <w:snapToGrid/>
              <w:spacing w:line="360" w:lineRule="auto"/>
              <w:ind w:right="0" w:rightChars="0"/>
              <w:jc w:val="center"/>
              <w:outlineLvl w:val="9"/>
              <w:rPr>
                <w:rFonts w:hint="eastAsia" w:ascii="宋体" w:hAnsi="宋体" w:cs="宋体"/>
                <w:color w:val="auto"/>
                <w:sz w:val="24"/>
                <w:szCs w:val="24"/>
                <w:highlight w:val="none"/>
                <w:shd w:val="clear" w:color="auto" w:fill="auto"/>
                <w:vertAlign w:val="baseline"/>
                <w:lang w:val="en-US" w:eastAsia="zh-CN"/>
              </w:rPr>
            </w:pPr>
            <w:r>
              <w:rPr>
                <w:rFonts w:hint="eastAsia" w:ascii="宋体" w:hAnsi="宋体" w:cs="宋体"/>
                <w:color w:val="auto"/>
                <w:sz w:val="24"/>
                <w:szCs w:val="24"/>
                <w:highlight w:val="none"/>
                <w:shd w:val="clear" w:color="auto" w:fill="auto"/>
                <w:vertAlign w:val="baseline"/>
                <w:lang w:val="en-US" w:eastAsia="zh-CN"/>
              </w:rPr>
              <w:t>居民服务、修理和其他服务业就业</w:t>
            </w:r>
          </w:p>
        </w:tc>
        <w:tc>
          <w:tcPr>
            <w:tcW w:w="1223" w:type="dxa"/>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kinsoku/>
              <w:wordWrap/>
              <w:overflowPunct/>
              <w:topLinePunct w:val="0"/>
              <w:autoSpaceDE/>
              <w:autoSpaceDN/>
              <w:bidi w:val="0"/>
              <w:adjustRightInd/>
              <w:snapToGrid/>
              <w:spacing w:line="360" w:lineRule="auto"/>
              <w:ind w:right="0" w:rightChars="0"/>
              <w:jc w:val="center"/>
              <w:outlineLvl w:val="9"/>
              <w:rPr>
                <w:rFonts w:hint="default" w:ascii="宋体" w:hAnsi="宋体" w:cs="宋体"/>
                <w:color w:val="auto"/>
                <w:sz w:val="24"/>
                <w:szCs w:val="24"/>
                <w:highlight w:val="none"/>
                <w:shd w:val="clear" w:color="auto" w:fill="auto"/>
                <w:vertAlign w:val="baseline"/>
                <w:lang w:val="en-US" w:eastAsia="zh-CN"/>
              </w:rPr>
            </w:pPr>
            <w:r>
              <w:rPr>
                <w:rFonts w:hint="eastAsia" w:ascii="宋体" w:hAnsi="宋体" w:cs="宋体"/>
                <w:color w:val="auto"/>
                <w:sz w:val="24"/>
                <w:szCs w:val="24"/>
                <w:highlight w:val="none"/>
                <w:shd w:val="clear" w:color="auto" w:fill="auto"/>
                <w:vertAlign w:val="baseline"/>
                <w:lang w:val="en-US" w:eastAsia="zh-CN"/>
              </w:rPr>
              <w:t>8</w:t>
            </w:r>
          </w:p>
        </w:tc>
        <w:tc>
          <w:tcPr>
            <w:tcW w:w="1365" w:type="dxa"/>
            <w:vMerge w:val="continue"/>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ind w:right="0" w:rightChars="0"/>
              <w:jc w:val="center"/>
              <w:outlineLvl w:val="9"/>
              <w:rPr>
                <w:rFonts w:hint="eastAsia" w:ascii="宋体" w:hAnsi="宋体" w:cs="宋体"/>
                <w:color w:val="auto"/>
                <w:sz w:val="24"/>
                <w:szCs w:val="24"/>
                <w:highlight w:val="none"/>
                <w:shd w:val="clear" w:color="auto" w:fill="auto"/>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ind w:right="0" w:rightChars="0"/>
              <w:jc w:val="center"/>
              <w:outlineLvl w:val="9"/>
              <w:rPr>
                <w:rFonts w:hint="eastAsia" w:ascii="宋体" w:hAnsi="宋体" w:cs="宋体"/>
                <w:color w:val="auto"/>
                <w:sz w:val="24"/>
                <w:szCs w:val="24"/>
                <w:highlight w:val="none"/>
                <w:shd w:val="clear" w:color="auto" w:fill="auto"/>
                <w:vertAlign w:val="baseline"/>
                <w:lang w:val="en-US" w:eastAsia="zh-CN"/>
              </w:rPr>
            </w:pPr>
          </w:p>
        </w:tc>
        <w:tc>
          <w:tcPr>
            <w:tcW w:w="4305" w:type="dxa"/>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kinsoku/>
              <w:wordWrap/>
              <w:overflowPunct/>
              <w:topLinePunct w:val="0"/>
              <w:autoSpaceDE/>
              <w:autoSpaceDN/>
              <w:bidi w:val="0"/>
              <w:adjustRightInd/>
              <w:snapToGrid/>
              <w:spacing w:line="360" w:lineRule="auto"/>
              <w:ind w:right="0" w:rightChars="0"/>
              <w:jc w:val="center"/>
              <w:outlineLvl w:val="9"/>
              <w:rPr>
                <w:rFonts w:hint="eastAsia" w:ascii="宋体" w:hAnsi="宋体" w:cs="宋体"/>
                <w:color w:val="auto"/>
                <w:sz w:val="24"/>
                <w:szCs w:val="24"/>
                <w:highlight w:val="none"/>
                <w:shd w:val="clear" w:color="auto" w:fill="auto"/>
                <w:vertAlign w:val="baseline"/>
                <w:lang w:val="en-US" w:eastAsia="zh-CN"/>
              </w:rPr>
            </w:pPr>
            <w:r>
              <w:rPr>
                <w:rFonts w:hint="eastAsia" w:ascii="宋体" w:hAnsi="宋体" w:cs="宋体"/>
                <w:color w:val="auto"/>
                <w:sz w:val="24"/>
                <w:szCs w:val="24"/>
                <w:highlight w:val="none"/>
                <w:shd w:val="clear" w:color="auto" w:fill="auto"/>
                <w:vertAlign w:val="baseline"/>
                <w:lang w:val="en-US" w:eastAsia="zh-CN"/>
              </w:rPr>
              <w:t>科学研究和技术服务业就业</w:t>
            </w:r>
          </w:p>
        </w:tc>
        <w:tc>
          <w:tcPr>
            <w:tcW w:w="1223" w:type="dxa"/>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kinsoku/>
              <w:wordWrap/>
              <w:overflowPunct/>
              <w:topLinePunct w:val="0"/>
              <w:autoSpaceDE/>
              <w:autoSpaceDN/>
              <w:bidi w:val="0"/>
              <w:adjustRightInd/>
              <w:snapToGrid/>
              <w:spacing w:line="360" w:lineRule="auto"/>
              <w:ind w:right="0" w:rightChars="0"/>
              <w:jc w:val="center"/>
              <w:outlineLvl w:val="9"/>
              <w:rPr>
                <w:rFonts w:hint="default" w:ascii="宋体" w:hAnsi="宋体" w:cs="宋体"/>
                <w:color w:val="auto"/>
                <w:sz w:val="24"/>
                <w:szCs w:val="24"/>
                <w:highlight w:val="none"/>
                <w:shd w:val="clear" w:color="auto" w:fill="auto"/>
                <w:vertAlign w:val="baseline"/>
                <w:lang w:val="en-US" w:eastAsia="zh-CN"/>
              </w:rPr>
            </w:pPr>
            <w:r>
              <w:rPr>
                <w:rFonts w:hint="eastAsia" w:ascii="宋体" w:hAnsi="宋体" w:cs="宋体"/>
                <w:color w:val="auto"/>
                <w:sz w:val="24"/>
                <w:szCs w:val="24"/>
                <w:highlight w:val="none"/>
                <w:shd w:val="clear" w:color="auto" w:fill="auto"/>
                <w:vertAlign w:val="baseline"/>
                <w:lang w:val="en-US" w:eastAsia="zh-CN"/>
              </w:rPr>
              <w:t>20</w:t>
            </w:r>
          </w:p>
        </w:tc>
        <w:tc>
          <w:tcPr>
            <w:tcW w:w="1365" w:type="dxa"/>
            <w:vMerge w:val="continue"/>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ind w:right="0" w:rightChars="0"/>
              <w:jc w:val="center"/>
              <w:outlineLvl w:val="9"/>
              <w:rPr>
                <w:rFonts w:hint="eastAsia" w:ascii="宋体" w:hAnsi="宋体" w:cs="宋体"/>
                <w:color w:val="auto"/>
                <w:sz w:val="24"/>
                <w:szCs w:val="24"/>
                <w:highlight w:val="none"/>
                <w:shd w:val="clear" w:color="auto" w:fill="auto"/>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ind w:right="0" w:rightChars="0"/>
              <w:jc w:val="center"/>
              <w:outlineLvl w:val="9"/>
              <w:rPr>
                <w:rFonts w:hint="eastAsia" w:ascii="宋体" w:hAnsi="宋体" w:cs="宋体"/>
                <w:color w:val="auto"/>
                <w:sz w:val="24"/>
                <w:szCs w:val="24"/>
                <w:highlight w:val="none"/>
                <w:shd w:val="clear" w:color="auto" w:fill="auto"/>
                <w:vertAlign w:val="baseline"/>
                <w:lang w:val="en-US" w:eastAsia="zh-CN"/>
              </w:rPr>
            </w:pPr>
          </w:p>
        </w:tc>
        <w:tc>
          <w:tcPr>
            <w:tcW w:w="4305" w:type="dxa"/>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kinsoku/>
              <w:wordWrap/>
              <w:overflowPunct/>
              <w:topLinePunct w:val="0"/>
              <w:autoSpaceDE/>
              <w:autoSpaceDN/>
              <w:bidi w:val="0"/>
              <w:adjustRightInd/>
              <w:snapToGrid/>
              <w:spacing w:line="360" w:lineRule="auto"/>
              <w:ind w:right="0" w:rightChars="0"/>
              <w:jc w:val="center"/>
              <w:outlineLvl w:val="9"/>
              <w:rPr>
                <w:rFonts w:hint="eastAsia" w:ascii="宋体" w:hAnsi="宋体" w:cs="宋体"/>
                <w:color w:val="auto"/>
                <w:sz w:val="24"/>
                <w:szCs w:val="24"/>
                <w:highlight w:val="none"/>
                <w:shd w:val="clear" w:color="auto" w:fill="auto"/>
                <w:vertAlign w:val="baseline"/>
                <w:lang w:val="en-US" w:eastAsia="zh-CN"/>
              </w:rPr>
            </w:pPr>
            <w:r>
              <w:rPr>
                <w:rFonts w:hint="eastAsia" w:ascii="宋体" w:hAnsi="宋体" w:cs="宋体"/>
                <w:color w:val="auto"/>
                <w:sz w:val="24"/>
                <w:szCs w:val="24"/>
                <w:highlight w:val="none"/>
                <w:shd w:val="clear" w:color="auto" w:fill="auto"/>
                <w:vertAlign w:val="baseline"/>
                <w:lang w:val="en-US" w:eastAsia="zh-CN"/>
              </w:rPr>
              <w:t>水利、环境和公共设施管理业就业</w:t>
            </w:r>
          </w:p>
        </w:tc>
        <w:tc>
          <w:tcPr>
            <w:tcW w:w="1223" w:type="dxa"/>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kinsoku/>
              <w:wordWrap/>
              <w:overflowPunct/>
              <w:topLinePunct w:val="0"/>
              <w:autoSpaceDE/>
              <w:autoSpaceDN/>
              <w:bidi w:val="0"/>
              <w:adjustRightInd/>
              <w:snapToGrid/>
              <w:spacing w:line="360" w:lineRule="auto"/>
              <w:ind w:right="0" w:rightChars="0"/>
              <w:jc w:val="center"/>
              <w:outlineLvl w:val="9"/>
              <w:rPr>
                <w:rFonts w:hint="default" w:ascii="宋体" w:hAnsi="宋体" w:cs="宋体"/>
                <w:color w:val="auto"/>
                <w:sz w:val="24"/>
                <w:szCs w:val="24"/>
                <w:highlight w:val="none"/>
                <w:shd w:val="clear" w:color="auto" w:fill="auto"/>
                <w:vertAlign w:val="baseline"/>
                <w:lang w:val="en-US" w:eastAsia="zh-CN"/>
              </w:rPr>
            </w:pPr>
            <w:r>
              <w:rPr>
                <w:rFonts w:hint="eastAsia" w:ascii="宋体" w:hAnsi="宋体" w:cs="宋体"/>
                <w:color w:val="auto"/>
                <w:sz w:val="24"/>
                <w:szCs w:val="24"/>
                <w:highlight w:val="none"/>
                <w:shd w:val="clear" w:color="auto" w:fill="auto"/>
                <w:vertAlign w:val="baseline"/>
                <w:lang w:val="en-US" w:eastAsia="zh-CN"/>
              </w:rPr>
              <w:t>2</w:t>
            </w:r>
          </w:p>
        </w:tc>
        <w:tc>
          <w:tcPr>
            <w:tcW w:w="1365" w:type="dxa"/>
            <w:vMerge w:val="continue"/>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ind w:right="0" w:rightChars="0"/>
              <w:jc w:val="center"/>
              <w:outlineLvl w:val="9"/>
              <w:rPr>
                <w:rFonts w:hint="eastAsia" w:ascii="宋体" w:hAnsi="宋体" w:cs="宋体"/>
                <w:color w:val="auto"/>
                <w:sz w:val="24"/>
                <w:szCs w:val="24"/>
                <w:highlight w:val="none"/>
                <w:shd w:val="clear" w:color="auto" w:fill="auto"/>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ind w:right="0" w:rightChars="0"/>
              <w:jc w:val="center"/>
              <w:outlineLvl w:val="9"/>
              <w:rPr>
                <w:rFonts w:hint="eastAsia" w:ascii="宋体" w:hAnsi="宋体" w:cs="宋体"/>
                <w:color w:val="auto"/>
                <w:sz w:val="24"/>
                <w:szCs w:val="24"/>
                <w:highlight w:val="none"/>
                <w:shd w:val="clear" w:color="auto" w:fill="auto"/>
                <w:vertAlign w:val="baseline"/>
                <w:lang w:val="en-US" w:eastAsia="zh-CN"/>
              </w:rPr>
            </w:pPr>
          </w:p>
        </w:tc>
        <w:tc>
          <w:tcPr>
            <w:tcW w:w="4305" w:type="dxa"/>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kinsoku/>
              <w:wordWrap/>
              <w:overflowPunct/>
              <w:topLinePunct w:val="0"/>
              <w:autoSpaceDE/>
              <w:autoSpaceDN/>
              <w:bidi w:val="0"/>
              <w:adjustRightInd/>
              <w:snapToGrid/>
              <w:spacing w:line="360" w:lineRule="auto"/>
              <w:ind w:right="0" w:rightChars="0"/>
              <w:jc w:val="center"/>
              <w:outlineLvl w:val="9"/>
              <w:rPr>
                <w:rFonts w:hint="eastAsia" w:ascii="宋体" w:hAnsi="宋体" w:cs="宋体"/>
                <w:color w:val="auto"/>
                <w:sz w:val="24"/>
                <w:szCs w:val="24"/>
                <w:highlight w:val="none"/>
                <w:shd w:val="clear" w:color="auto" w:fill="auto"/>
                <w:vertAlign w:val="baseline"/>
                <w:lang w:val="en-US" w:eastAsia="zh-CN"/>
              </w:rPr>
            </w:pPr>
            <w:r>
              <w:rPr>
                <w:rFonts w:hint="eastAsia" w:ascii="宋体" w:hAnsi="宋体" w:cs="宋体"/>
                <w:color w:val="auto"/>
                <w:sz w:val="24"/>
                <w:szCs w:val="24"/>
                <w:highlight w:val="none"/>
                <w:shd w:val="clear" w:color="auto" w:fill="auto"/>
                <w:vertAlign w:val="baseline"/>
                <w:lang w:val="en-US" w:eastAsia="zh-CN"/>
              </w:rPr>
              <w:t>信息传输、软件和信息技术服务业就业</w:t>
            </w:r>
          </w:p>
        </w:tc>
        <w:tc>
          <w:tcPr>
            <w:tcW w:w="1223" w:type="dxa"/>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kinsoku/>
              <w:wordWrap/>
              <w:overflowPunct/>
              <w:topLinePunct w:val="0"/>
              <w:autoSpaceDE/>
              <w:autoSpaceDN/>
              <w:bidi w:val="0"/>
              <w:adjustRightInd/>
              <w:snapToGrid/>
              <w:spacing w:line="360" w:lineRule="auto"/>
              <w:ind w:right="0" w:rightChars="0"/>
              <w:jc w:val="center"/>
              <w:outlineLvl w:val="9"/>
              <w:rPr>
                <w:rFonts w:hint="default" w:ascii="宋体" w:hAnsi="宋体" w:cs="宋体"/>
                <w:color w:val="auto"/>
                <w:sz w:val="24"/>
                <w:szCs w:val="24"/>
                <w:highlight w:val="none"/>
                <w:shd w:val="clear" w:color="auto" w:fill="auto"/>
                <w:vertAlign w:val="baseline"/>
                <w:lang w:val="en-US" w:eastAsia="zh-CN"/>
              </w:rPr>
            </w:pPr>
            <w:r>
              <w:rPr>
                <w:rFonts w:hint="eastAsia" w:ascii="宋体" w:hAnsi="宋体" w:cs="宋体"/>
                <w:color w:val="auto"/>
                <w:sz w:val="24"/>
                <w:szCs w:val="24"/>
                <w:highlight w:val="none"/>
                <w:shd w:val="clear" w:color="auto" w:fill="auto"/>
                <w:vertAlign w:val="baseline"/>
                <w:lang w:val="en-US" w:eastAsia="zh-CN"/>
              </w:rPr>
              <w:t>73</w:t>
            </w:r>
          </w:p>
        </w:tc>
        <w:tc>
          <w:tcPr>
            <w:tcW w:w="1365" w:type="dxa"/>
            <w:vMerge w:val="continue"/>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ind w:right="0" w:rightChars="0"/>
              <w:jc w:val="center"/>
              <w:outlineLvl w:val="9"/>
              <w:rPr>
                <w:rFonts w:hint="eastAsia" w:ascii="宋体" w:hAnsi="宋体" w:cs="宋体"/>
                <w:color w:val="auto"/>
                <w:sz w:val="24"/>
                <w:szCs w:val="24"/>
                <w:highlight w:val="none"/>
                <w:shd w:val="clear" w:color="auto" w:fill="auto"/>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ind w:right="0" w:rightChars="0"/>
              <w:jc w:val="center"/>
              <w:outlineLvl w:val="9"/>
              <w:rPr>
                <w:rFonts w:hint="eastAsia" w:ascii="宋体" w:hAnsi="宋体" w:cs="宋体"/>
                <w:color w:val="auto"/>
                <w:sz w:val="24"/>
                <w:szCs w:val="24"/>
                <w:highlight w:val="none"/>
                <w:shd w:val="clear" w:color="auto" w:fill="auto"/>
                <w:vertAlign w:val="baseline"/>
                <w:lang w:val="en-US" w:eastAsia="zh-CN"/>
              </w:rPr>
            </w:pPr>
          </w:p>
        </w:tc>
        <w:tc>
          <w:tcPr>
            <w:tcW w:w="4305" w:type="dxa"/>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kinsoku/>
              <w:wordWrap/>
              <w:overflowPunct/>
              <w:topLinePunct w:val="0"/>
              <w:autoSpaceDE/>
              <w:autoSpaceDN/>
              <w:bidi w:val="0"/>
              <w:adjustRightInd/>
              <w:snapToGrid/>
              <w:spacing w:line="360" w:lineRule="auto"/>
              <w:ind w:right="0" w:rightChars="0"/>
              <w:jc w:val="center"/>
              <w:outlineLvl w:val="9"/>
              <w:rPr>
                <w:rFonts w:hint="eastAsia" w:ascii="宋体" w:hAnsi="宋体" w:cs="宋体"/>
                <w:color w:val="auto"/>
                <w:sz w:val="24"/>
                <w:szCs w:val="24"/>
                <w:highlight w:val="none"/>
                <w:shd w:val="clear" w:color="auto" w:fill="auto"/>
                <w:vertAlign w:val="baseline"/>
                <w:lang w:val="en-US" w:eastAsia="zh-CN"/>
              </w:rPr>
            </w:pPr>
            <w:r>
              <w:rPr>
                <w:rFonts w:hint="eastAsia" w:ascii="宋体" w:hAnsi="宋体" w:cs="宋体"/>
                <w:color w:val="auto"/>
                <w:sz w:val="24"/>
                <w:szCs w:val="24"/>
                <w:highlight w:val="none"/>
                <w:shd w:val="clear" w:color="auto" w:fill="auto"/>
                <w:vertAlign w:val="baseline"/>
                <w:lang w:val="en-US" w:eastAsia="zh-CN"/>
              </w:rPr>
              <w:t>制造业就业</w:t>
            </w:r>
          </w:p>
        </w:tc>
        <w:tc>
          <w:tcPr>
            <w:tcW w:w="1223" w:type="dxa"/>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kinsoku/>
              <w:wordWrap/>
              <w:overflowPunct/>
              <w:topLinePunct w:val="0"/>
              <w:autoSpaceDE/>
              <w:autoSpaceDN/>
              <w:bidi w:val="0"/>
              <w:adjustRightInd/>
              <w:snapToGrid/>
              <w:spacing w:line="360" w:lineRule="auto"/>
              <w:ind w:right="0" w:rightChars="0"/>
              <w:jc w:val="center"/>
              <w:outlineLvl w:val="9"/>
              <w:rPr>
                <w:rFonts w:hint="default" w:ascii="宋体" w:hAnsi="宋体" w:cs="宋体"/>
                <w:color w:val="auto"/>
                <w:sz w:val="24"/>
                <w:szCs w:val="24"/>
                <w:highlight w:val="none"/>
                <w:shd w:val="clear" w:color="auto" w:fill="auto"/>
                <w:vertAlign w:val="baseline"/>
                <w:lang w:val="en-US" w:eastAsia="zh-CN"/>
              </w:rPr>
            </w:pPr>
            <w:r>
              <w:rPr>
                <w:rFonts w:hint="eastAsia" w:ascii="宋体" w:hAnsi="宋体" w:cs="宋体"/>
                <w:color w:val="auto"/>
                <w:sz w:val="24"/>
                <w:szCs w:val="24"/>
                <w:highlight w:val="none"/>
                <w:shd w:val="clear" w:color="auto" w:fill="auto"/>
                <w:vertAlign w:val="baseline"/>
                <w:lang w:val="en-US" w:eastAsia="zh-CN"/>
              </w:rPr>
              <w:t>219</w:t>
            </w:r>
          </w:p>
        </w:tc>
        <w:tc>
          <w:tcPr>
            <w:tcW w:w="1365" w:type="dxa"/>
            <w:vMerge w:val="continue"/>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ind w:right="0" w:rightChars="0"/>
              <w:jc w:val="center"/>
              <w:outlineLvl w:val="9"/>
              <w:rPr>
                <w:rFonts w:hint="eastAsia" w:ascii="宋体" w:hAnsi="宋体" w:cs="宋体"/>
                <w:color w:val="auto"/>
                <w:sz w:val="24"/>
                <w:szCs w:val="24"/>
                <w:highlight w:val="none"/>
                <w:shd w:val="clear" w:color="auto" w:fill="auto"/>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ind w:right="0" w:rightChars="0"/>
              <w:jc w:val="center"/>
              <w:outlineLvl w:val="9"/>
              <w:rPr>
                <w:rFonts w:hint="eastAsia" w:ascii="宋体" w:hAnsi="宋体" w:cs="宋体"/>
                <w:color w:val="auto"/>
                <w:sz w:val="24"/>
                <w:szCs w:val="24"/>
                <w:highlight w:val="none"/>
                <w:shd w:val="clear" w:color="auto" w:fill="auto"/>
                <w:vertAlign w:val="baseline"/>
                <w:lang w:val="en-US" w:eastAsia="zh-CN"/>
              </w:rPr>
            </w:pPr>
          </w:p>
        </w:tc>
        <w:tc>
          <w:tcPr>
            <w:tcW w:w="4305" w:type="dxa"/>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kinsoku/>
              <w:wordWrap/>
              <w:overflowPunct/>
              <w:topLinePunct w:val="0"/>
              <w:autoSpaceDE/>
              <w:autoSpaceDN/>
              <w:bidi w:val="0"/>
              <w:adjustRightInd/>
              <w:snapToGrid/>
              <w:spacing w:line="360" w:lineRule="auto"/>
              <w:ind w:right="0" w:rightChars="0"/>
              <w:jc w:val="center"/>
              <w:outlineLvl w:val="9"/>
              <w:rPr>
                <w:rFonts w:hint="eastAsia" w:ascii="宋体" w:hAnsi="宋体" w:cs="宋体"/>
                <w:color w:val="auto"/>
                <w:sz w:val="24"/>
                <w:szCs w:val="24"/>
                <w:highlight w:val="none"/>
                <w:shd w:val="clear" w:color="auto" w:fill="auto"/>
                <w:vertAlign w:val="baseline"/>
                <w:lang w:val="en-US" w:eastAsia="zh-CN"/>
              </w:rPr>
            </w:pPr>
            <w:r>
              <w:rPr>
                <w:rFonts w:hint="eastAsia" w:ascii="宋体" w:hAnsi="宋体" w:cs="宋体"/>
                <w:color w:val="auto"/>
                <w:sz w:val="24"/>
                <w:szCs w:val="24"/>
                <w:highlight w:val="none"/>
                <w:shd w:val="clear" w:color="auto" w:fill="auto"/>
                <w:vertAlign w:val="baseline"/>
                <w:lang w:val="en-US" w:eastAsia="zh-CN"/>
              </w:rPr>
              <w:t>教育就业</w:t>
            </w:r>
          </w:p>
        </w:tc>
        <w:tc>
          <w:tcPr>
            <w:tcW w:w="1223" w:type="dxa"/>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kinsoku/>
              <w:wordWrap/>
              <w:overflowPunct/>
              <w:topLinePunct w:val="0"/>
              <w:autoSpaceDE/>
              <w:autoSpaceDN/>
              <w:bidi w:val="0"/>
              <w:adjustRightInd/>
              <w:snapToGrid/>
              <w:spacing w:line="360" w:lineRule="auto"/>
              <w:ind w:right="0" w:rightChars="0"/>
              <w:jc w:val="center"/>
              <w:outlineLvl w:val="9"/>
              <w:rPr>
                <w:rFonts w:hint="eastAsia" w:ascii="宋体" w:hAnsi="宋体" w:cs="宋体"/>
                <w:color w:val="auto"/>
                <w:sz w:val="24"/>
                <w:szCs w:val="24"/>
                <w:highlight w:val="none"/>
                <w:shd w:val="clear" w:color="auto" w:fill="auto"/>
                <w:vertAlign w:val="baseline"/>
                <w:lang w:val="en-US" w:eastAsia="zh-CN"/>
              </w:rPr>
            </w:pPr>
            <w:r>
              <w:rPr>
                <w:rFonts w:hint="eastAsia" w:ascii="宋体" w:hAnsi="宋体" w:cs="宋体"/>
                <w:color w:val="auto"/>
                <w:sz w:val="24"/>
                <w:szCs w:val="24"/>
                <w:highlight w:val="none"/>
                <w:shd w:val="clear" w:color="auto" w:fill="auto"/>
                <w:vertAlign w:val="baseline"/>
                <w:lang w:val="en-US" w:eastAsia="zh-CN"/>
              </w:rPr>
              <w:t>6</w:t>
            </w:r>
          </w:p>
        </w:tc>
        <w:tc>
          <w:tcPr>
            <w:tcW w:w="1365" w:type="dxa"/>
            <w:vMerge w:val="continue"/>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ind w:right="0" w:rightChars="0"/>
              <w:jc w:val="center"/>
              <w:outlineLvl w:val="9"/>
              <w:rPr>
                <w:rFonts w:hint="eastAsia" w:ascii="宋体" w:hAnsi="宋体" w:cs="宋体"/>
                <w:color w:val="auto"/>
                <w:sz w:val="24"/>
                <w:szCs w:val="24"/>
                <w:highlight w:val="none"/>
                <w:shd w:val="clear" w:color="auto" w:fill="auto"/>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ind w:right="0" w:rightChars="0"/>
              <w:jc w:val="center"/>
              <w:outlineLvl w:val="9"/>
              <w:rPr>
                <w:rFonts w:hint="eastAsia" w:ascii="宋体" w:hAnsi="宋体" w:cs="宋体"/>
                <w:color w:val="auto"/>
                <w:sz w:val="24"/>
                <w:szCs w:val="24"/>
                <w:highlight w:val="none"/>
                <w:shd w:val="clear" w:color="auto" w:fill="auto"/>
                <w:vertAlign w:val="baseline"/>
                <w:lang w:val="en-US" w:eastAsia="zh-CN"/>
              </w:rPr>
            </w:pPr>
          </w:p>
        </w:tc>
        <w:tc>
          <w:tcPr>
            <w:tcW w:w="4305" w:type="dxa"/>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kinsoku/>
              <w:wordWrap/>
              <w:overflowPunct/>
              <w:topLinePunct w:val="0"/>
              <w:autoSpaceDE/>
              <w:autoSpaceDN/>
              <w:bidi w:val="0"/>
              <w:adjustRightInd/>
              <w:snapToGrid/>
              <w:spacing w:line="360" w:lineRule="auto"/>
              <w:ind w:right="0" w:rightChars="0"/>
              <w:jc w:val="center"/>
              <w:outlineLvl w:val="9"/>
              <w:rPr>
                <w:rFonts w:hint="eastAsia" w:ascii="宋体" w:hAnsi="宋体" w:cs="宋体"/>
                <w:color w:val="auto"/>
                <w:sz w:val="24"/>
                <w:szCs w:val="24"/>
                <w:highlight w:val="none"/>
                <w:shd w:val="clear" w:color="auto" w:fill="auto"/>
                <w:vertAlign w:val="baseline"/>
                <w:lang w:val="en-US" w:eastAsia="zh-CN"/>
              </w:rPr>
            </w:pPr>
            <w:r>
              <w:rPr>
                <w:rFonts w:hint="eastAsia" w:ascii="宋体" w:hAnsi="宋体" w:cs="宋体"/>
                <w:color w:val="auto"/>
                <w:sz w:val="24"/>
                <w:szCs w:val="24"/>
                <w:highlight w:val="none"/>
                <w:shd w:val="clear" w:color="auto" w:fill="auto"/>
                <w:vertAlign w:val="baseline"/>
                <w:lang w:val="en-US" w:eastAsia="zh-CN"/>
              </w:rPr>
              <w:t>交通运输、仓储和邮政业就业</w:t>
            </w:r>
          </w:p>
        </w:tc>
        <w:tc>
          <w:tcPr>
            <w:tcW w:w="1223" w:type="dxa"/>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kinsoku/>
              <w:wordWrap/>
              <w:overflowPunct/>
              <w:topLinePunct w:val="0"/>
              <w:autoSpaceDE/>
              <w:autoSpaceDN/>
              <w:bidi w:val="0"/>
              <w:adjustRightInd/>
              <w:snapToGrid/>
              <w:spacing w:line="360" w:lineRule="auto"/>
              <w:ind w:right="0" w:rightChars="0"/>
              <w:jc w:val="center"/>
              <w:outlineLvl w:val="9"/>
              <w:rPr>
                <w:rFonts w:hint="default" w:ascii="宋体" w:hAnsi="宋体" w:cs="宋体"/>
                <w:color w:val="auto"/>
                <w:sz w:val="24"/>
                <w:szCs w:val="24"/>
                <w:highlight w:val="none"/>
                <w:shd w:val="clear" w:color="auto" w:fill="auto"/>
                <w:vertAlign w:val="baseline"/>
                <w:lang w:val="en-US" w:eastAsia="zh-CN"/>
              </w:rPr>
            </w:pPr>
            <w:r>
              <w:rPr>
                <w:rFonts w:hint="eastAsia" w:ascii="宋体" w:hAnsi="宋体" w:cs="宋体"/>
                <w:color w:val="auto"/>
                <w:sz w:val="24"/>
                <w:szCs w:val="24"/>
                <w:highlight w:val="none"/>
                <w:shd w:val="clear" w:color="auto" w:fill="auto"/>
                <w:vertAlign w:val="baseline"/>
                <w:lang w:val="en-US" w:eastAsia="zh-CN"/>
              </w:rPr>
              <w:t>14</w:t>
            </w:r>
          </w:p>
        </w:tc>
        <w:tc>
          <w:tcPr>
            <w:tcW w:w="1365" w:type="dxa"/>
            <w:vMerge w:val="continue"/>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ind w:right="0" w:rightChars="0"/>
              <w:jc w:val="center"/>
              <w:outlineLvl w:val="9"/>
              <w:rPr>
                <w:rFonts w:hint="eastAsia" w:ascii="宋体" w:hAnsi="宋体" w:cs="宋体"/>
                <w:color w:val="auto"/>
                <w:sz w:val="24"/>
                <w:szCs w:val="24"/>
                <w:highlight w:val="none"/>
                <w:shd w:val="clear" w:color="auto" w:fill="auto"/>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restar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ind w:right="0" w:rightChars="0"/>
              <w:jc w:val="center"/>
              <w:outlineLvl w:val="9"/>
              <w:rPr>
                <w:rFonts w:hint="eastAsia" w:ascii="宋体" w:hAnsi="宋体" w:cs="宋体"/>
                <w:color w:val="auto"/>
                <w:sz w:val="24"/>
                <w:szCs w:val="24"/>
                <w:highlight w:val="none"/>
                <w:shd w:val="clear" w:color="auto" w:fill="auto"/>
                <w:vertAlign w:val="baseline"/>
                <w:lang w:val="en-US" w:eastAsia="zh-CN"/>
              </w:rPr>
            </w:pPr>
            <w:r>
              <w:rPr>
                <w:rFonts w:hint="eastAsia" w:ascii="宋体" w:hAnsi="宋体" w:cs="宋体"/>
                <w:color w:val="auto"/>
                <w:sz w:val="24"/>
                <w:szCs w:val="24"/>
                <w:highlight w:val="none"/>
                <w:shd w:val="clear" w:color="auto" w:fill="auto"/>
                <w:lang w:val="en-US" w:eastAsia="zh-CN"/>
              </w:rPr>
              <w:t>与我院专业</w:t>
            </w:r>
            <w:r>
              <w:rPr>
                <w:rFonts w:hint="eastAsia" w:ascii="宋体" w:hAnsi="宋体" w:cs="宋体"/>
                <w:color w:val="auto"/>
                <w:sz w:val="24"/>
                <w:szCs w:val="24"/>
                <w:highlight w:val="none"/>
                <w:shd w:val="clear" w:color="auto" w:fill="auto"/>
                <w:vertAlign w:val="baseline"/>
                <w:lang w:val="en-US" w:eastAsia="zh-CN"/>
              </w:rPr>
              <w:t>相关度不大</w:t>
            </w:r>
          </w:p>
        </w:tc>
        <w:tc>
          <w:tcPr>
            <w:tcW w:w="4305" w:type="dxa"/>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kinsoku/>
              <w:wordWrap/>
              <w:overflowPunct/>
              <w:topLinePunct w:val="0"/>
              <w:autoSpaceDE/>
              <w:autoSpaceDN/>
              <w:bidi w:val="0"/>
              <w:adjustRightInd/>
              <w:snapToGrid/>
              <w:spacing w:line="360" w:lineRule="auto"/>
              <w:ind w:right="0" w:rightChars="0"/>
              <w:jc w:val="center"/>
              <w:outlineLvl w:val="9"/>
              <w:rPr>
                <w:rFonts w:hint="eastAsia" w:ascii="宋体" w:hAnsi="宋体" w:cs="宋体"/>
                <w:color w:val="auto"/>
                <w:sz w:val="24"/>
                <w:szCs w:val="24"/>
                <w:highlight w:val="none"/>
                <w:shd w:val="clear" w:color="auto" w:fill="auto"/>
                <w:vertAlign w:val="baseline"/>
                <w:lang w:val="en-US" w:eastAsia="zh-CN"/>
              </w:rPr>
            </w:pPr>
            <w:r>
              <w:rPr>
                <w:rFonts w:hint="eastAsia" w:ascii="宋体" w:hAnsi="宋体" w:cs="宋体"/>
                <w:color w:val="auto"/>
                <w:sz w:val="24"/>
                <w:szCs w:val="24"/>
                <w:highlight w:val="none"/>
                <w:shd w:val="clear" w:color="auto" w:fill="auto"/>
                <w:vertAlign w:val="baseline"/>
                <w:lang w:val="en-US" w:eastAsia="zh-CN"/>
              </w:rPr>
              <w:t>房地产业就业</w:t>
            </w:r>
          </w:p>
        </w:tc>
        <w:tc>
          <w:tcPr>
            <w:tcW w:w="1223" w:type="dxa"/>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kinsoku/>
              <w:wordWrap/>
              <w:overflowPunct/>
              <w:topLinePunct w:val="0"/>
              <w:autoSpaceDE/>
              <w:autoSpaceDN/>
              <w:bidi w:val="0"/>
              <w:adjustRightInd/>
              <w:snapToGrid/>
              <w:spacing w:line="360" w:lineRule="auto"/>
              <w:ind w:right="0" w:rightChars="0"/>
              <w:jc w:val="center"/>
              <w:outlineLvl w:val="9"/>
              <w:rPr>
                <w:rFonts w:hint="default" w:ascii="宋体" w:hAnsi="宋体" w:cs="宋体"/>
                <w:color w:val="auto"/>
                <w:sz w:val="24"/>
                <w:szCs w:val="24"/>
                <w:highlight w:val="none"/>
                <w:shd w:val="clear" w:color="auto" w:fill="auto"/>
                <w:vertAlign w:val="baseline"/>
                <w:lang w:val="en-US" w:eastAsia="zh-CN"/>
              </w:rPr>
            </w:pPr>
            <w:r>
              <w:rPr>
                <w:rFonts w:hint="eastAsia" w:ascii="宋体" w:hAnsi="宋体" w:cs="宋体"/>
                <w:color w:val="auto"/>
                <w:sz w:val="24"/>
                <w:szCs w:val="24"/>
                <w:highlight w:val="none"/>
                <w:shd w:val="clear" w:color="auto" w:fill="auto"/>
                <w:vertAlign w:val="baseline"/>
                <w:lang w:val="en-US" w:eastAsia="zh-CN"/>
              </w:rPr>
              <w:t>2</w:t>
            </w:r>
          </w:p>
        </w:tc>
        <w:tc>
          <w:tcPr>
            <w:tcW w:w="1365" w:type="dxa"/>
            <w:vMerge w:val="restar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360" w:lineRule="auto"/>
              <w:ind w:right="0" w:rightChars="0"/>
              <w:jc w:val="center"/>
              <w:outlineLvl w:val="9"/>
              <w:rPr>
                <w:rFonts w:hint="eastAsia" w:ascii="宋体" w:hAnsi="宋体" w:cs="宋体"/>
                <w:color w:val="auto"/>
                <w:sz w:val="24"/>
                <w:szCs w:val="24"/>
                <w:highlight w:val="none"/>
                <w:shd w:val="clear" w:color="auto" w:fill="auto"/>
                <w:vertAlign w:val="baseline"/>
                <w:lang w:val="en-US" w:eastAsia="zh-CN"/>
              </w:rPr>
            </w:pPr>
            <w:r>
              <w:rPr>
                <w:rFonts w:hint="default" w:ascii="宋体" w:hAnsi="宋体" w:cs="宋体"/>
                <w:color w:val="auto"/>
                <w:sz w:val="24"/>
                <w:szCs w:val="24"/>
                <w:highlight w:val="none"/>
                <w:shd w:val="clear" w:color="auto" w:fill="auto"/>
                <w:vertAlign w:val="baseline"/>
                <w:lang w:val="en-US" w:eastAsia="zh-CN"/>
              </w:rPr>
              <w:t>1</w:t>
            </w:r>
            <w:r>
              <w:rPr>
                <w:rFonts w:hint="eastAsia" w:ascii="宋体" w:hAnsi="宋体" w:cs="宋体"/>
                <w:color w:val="auto"/>
                <w:sz w:val="24"/>
                <w:szCs w:val="24"/>
                <w:highlight w:val="none"/>
                <w:shd w:val="clear" w:color="auto" w:fill="auto"/>
                <w:vertAlign w:val="baseline"/>
                <w:lang w:val="en-US" w:eastAsia="zh-CN"/>
              </w:rPr>
              <w:t>1.87%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9" w:hRule="atLeast"/>
        </w:trPr>
        <w:tc>
          <w:tcPr>
            <w:tcW w:w="1704" w:type="dxa"/>
            <w:vMerge w:val="continue"/>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kinsoku/>
              <w:wordWrap/>
              <w:overflowPunct/>
              <w:topLinePunct w:val="0"/>
              <w:autoSpaceDE/>
              <w:autoSpaceDN/>
              <w:bidi w:val="0"/>
              <w:adjustRightInd/>
              <w:snapToGrid/>
              <w:spacing w:line="360" w:lineRule="auto"/>
              <w:ind w:right="0" w:rightChars="0"/>
              <w:jc w:val="center"/>
              <w:outlineLvl w:val="9"/>
              <w:rPr>
                <w:rFonts w:hint="eastAsia" w:ascii="宋体" w:hAnsi="宋体" w:cs="宋体"/>
                <w:color w:val="auto"/>
                <w:sz w:val="24"/>
                <w:szCs w:val="24"/>
                <w:highlight w:val="none"/>
                <w:shd w:val="clear" w:color="auto" w:fill="auto"/>
                <w:vertAlign w:val="baseline"/>
                <w:lang w:val="en-US" w:eastAsia="zh-CN"/>
              </w:rPr>
            </w:pPr>
          </w:p>
        </w:tc>
        <w:tc>
          <w:tcPr>
            <w:tcW w:w="4305" w:type="dxa"/>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kinsoku/>
              <w:wordWrap/>
              <w:overflowPunct/>
              <w:topLinePunct w:val="0"/>
              <w:autoSpaceDE/>
              <w:autoSpaceDN/>
              <w:bidi w:val="0"/>
              <w:adjustRightInd/>
              <w:snapToGrid/>
              <w:spacing w:line="360" w:lineRule="auto"/>
              <w:ind w:right="0" w:rightChars="0"/>
              <w:jc w:val="center"/>
              <w:outlineLvl w:val="9"/>
              <w:rPr>
                <w:rFonts w:hint="eastAsia" w:ascii="宋体" w:hAnsi="宋体" w:cs="宋体"/>
                <w:color w:val="auto"/>
                <w:sz w:val="24"/>
                <w:szCs w:val="24"/>
                <w:highlight w:val="none"/>
                <w:shd w:val="clear" w:color="auto" w:fill="auto"/>
                <w:vertAlign w:val="baseline"/>
                <w:lang w:val="en-US" w:eastAsia="zh-CN"/>
              </w:rPr>
            </w:pPr>
            <w:r>
              <w:rPr>
                <w:rFonts w:hint="eastAsia" w:ascii="宋体" w:hAnsi="宋体" w:cs="宋体"/>
                <w:color w:val="auto"/>
                <w:sz w:val="24"/>
                <w:szCs w:val="24"/>
                <w:highlight w:val="none"/>
                <w:shd w:val="clear" w:color="auto" w:fill="auto"/>
                <w:vertAlign w:val="baseline"/>
                <w:lang w:val="en-US" w:eastAsia="zh-CN"/>
              </w:rPr>
              <w:t>公共管理、社会保障和社会组织就业</w:t>
            </w:r>
          </w:p>
        </w:tc>
        <w:tc>
          <w:tcPr>
            <w:tcW w:w="1223" w:type="dxa"/>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kinsoku/>
              <w:wordWrap/>
              <w:overflowPunct/>
              <w:topLinePunct w:val="0"/>
              <w:autoSpaceDE/>
              <w:autoSpaceDN/>
              <w:bidi w:val="0"/>
              <w:adjustRightInd/>
              <w:snapToGrid/>
              <w:spacing w:line="360" w:lineRule="auto"/>
              <w:ind w:right="0" w:rightChars="0"/>
              <w:jc w:val="center"/>
              <w:outlineLvl w:val="9"/>
              <w:rPr>
                <w:rFonts w:hint="default" w:ascii="宋体" w:hAnsi="宋体" w:cs="宋体"/>
                <w:color w:val="auto"/>
                <w:sz w:val="24"/>
                <w:szCs w:val="24"/>
                <w:highlight w:val="none"/>
                <w:shd w:val="clear" w:color="auto" w:fill="auto"/>
                <w:vertAlign w:val="baseline"/>
                <w:lang w:val="en-US" w:eastAsia="zh-CN"/>
              </w:rPr>
            </w:pPr>
            <w:r>
              <w:rPr>
                <w:rFonts w:hint="eastAsia" w:ascii="宋体" w:hAnsi="宋体" w:cs="宋体"/>
                <w:color w:val="auto"/>
                <w:sz w:val="24"/>
                <w:szCs w:val="24"/>
                <w:highlight w:val="none"/>
                <w:shd w:val="clear" w:color="auto" w:fill="auto"/>
                <w:vertAlign w:val="baseline"/>
                <w:lang w:val="en-US" w:eastAsia="zh-CN"/>
              </w:rPr>
              <w:t>3</w:t>
            </w:r>
          </w:p>
        </w:tc>
        <w:tc>
          <w:tcPr>
            <w:tcW w:w="1365" w:type="dxa"/>
            <w:vMerge w:val="continue"/>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kinsoku/>
              <w:wordWrap/>
              <w:overflowPunct/>
              <w:topLinePunct w:val="0"/>
              <w:autoSpaceDE/>
              <w:autoSpaceDN/>
              <w:bidi w:val="0"/>
              <w:adjustRightInd/>
              <w:snapToGrid/>
              <w:spacing w:line="360" w:lineRule="auto"/>
              <w:ind w:right="0" w:rightChars="0"/>
              <w:jc w:val="center"/>
              <w:outlineLvl w:val="9"/>
              <w:rPr>
                <w:rFonts w:hint="eastAsia" w:ascii="宋体" w:hAnsi="宋体" w:cs="宋体"/>
                <w:color w:val="auto"/>
                <w:sz w:val="24"/>
                <w:szCs w:val="24"/>
                <w:highlight w:val="none"/>
                <w:shd w:val="clear" w:color="auto" w:fill="auto"/>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kinsoku/>
              <w:wordWrap/>
              <w:overflowPunct/>
              <w:topLinePunct w:val="0"/>
              <w:autoSpaceDE/>
              <w:autoSpaceDN/>
              <w:bidi w:val="0"/>
              <w:adjustRightInd/>
              <w:snapToGrid/>
              <w:spacing w:line="360" w:lineRule="auto"/>
              <w:ind w:right="0" w:rightChars="0"/>
              <w:jc w:val="center"/>
              <w:outlineLvl w:val="9"/>
              <w:rPr>
                <w:rFonts w:hint="eastAsia" w:ascii="宋体" w:hAnsi="宋体" w:cs="宋体"/>
                <w:color w:val="auto"/>
                <w:sz w:val="24"/>
                <w:szCs w:val="24"/>
                <w:highlight w:val="none"/>
                <w:shd w:val="clear" w:color="auto" w:fill="auto"/>
                <w:vertAlign w:val="baseline"/>
                <w:lang w:val="en-US" w:eastAsia="zh-CN"/>
              </w:rPr>
            </w:pPr>
          </w:p>
        </w:tc>
        <w:tc>
          <w:tcPr>
            <w:tcW w:w="4305" w:type="dxa"/>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kinsoku/>
              <w:wordWrap/>
              <w:overflowPunct/>
              <w:topLinePunct w:val="0"/>
              <w:autoSpaceDE/>
              <w:autoSpaceDN/>
              <w:bidi w:val="0"/>
              <w:adjustRightInd/>
              <w:snapToGrid/>
              <w:spacing w:line="360" w:lineRule="auto"/>
              <w:ind w:right="0" w:rightChars="0"/>
              <w:jc w:val="center"/>
              <w:outlineLvl w:val="9"/>
              <w:rPr>
                <w:rFonts w:hint="eastAsia" w:ascii="宋体" w:hAnsi="宋体" w:cs="宋体"/>
                <w:color w:val="auto"/>
                <w:sz w:val="24"/>
                <w:szCs w:val="24"/>
                <w:highlight w:val="none"/>
                <w:shd w:val="clear" w:color="auto" w:fill="auto"/>
                <w:vertAlign w:val="baseline"/>
                <w:lang w:val="en-US" w:eastAsia="zh-CN"/>
              </w:rPr>
            </w:pPr>
            <w:r>
              <w:rPr>
                <w:rFonts w:hint="eastAsia" w:ascii="宋体" w:hAnsi="宋体" w:cs="宋体"/>
                <w:color w:val="auto"/>
                <w:sz w:val="24"/>
                <w:szCs w:val="24"/>
                <w:highlight w:val="none"/>
                <w:shd w:val="clear" w:color="auto" w:fill="auto"/>
                <w:vertAlign w:val="baseline"/>
                <w:lang w:val="en-US" w:eastAsia="zh-CN"/>
              </w:rPr>
              <w:t>金融业就业</w:t>
            </w:r>
          </w:p>
        </w:tc>
        <w:tc>
          <w:tcPr>
            <w:tcW w:w="1223" w:type="dxa"/>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kinsoku/>
              <w:wordWrap/>
              <w:overflowPunct/>
              <w:topLinePunct w:val="0"/>
              <w:autoSpaceDE/>
              <w:autoSpaceDN/>
              <w:bidi w:val="0"/>
              <w:adjustRightInd/>
              <w:snapToGrid/>
              <w:spacing w:line="360" w:lineRule="auto"/>
              <w:ind w:right="0" w:rightChars="0"/>
              <w:jc w:val="center"/>
              <w:outlineLvl w:val="9"/>
              <w:rPr>
                <w:rFonts w:hint="default" w:ascii="宋体" w:hAnsi="宋体" w:cs="宋体"/>
                <w:color w:val="auto"/>
                <w:sz w:val="24"/>
                <w:szCs w:val="24"/>
                <w:highlight w:val="none"/>
                <w:shd w:val="clear" w:color="auto" w:fill="auto"/>
                <w:vertAlign w:val="baseline"/>
                <w:lang w:val="en-US" w:eastAsia="zh-CN"/>
              </w:rPr>
            </w:pPr>
            <w:r>
              <w:rPr>
                <w:rFonts w:hint="eastAsia" w:ascii="宋体" w:hAnsi="宋体" w:cs="宋体"/>
                <w:color w:val="auto"/>
                <w:sz w:val="24"/>
                <w:szCs w:val="24"/>
                <w:highlight w:val="none"/>
                <w:shd w:val="clear" w:color="auto" w:fill="auto"/>
                <w:vertAlign w:val="baseline"/>
                <w:lang w:val="en-US" w:eastAsia="zh-CN"/>
              </w:rPr>
              <w:t>4</w:t>
            </w:r>
          </w:p>
        </w:tc>
        <w:tc>
          <w:tcPr>
            <w:tcW w:w="1365" w:type="dxa"/>
            <w:vMerge w:val="continue"/>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kinsoku/>
              <w:wordWrap/>
              <w:overflowPunct/>
              <w:topLinePunct w:val="0"/>
              <w:autoSpaceDE/>
              <w:autoSpaceDN/>
              <w:bidi w:val="0"/>
              <w:adjustRightInd/>
              <w:snapToGrid/>
              <w:spacing w:line="360" w:lineRule="auto"/>
              <w:ind w:right="0" w:rightChars="0"/>
              <w:jc w:val="center"/>
              <w:outlineLvl w:val="9"/>
              <w:rPr>
                <w:rFonts w:hint="eastAsia" w:ascii="宋体" w:hAnsi="宋体" w:cs="宋体"/>
                <w:color w:val="auto"/>
                <w:sz w:val="24"/>
                <w:szCs w:val="24"/>
                <w:highlight w:val="none"/>
                <w:shd w:val="clear" w:color="auto" w:fill="auto"/>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kinsoku/>
              <w:wordWrap/>
              <w:overflowPunct/>
              <w:topLinePunct w:val="0"/>
              <w:autoSpaceDE/>
              <w:autoSpaceDN/>
              <w:bidi w:val="0"/>
              <w:adjustRightInd/>
              <w:snapToGrid/>
              <w:spacing w:line="360" w:lineRule="auto"/>
              <w:ind w:right="0" w:rightChars="0"/>
              <w:jc w:val="center"/>
              <w:outlineLvl w:val="9"/>
              <w:rPr>
                <w:rFonts w:hint="eastAsia" w:ascii="宋体" w:hAnsi="宋体" w:cs="宋体"/>
                <w:color w:val="auto"/>
                <w:sz w:val="24"/>
                <w:szCs w:val="24"/>
                <w:highlight w:val="none"/>
                <w:shd w:val="clear" w:color="auto" w:fill="auto"/>
                <w:vertAlign w:val="baseline"/>
                <w:lang w:val="en-US" w:eastAsia="zh-CN"/>
              </w:rPr>
            </w:pPr>
          </w:p>
        </w:tc>
        <w:tc>
          <w:tcPr>
            <w:tcW w:w="4305" w:type="dxa"/>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kinsoku/>
              <w:wordWrap/>
              <w:overflowPunct/>
              <w:topLinePunct w:val="0"/>
              <w:autoSpaceDE/>
              <w:autoSpaceDN/>
              <w:bidi w:val="0"/>
              <w:adjustRightInd/>
              <w:snapToGrid/>
              <w:spacing w:line="360" w:lineRule="auto"/>
              <w:ind w:right="0" w:rightChars="0"/>
              <w:jc w:val="center"/>
              <w:outlineLvl w:val="9"/>
              <w:rPr>
                <w:rFonts w:hint="eastAsia" w:ascii="宋体" w:hAnsi="宋体" w:cs="宋体"/>
                <w:color w:val="auto"/>
                <w:sz w:val="24"/>
                <w:szCs w:val="24"/>
                <w:highlight w:val="none"/>
                <w:shd w:val="clear" w:color="auto" w:fill="auto"/>
                <w:vertAlign w:val="baseline"/>
                <w:lang w:val="en-US" w:eastAsia="zh-CN"/>
              </w:rPr>
            </w:pPr>
            <w:r>
              <w:rPr>
                <w:rFonts w:hint="eastAsia" w:ascii="宋体" w:hAnsi="宋体" w:cs="宋体"/>
                <w:color w:val="auto"/>
                <w:sz w:val="24"/>
                <w:szCs w:val="24"/>
                <w:highlight w:val="none"/>
                <w:shd w:val="clear" w:color="auto" w:fill="auto"/>
                <w:vertAlign w:val="baseline"/>
                <w:lang w:val="en-US" w:eastAsia="zh-CN"/>
              </w:rPr>
              <w:t>采矿业</w:t>
            </w:r>
          </w:p>
        </w:tc>
        <w:tc>
          <w:tcPr>
            <w:tcW w:w="1223" w:type="dxa"/>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kinsoku/>
              <w:wordWrap/>
              <w:overflowPunct/>
              <w:topLinePunct w:val="0"/>
              <w:autoSpaceDE/>
              <w:autoSpaceDN/>
              <w:bidi w:val="0"/>
              <w:adjustRightInd/>
              <w:snapToGrid/>
              <w:spacing w:line="360" w:lineRule="auto"/>
              <w:ind w:right="0" w:rightChars="0"/>
              <w:jc w:val="center"/>
              <w:outlineLvl w:val="9"/>
              <w:rPr>
                <w:rFonts w:hint="default" w:ascii="宋体" w:hAnsi="宋体" w:cs="宋体"/>
                <w:color w:val="auto"/>
                <w:sz w:val="24"/>
                <w:szCs w:val="24"/>
                <w:highlight w:val="none"/>
                <w:shd w:val="clear" w:color="auto" w:fill="auto"/>
                <w:vertAlign w:val="baseline"/>
                <w:lang w:val="en-US" w:eastAsia="zh-CN"/>
              </w:rPr>
            </w:pPr>
            <w:r>
              <w:rPr>
                <w:rFonts w:hint="eastAsia" w:ascii="宋体" w:hAnsi="宋体" w:cs="宋体"/>
                <w:color w:val="auto"/>
                <w:sz w:val="24"/>
                <w:szCs w:val="24"/>
                <w:highlight w:val="none"/>
                <w:shd w:val="clear" w:color="auto" w:fill="auto"/>
                <w:vertAlign w:val="baseline"/>
                <w:lang w:val="en-US" w:eastAsia="zh-CN"/>
              </w:rPr>
              <w:t>0</w:t>
            </w:r>
          </w:p>
        </w:tc>
        <w:tc>
          <w:tcPr>
            <w:tcW w:w="1365" w:type="dxa"/>
            <w:vMerge w:val="continue"/>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kinsoku/>
              <w:wordWrap/>
              <w:overflowPunct/>
              <w:topLinePunct w:val="0"/>
              <w:autoSpaceDE/>
              <w:autoSpaceDN/>
              <w:bidi w:val="0"/>
              <w:adjustRightInd/>
              <w:snapToGrid/>
              <w:spacing w:line="360" w:lineRule="auto"/>
              <w:ind w:right="0" w:rightChars="0"/>
              <w:jc w:val="center"/>
              <w:outlineLvl w:val="9"/>
              <w:rPr>
                <w:rFonts w:hint="eastAsia" w:ascii="宋体" w:hAnsi="宋体" w:cs="宋体"/>
                <w:color w:val="auto"/>
                <w:sz w:val="24"/>
                <w:szCs w:val="24"/>
                <w:highlight w:val="none"/>
                <w:shd w:val="clear" w:color="auto" w:fill="auto"/>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kinsoku/>
              <w:wordWrap/>
              <w:overflowPunct/>
              <w:topLinePunct w:val="0"/>
              <w:autoSpaceDE/>
              <w:autoSpaceDN/>
              <w:bidi w:val="0"/>
              <w:adjustRightInd/>
              <w:snapToGrid/>
              <w:spacing w:line="360" w:lineRule="auto"/>
              <w:ind w:right="0" w:rightChars="0"/>
              <w:jc w:val="center"/>
              <w:outlineLvl w:val="9"/>
              <w:rPr>
                <w:rFonts w:hint="eastAsia" w:ascii="宋体" w:hAnsi="宋体" w:cs="宋体"/>
                <w:color w:val="auto"/>
                <w:sz w:val="24"/>
                <w:szCs w:val="24"/>
                <w:highlight w:val="none"/>
                <w:shd w:val="clear" w:color="auto" w:fill="auto"/>
                <w:vertAlign w:val="baseline"/>
                <w:lang w:val="en-US" w:eastAsia="zh-CN"/>
              </w:rPr>
            </w:pPr>
          </w:p>
        </w:tc>
        <w:tc>
          <w:tcPr>
            <w:tcW w:w="4305" w:type="dxa"/>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kinsoku/>
              <w:wordWrap/>
              <w:overflowPunct/>
              <w:topLinePunct w:val="0"/>
              <w:autoSpaceDE/>
              <w:autoSpaceDN/>
              <w:bidi w:val="0"/>
              <w:adjustRightInd/>
              <w:snapToGrid/>
              <w:spacing w:line="360" w:lineRule="auto"/>
              <w:ind w:right="0" w:rightChars="0"/>
              <w:jc w:val="center"/>
              <w:outlineLvl w:val="9"/>
              <w:rPr>
                <w:rFonts w:hint="eastAsia" w:ascii="宋体" w:hAnsi="宋体" w:cs="宋体"/>
                <w:color w:val="auto"/>
                <w:sz w:val="24"/>
                <w:szCs w:val="24"/>
                <w:highlight w:val="none"/>
                <w:shd w:val="clear" w:color="auto" w:fill="auto"/>
                <w:vertAlign w:val="baseline"/>
                <w:lang w:val="en-US" w:eastAsia="zh-CN"/>
              </w:rPr>
            </w:pPr>
            <w:r>
              <w:rPr>
                <w:rFonts w:hint="eastAsia" w:ascii="宋体" w:hAnsi="宋体" w:cs="宋体"/>
                <w:color w:val="auto"/>
                <w:sz w:val="24"/>
                <w:szCs w:val="24"/>
                <w:highlight w:val="none"/>
                <w:shd w:val="clear" w:color="auto" w:fill="auto"/>
                <w:vertAlign w:val="baseline"/>
                <w:lang w:val="en-US" w:eastAsia="zh-CN"/>
              </w:rPr>
              <w:t>农、林、牧、渔业就业</w:t>
            </w:r>
          </w:p>
        </w:tc>
        <w:tc>
          <w:tcPr>
            <w:tcW w:w="1223" w:type="dxa"/>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kinsoku/>
              <w:wordWrap/>
              <w:overflowPunct/>
              <w:topLinePunct w:val="0"/>
              <w:autoSpaceDE/>
              <w:autoSpaceDN/>
              <w:bidi w:val="0"/>
              <w:adjustRightInd/>
              <w:snapToGrid/>
              <w:spacing w:line="360" w:lineRule="auto"/>
              <w:ind w:right="0" w:rightChars="0"/>
              <w:jc w:val="center"/>
              <w:outlineLvl w:val="9"/>
              <w:rPr>
                <w:rFonts w:hint="eastAsia" w:ascii="宋体" w:hAnsi="宋体" w:cs="宋体"/>
                <w:color w:val="auto"/>
                <w:sz w:val="24"/>
                <w:szCs w:val="24"/>
                <w:highlight w:val="none"/>
                <w:shd w:val="clear" w:color="auto" w:fill="auto"/>
                <w:vertAlign w:val="baseline"/>
                <w:lang w:val="en-US" w:eastAsia="zh-CN"/>
              </w:rPr>
            </w:pPr>
            <w:r>
              <w:rPr>
                <w:rFonts w:hint="eastAsia" w:ascii="宋体" w:hAnsi="宋体" w:cs="宋体"/>
                <w:color w:val="auto"/>
                <w:sz w:val="24"/>
                <w:szCs w:val="24"/>
                <w:highlight w:val="none"/>
                <w:shd w:val="clear" w:color="auto" w:fill="auto"/>
                <w:vertAlign w:val="baseline"/>
                <w:lang w:val="en-US" w:eastAsia="zh-CN"/>
              </w:rPr>
              <w:t>4</w:t>
            </w:r>
          </w:p>
        </w:tc>
        <w:tc>
          <w:tcPr>
            <w:tcW w:w="1365" w:type="dxa"/>
            <w:vMerge w:val="continue"/>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kinsoku/>
              <w:wordWrap/>
              <w:overflowPunct/>
              <w:topLinePunct w:val="0"/>
              <w:autoSpaceDE/>
              <w:autoSpaceDN/>
              <w:bidi w:val="0"/>
              <w:adjustRightInd/>
              <w:snapToGrid/>
              <w:spacing w:line="360" w:lineRule="auto"/>
              <w:ind w:right="0" w:rightChars="0"/>
              <w:jc w:val="center"/>
              <w:outlineLvl w:val="9"/>
              <w:rPr>
                <w:rFonts w:hint="eastAsia" w:ascii="宋体" w:hAnsi="宋体" w:cs="宋体"/>
                <w:color w:val="auto"/>
                <w:sz w:val="24"/>
                <w:szCs w:val="24"/>
                <w:highlight w:val="none"/>
                <w:shd w:val="clear" w:color="auto" w:fill="auto"/>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704" w:type="dxa"/>
            <w:vMerge w:val="continue"/>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kinsoku/>
              <w:wordWrap/>
              <w:overflowPunct/>
              <w:topLinePunct w:val="0"/>
              <w:autoSpaceDE/>
              <w:autoSpaceDN/>
              <w:bidi w:val="0"/>
              <w:adjustRightInd/>
              <w:snapToGrid/>
              <w:spacing w:line="360" w:lineRule="auto"/>
              <w:ind w:right="0" w:rightChars="0"/>
              <w:jc w:val="center"/>
              <w:outlineLvl w:val="9"/>
              <w:rPr>
                <w:rFonts w:hint="eastAsia" w:ascii="宋体" w:hAnsi="宋体" w:cs="宋体"/>
                <w:color w:val="auto"/>
                <w:sz w:val="24"/>
                <w:szCs w:val="24"/>
                <w:highlight w:val="none"/>
                <w:shd w:val="clear" w:color="auto" w:fill="auto"/>
                <w:vertAlign w:val="baseline"/>
                <w:lang w:val="en-US" w:eastAsia="zh-CN"/>
              </w:rPr>
            </w:pPr>
          </w:p>
        </w:tc>
        <w:tc>
          <w:tcPr>
            <w:tcW w:w="4305" w:type="dxa"/>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kinsoku/>
              <w:wordWrap/>
              <w:overflowPunct/>
              <w:topLinePunct w:val="0"/>
              <w:autoSpaceDE/>
              <w:autoSpaceDN/>
              <w:bidi w:val="0"/>
              <w:adjustRightInd/>
              <w:snapToGrid/>
              <w:spacing w:line="360" w:lineRule="auto"/>
              <w:ind w:right="0" w:rightChars="0"/>
              <w:jc w:val="center"/>
              <w:outlineLvl w:val="9"/>
              <w:rPr>
                <w:rFonts w:hint="eastAsia" w:ascii="宋体" w:hAnsi="宋体" w:cs="宋体"/>
                <w:color w:val="auto"/>
                <w:sz w:val="24"/>
                <w:szCs w:val="24"/>
                <w:highlight w:val="none"/>
                <w:shd w:val="clear" w:color="auto" w:fill="auto"/>
                <w:vertAlign w:val="baseline"/>
                <w:lang w:val="en-US" w:eastAsia="zh-CN"/>
              </w:rPr>
            </w:pPr>
            <w:r>
              <w:rPr>
                <w:rFonts w:hint="eastAsia" w:ascii="宋体" w:hAnsi="宋体" w:cs="宋体"/>
                <w:color w:val="auto"/>
                <w:sz w:val="24"/>
                <w:szCs w:val="24"/>
                <w:highlight w:val="none"/>
                <w:shd w:val="clear" w:color="auto" w:fill="auto"/>
                <w:vertAlign w:val="baseline"/>
                <w:lang w:val="en-US" w:eastAsia="zh-CN"/>
              </w:rPr>
              <w:t>批发和零售业就业</w:t>
            </w:r>
          </w:p>
        </w:tc>
        <w:tc>
          <w:tcPr>
            <w:tcW w:w="1223" w:type="dxa"/>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kinsoku/>
              <w:wordWrap/>
              <w:overflowPunct/>
              <w:topLinePunct w:val="0"/>
              <w:autoSpaceDE/>
              <w:autoSpaceDN/>
              <w:bidi w:val="0"/>
              <w:adjustRightInd/>
              <w:snapToGrid/>
              <w:spacing w:line="360" w:lineRule="auto"/>
              <w:ind w:right="0" w:rightChars="0"/>
              <w:jc w:val="center"/>
              <w:outlineLvl w:val="9"/>
              <w:rPr>
                <w:rFonts w:hint="default" w:ascii="宋体" w:hAnsi="宋体" w:cs="宋体"/>
                <w:color w:val="auto"/>
                <w:sz w:val="24"/>
                <w:szCs w:val="24"/>
                <w:highlight w:val="none"/>
                <w:shd w:val="clear" w:color="auto" w:fill="auto"/>
                <w:vertAlign w:val="baseline"/>
                <w:lang w:val="en-US" w:eastAsia="zh-CN"/>
              </w:rPr>
            </w:pPr>
            <w:r>
              <w:rPr>
                <w:rFonts w:hint="eastAsia" w:ascii="宋体" w:hAnsi="宋体" w:cs="宋体"/>
                <w:color w:val="auto"/>
                <w:sz w:val="24"/>
                <w:szCs w:val="24"/>
                <w:highlight w:val="none"/>
                <w:shd w:val="clear" w:color="auto" w:fill="auto"/>
                <w:vertAlign w:val="baseline"/>
                <w:lang w:val="en-US" w:eastAsia="zh-CN"/>
              </w:rPr>
              <w:t>23</w:t>
            </w:r>
          </w:p>
        </w:tc>
        <w:tc>
          <w:tcPr>
            <w:tcW w:w="1365" w:type="dxa"/>
            <w:vMerge w:val="continue"/>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kinsoku/>
              <w:wordWrap/>
              <w:overflowPunct/>
              <w:topLinePunct w:val="0"/>
              <w:autoSpaceDE/>
              <w:autoSpaceDN/>
              <w:bidi w:val="0"/>
              <w:adjustRightInd/>
              <w:snapToGrid/>
              <w:spacing w:line="360" w:lineRule="auto"/>
              <w:ind w:right="0" w:rightChars="0"/>
              <w:jc w:val="center"/>
              <w:outlineLvl w:val="9"/>
              <w:rPr>
                <w:rFonts w:hint="eastAsia" w:ascii="宋体" w:hAnsi="宋体" w:cs="宋体"/>
                <w:color w:val="auto"/>
                <w:sz w:val="24"/>
                <w:szCs w:val="24"/>
                <w:highlight w:val="none"/>
                <w:shd w:val="clear" w:color="auto" w:fill="auto"/>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kinsoku/>
              <w:wordWrap/>
              <w:overflowPunct/>
              <w:topLinePunct w:val="0"/>
              <w:autoSpaceDE/>
              <w:autoSpaceDN/>
              <w:bidi w:val="0"/>
              <w:adjustRightInd/>
              <w:snapToGrid/>
              <w:spacing w:line="360" w:lineRule="auto"/>
              <w:ind w:right="0" w:rightChars="0"/>
              <w:jc w:val="center"/>
              <w:outlineLvl w:val="9"/>
              <w:rPr>
                <w:rFonts w:hint="eastAsia" w:ascii="宋体" w:hAnsi="宋体" w:cs="宋体"/>
                <w:color w:val="auto"/>
                <w:sz w:val="24"/>
                <w:szCs w:val="24"/>
                <w:highlight w:val="none"/>
                <w:shd w:val="clear" w:color="auto" w:fill="auto"/>
                <w:vertAlign w:val="baseline"/>
                <w:lang w:val="en-US" w:eastAsia="zh-CN"/>
              </w:rPr>
            </w:pPr>
          </w:p>
        </w:tc>
        <w:tc>
          <w:tcPr>
            <w:tcW w:w="4305" w:type="dxa"/>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kinsoku/>
              <w:wordWrap/>
              <w:overflowPunct/>
              <w:topLinePunct w:val="0"/>
              <w:autoSpaceDE/>
              <w:autoSpaceDN/>
              <w:bidi w:val="0"/>
              <w:adjustRightInd/>
              <w:snapToGrid/>
              <w:spacing w:line="360" w:lineRule="auto"/>
              <w:ind w:right="0" w:rightChars="0"/>
              <w:jc w:val="center"/>
              <w:outlineLvl w:val="9"/>
              <w:rPr>
                <w:rFonts w:hint="eastAsia" w:ascii="宋体" w:hAnsi="宋体" w:cs="宋体"/>
                <w:color w:val="auto"/>
                <w:sz w:val="24"/>
                <w:szCs w:val="24"/>
                <w:highlight w:val="none"/>
                <w:shd w:val="clear" w:color="auto" w:fill="auto"/>
                <w:vertAlign w:val="baseline"/>
                <w:lang w:val="en-US" w:eastAsia="zh-CN"/>
              </w:rPr>
            </w:pPr>
            <w:r>
              <w:rPr>
                <w:rFonts w:hint="eastAsia" w:ascii="宋体" w:hAnsi="宋体" w:cs="宋体"/>
                <w:color w:val="auto"/>
                <w:sz w:val="24"/>
                <w:szCs w:val="24"/>
                <w:highlight w:val="none"/>
                <w:shd w:val="clear" w:color="auto" w:fill="auto"/>
                <w:vertAlign w:val="baseline"/>
                <w:lang w:val="en-US" w:eastAsia="zh-CN"/>
              </w:rPr>
              <w:t>文化、体育和娱乐业就业</w:t>
            </w:r>
          </w:p>
        </w:tc>
        <w:tc>
          <w:tcPr>
            <w:tcW w:w="1223" w:type="dxa"/>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kinsoku/>
              <w:wordWrap/>
              <w:overflowPunct/>
              <w:topLinePunct w:val="0"/>
              <w:autoSpaceDE/>
              <w:autoSpaceDN/>
              <w:bidi w:val="0"/>
              <w:adjustRightInd/>
              <w:snapToGrid/>
              <w:spacing w:line="360" w:lineRule="auto"/>
              <w:ind w:right="0" w:rightChars="0"/>
              <w:jc w:val="center"/>
              <w:outlineLvl w:val="9"/>
              <w:rPr>
                <w:rFonts w:hint="default" w:ascii="宋体" w:hAnsi="宋体" w:cs="宋体"/>
                <w:color w:val="auto"/>
                <w:sz w:val="24"/>
                <w:szCs w:val="24"/>
                <w:highlight w:val="none"/>
                <w:shd w:val="clear" w:color="auto" w:fill="auto"/>
                <w:vertAlign w:val="baseline"/>
                <w:lang w:val="en-US" w:eastAsia="zh-CN"/>
              </w:rPr>
            </w:pPr>
            <w:r>
              <w:rPr>
                <w:rFonts w:hint="eastAsia" w:ascii="宋体" w:hAnsi="宋体" w:cs="宋体"/>
                <w:color w:val="auto"/>
                <w:sz w:val="24"/>
                <w:szCs w:val="24"/>
                <w:highlight w:val="none"/>
                <w:shd w:val="clear" w:color="auto" w:fill="auto"/>
                <w:vertAlign w:val="baseline"/>
                <w:lang w:val="en-US" w:eastAsia="zh-CN"/>
              </w:rPr>
              <w:t>5</w:t>
            </w:r>
          </w:p>
        </w:tc>
        <w:tc>
          <w:tcPr>
            <w:tcW w:w="1365" w:type="dxa"/>
            <w:vMerge w:val="continue"/>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kinsoku/>
              <w:wordWrap/>
              <w:overflowPunct/>
              <w:topLinePunct w:val="0"/>
              <w:autoSpaceDE/>
              <w:autoSpaceDN/>
              <w:bidi w:val="0"/>
              <w:adjustRightInd/>
              <w:snapToGrid/>
              <w:spacing w:line="360" w:lineRule="auto"/>
              <w:ind w:right="0" w:rightChars="0"/>
              <w:jc w:val="center"/>
              <w:outlineLvl w:val="9"/>
              <w:rPr>
                <w:rFonts w:hint="eastAsia" w:ascii="宋体" w:hAnsi="宋体" w:cs="宋体"/>
                <w:color w:val="auto"/>
                <w:sz w:val="24"/>
                <w:szCs w:val="24"/>
                <w:highlight w:val="none"/>
                <w:shd w:val="clear" w:color="auto" w:fill="auto"/>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kinsoku/>
              <w:wordWrap/>
              <w:overflowPunct/>
              <w:topLinePunct w:val="0"/>
              <w:autoSpaceDE/>
              <w:autoSpaceDN/>
              <w:bidi w:val="0"/>
              <w:adjustRightInd/>
              <w:snapToGrid/>
              <w:spacing w:line="360" w:lineRule="auto"/>
              <w:ind w:right="0" w:rightChars="0"/>
              <w:jc w:val="center"/>
              <w:outlineLvl w:val="9"/>
              <w:rPr>
                <w:rFonts w:hint="eastAsia" w:ascii="宋体" w:hAnsi="宋体" w:cs="宋体"/>
                <w:color w:val="auto"/>
                <w:sz w:val="24"/>
                <w:szCs w:val="24"/>
                <w:highlight w:val="none"/>
                <w:shd w:val="clear" w:color="auto" w:fill="auto"/>
                <w:vertAlign w:val="baseline"/>
                <w:lang w:val="en-US" w:eastAsia="zh-CN"/>
              </w:rPr>
            </w:pPr>
          </w:p>
        </w:tc>
        <w:tc>
          <w:tcPr>
            <w:tcW w:w="4305" w:type="dxa"/>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kinsoku/>
              <w:wordWrap/>
              <w:overflowPunct/>
              <w:topLinePunct w:val="0"/>
              <w:autoSpaceDE/>
              <w:autoSpaceDN/>
              <w:bidi w:val="0"/>
              <w:adjustRightInd/>
              <w:snapToGrid/>
              <w:spacing w:line="360" w:lineRule="auto"/>
              <w:ind w:right="0" w:rightChars="0"/>
              <w:jc w:val="center"/>
              <w:outlineLvl w:val="9"/>
              <w:rPr>
                <w:rFonts w:hint="eastAsia" w:ascii="宋体" w:hAnsi="宋体" w:cs="宋体"/>
                <w:color w:val="auto"/>
                <w:sz w:val="24"/>
                <w:szCs w:val="24"/>
                <w:highlight w:val="none"/>
                <w:shd w:val="clear" w:color="auto" w:fill="auto"/>
                <w:vertAlign w:val="baseline"/>
                <w:lang w:val="en-US" w:eastAsia="zh-CN"/>
              </w:rPr>
            </w:pPr>
            <w:r>
              <w:rPr>
                <w:rFonts w:hint="eastAsia" w:ascii="宋体" w:hAnsi="宋体" w:cs="宋体"/>
                <w:color w:val="auto"/>
                <w:sz w:val="24"/>
                <w:szCs w:val="24"/>
                <w:highlight w:val="none"/>
                <w:shd w:val="clear" w:color="auto" w:fill="auto"/>
                <w:lang w:val="en-US" w:eastAsia="zh-CN"/>
              </w:rPr>
              <w:t>住宿和餐饮业就业</w:t>
            </w:r>
          </w:p>
        </w:tc>
        <w:tc>
          <w:tcPr>
            <w:tcW w:w="1223" w:type="dxa"/>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kinsoku/>
              <w:wordWrap/>
              <w:overflowPunct/>
              <w:topLinePunct w:val="0"/>
              <w:autoSpaceDE/>
              <w:autoSpaceDN/>
              <w:bidi w:val="0"/>
              <w:adjustRightInd/>
              <w:snapToGrid/>
              <w:spacing w:line="360" w:lineRule="auto"/>
              <w:ind w:right="0" w:rightChars="0"/>
              <w:jc w:val="center"/>
              <w:outlineLvl w:val="9"/>
              <w:rPr>
                <w:rFonts w:hint="eastAsia" w:ascii="宋体" w:hAnsi="宋体" w:cs="宋体"/>
                <w:color w:val="auto"/>
                <w:sz w:val="24"/>
                <w:szCs w:val="24"/>
                <w:highlight w:val="none"/>
                <w:shd w:val="clear" w:color="auto" w:fill="auto"/>
                <w:vertAlign w:val="baseline"/>
                <w:lang w:val="en-US" w:eastAsia="zh-CN"/>
              </w:rPr>
            </w:pPr>
            <w:r>
              <w:rPr>
                <w:rFonts w:hint="eastAsia" w:ascii="宋体" w:hAnsi="宋体" w:cs="宋体"/>
                <w:color w:val="auto"/>
                <w:sz w:val="24"/>
                <w:szCs w:val="24"/>
                <w:highlight w:val="none"/>
                <w:shd w:val="clear" w:color="auto" w:fill="auto"/>
                <w:vertAlign w:val="baseline"/>
                <w:lang w:val="en-US" w:eastAsia="zh-CN"/>
              </w:rPr>
              <w:t>3</w:t>
            </w:r>
          </w:p>
        </w:tc>
        <w:tc>
          <w:tcPr>
            <w:tcW w:w="1365" w:type="dxa"/>
            <w:vMerge w:val="continue"/>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kinsoku/>
              <w:wordWrap/>
              <w:overflowPunct/>
              <w:topLinePunct w:val="0"/>
              <w:autoSpaceDE/>
              <w:autoSpaceDN/>
              <w:bidi w:val="0"/>
              <w:adjustRightInd/>
              <w:snapToGrid/>
              <w:spacing w:line="360" w:lineRule="auto"/>
              <w:ind w:right="0" w:rightChars="0"/>
              <w:jc w:val="center"/>
              <w:outlineLvl w:val="9"/>
              <w:rPr>
                <w:rFonts w:hint="eastAsia" w:ascii="宋体" w:hAnsi="宋体" w:cs="宋体"/>
                <w:color w:val="auto"/>
                <w:sz w:val="24"/>
                <w:szCs w:val="24"/>
                <w:highlight w:val="none"/>
                <w:shd w:val="clear" w:color="auto" w:fill="auto"/>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kinsoku/>
              <w:wordWrap/>
              <w:overflowPunct/>
              <w:topLinePunct w:val="0"/>
              <w:autoSpaceDE/>
              <w:autoSpaceDN/>
              <w:bidi w:val="0"/>
              <w:adjustRightInd/>
              <w:snapToGrid/>
              <w:spacing w:line="360" w:lineRule="auto"/>
              <w:ind w:right="0" w:rightChars="0"/>
              <w:jc w:val="center"/>
              <w:outlineLvl w:val="9"/>
              <w:rPr>
                <w:rFonts w:hint="eastAsia" w:ascii="宋体" w:hAnsi="宋体" w:cs="宋体"/>
                <w:color w:val="auto"/>
                <w:sz w:val="24"/>
                <w:szCs w:val="24"/>
                <w:highlight w:val="none"/>
                <w:shd w:val="clear" w:color="auto" w:fill="auto"/>
                <w:vertAlign w:val="baseline"/>
                <w:lang w:val="en-US" w:eastAsia="zh-CN"/>
              </w:rPr>
            </w:pPr>
          </w:p>
        </w:tc>
        <w:tc>
          <w:tcPr>
            <w:tcW w:w="4305" w:type="dxa"/>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kinsoku/>
              <w:wordWrap/>
              <w:overflowPunct/>
              <w:topLinePunct w:val="0"/>
              <w:autoSpaceDE/>
              <w:autoSpaceDN/>
              <w:bidi w:val="0"/>
              <w:adjustRightInd/>
              <w:snapToGrid/>
              <w:spacing w:line="360" w:lineRule="auto"/>
              <w:ind w:right="0" w:rightChars="0"/>
              <w:jc w:val="center"/>
              <w:outlineLvl w:val="9"/>
              <w:rPr>
                <w:rFonts w:hint="eastAsia" w:ascii="宋体" w:hAnsi="宋体" w:cs="宋体"/>
                <w:color w:val="auto"/>
                <w:sz w:val="24"/>
                <w:szCs w:val="24"/>
                <w:highlight w:val="none"/>
                <w:shd w:val="clear" w:color="auto" w:fill="auto"/>
                <w:vertAlign w:val="baseline"/>
                <w:lang w:val="en-US" w:eastAsia="zh-CN"/>
              </w:rPr>
            </w:pPr>
            <w:r>
              <w:rPr>
                <w:rFonts w:hint="eastAsia" w:ascii="宋体" w:hAnsi="宋体" w:cs="宋体"/>
                <w:color w:val="auto"/>
                <w:sz w:val="24"/>
                <w:szCs w:val="24"/>
                <w:highlight w:val="none"/>
                <w:shd w:val="clear" w:color="auto" w:fill="auto"/>
                <w:vertAlign w:val="baseline"/>
                <w:lang w:val="en-US" w:eastAsia="zh-CN"/>
              </w:rPr>
              <w:t>租赁和商务服务业就业</w:t>
            </w:r>
          </w:p>
        </w:tc>
        <w:tc>
          <w:tcPr>
            <w:tcW w:w="1223" w:type="dxa"/>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kinsoku/>
              <w:wordWrap/>
              <w:overflowPunct/>
              <w:topLinePunct w:val="0"/>
              <w:autoSpaceDE/>
              <w:autoSpaceDN/>
              <w:bidi w:val="0"/>
              <w:adjustRightInd/>
              <w:snapToGrid/>
              <w:spacing w:line="360" w:lineRule="auto"/>
              <w:ind w:right="0" w:rightChars="0"/>
              <w:jc w:val="center"/>
              <w:outlineLvl w:val="9"/>
              <w:rPr>
                <w:rFonts w:hint="default" w:ascii="宋体" w:hAnsi="宋体" w:cs="宋体"/>
                <w:color w:val="auto"/>
                <w:sz w:val="24"/>
                <w:szCs w:val="24"/>
                <w:highlight w:val="none"/>
                <w:shd w:val="clear" w:color="auto" w:fill="auto"/>
                <w:vertAlign w:val="baseline"/>
                <w:lang w:val="en-US" w:eastAsia="zh-CN"/>
              </w:rPr>
            </w:pPr>
            <w:r>
              <w:rPr>
                <w:rFonts w:hint="eastAsia" w:ascii="宋体" w:hAnsi="宋体" w:cs="宋体"/>
                <w:color w:val="auto"/>
                <w:sz w:val="24"/>
                <w:szCs w:val="24"/>
                <w:highlight w:val="none"/>
                <w:shd w:val="clear" w:color="auto" w:fill="auto"/>
                <w:vertAlign w:val="baseline"/>
                <w:lang w:val="en-US" w:eastAsia="zh-CN"/>
              </w:rPr>
              <w:t>8</w:t>
            </w:r>
          </w:p>
        </w:tc>
        <w:tc>
          <w:tcPr>
            <w:tcW w:w="1365" w:type="dxa"/>
            <w:vMerge w:val="continue"/>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kinsoku/>
              <w:wordWrap/>
              <w:overflowPunct/>
              <w:topLinePunct w:val="0"/>
              <w:autoSpaceDE/>
              <w:autoSpaceDN/>
              <w:bidi w:val="0"/>
              <w:adjustRightInd/>
              <w:snapToGrid/>
              <w:spacing w:line="360" w:lineRule="auto"/>
              <w:ind w:right="0" w:rightChars="0"/>
              <w:jc w:val="center"/>
              <w:outlineLvl w:val="9"/>
              <w:rPr>
                <w:rFonts w:hint="eastAsia" w:ascii="宋体" w:hAnsi="宋体" w:cs="宋体"/>
                <w:color w:val="auto"/>
                <w:sz w:val="24"/>
                <w:szCs w:val="24"/>
                <w:highlight w:val="none"/>
                <w:shd w:val="clear" w:color="auto" w:fill="auto"/>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Merge w:val="continue"/>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kinsoku/>
              <w:wordWrap/>
              <w:overflowPunct/>
              <w:topLinePunct w:val="0"/>
              <w:autoSpaceDE/>
              <w:autoSpaceDN/>
              <w:bidi w:val="0"/>
              <w:adjustRightInd/>
              <w:snapToGrid/>
              <w:spacing w:line="360" w:lineRule="auto"/>
              <w:ind w:right="0" w:rightChars="0"/>
              <w:jc w:val="center"/>
              <w:outlineLvl w:val="9"/>
              <w:rPr>
                <w:rFonts w:hint="eastAsia" w:ascii="宋体" w:hAnsi="宋体" w:cs="宋体"/>
                <w:color w:val="auto"/>
                <w:sz w:val="24"/>
                <w:szCs w:val="24"/>
                <w:highlight w:val="none"/>
                <w:shd w:val="clear" w:color="auto" w:fill="auto"/>
                <w:vertAlign w:val="baseline"/>
                <w:lang w:val="en-US" w:eastAsia="zh-CN"/>
              </w:rPr>
            </w:pPr>
          </w:p>
        </w:tc>
        <w:tc>
          <w:tcPr>
            <w:tcW w:w="4305" w:type="dxa"/>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kinsoku/>
              <w:wordWrap/>
              <w:overflowPunct/>
              <w:topLinePunct w:val="0"/>
              <w:autoSpaceDE/>
              <w:autoSpaceDN/>
              <w:bidi w:val="0"/>
              <w:adjustRightInd/>
              <w:snapToGrid/>
              <w:spacing w:line="360" w:lineRule="auto"/>
              <w:ind w:right="0" w:rightChars="0"/>
              <w:jc w:val="center"/>
              <w:outlineLvl w:val="9"/>
              <w:rPr>
                <w:rFonts w:hint="eastAsia" w:ascii="宋体" w:hAnsi="宋体" w:cs="宋体"/>
                <w:color w:val="auto"/>
                <w:sz w:val="24"/>
                <w:szCs w:val="24"/>
                <w:highlight w:val="none"/>
                <w:shd w:val="clear" w:color="auto" w:fill="auto"/>
                <w:vertAlign w:val="baseline"/>
                <w:lang w:val="en-US" w:eastAsia="zh-CN"/>
              </w:rPr>
            </w:pPr>
            <w:r>
              <w:rPr>
                <w:rFonts w:hint="eastAsia" w:ascii="宋体" w:hAnsi="宋体" w:cs="宋体"/>
                <w:color w:val="auto"/>
                <w:sz w:val="24"/>
                <w:szCs w:val="24"/>
                <w:highlight w:val="none"/>
                <w:shd w:val="clear" w:color="auto" w:fill="auto"/>
                <w:vertAlign w:val="baseline"/>
                <w:lang w:val="en-US" w:eastAsia="zh-CN"/>
              </w:rPr>
              <w:t>合计</w:t>
            </w:r>
          </w:p>
        </w:tc>
        <w:tc>
          <w:tcPr>
            <w:tcW w:w="1223" w:type="dxa"/>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kinsoku/>
              <w:wordWrap/>
              <w:overflowPunct/>
              <w:topLinePunct w:val="0"/>
              <w:autoSpaceDE/>
              <w:autoSpaceDN/>
              <w:bidi w:val="0"/>
              <w:adjustRightInd/>
              <w:snapToGrid/>
              <w:spacing w:line="360" w:lineRule="auto"/>
              <w:ind w:right="0" w:rightChars="0"/>
              <w:jc w:val="center"/>
              <w:outlineLvl w:val="9"/>
              <w:rPr>
                <w:rFonts w:hint="default" w:ascii="宋体" w:hAnsi="宋体" w:cs="宋体"/>
                <w:color w:val="auto"/>
                <w:sz w:val="24"/>
                <w:szCs w:val="24"/>
                <w:highlight w:val="none"/>
                <w:shd w:val="clear" w:color="auto" w:fill="auto"/>
                <w:vertAlign w:val="baseline"/>
                <w:lang w:val="en-US" w:eastAsia="zh-CN"/>
              </w:rPr>
            </w:pPr>
            <w:r>
              <w:rPr>
                <w:rFonts w:hint="eastAsia" w:ascii="宋体" w:hAnsi="宋体" w:cs="宋体"/>
                <w:color w:val="auto"/>
                <w:sz w:val="24"/>
                <w:szCs w:val="24"/>
                <w:highlight w:val="none"/>
                <w:shd w:val="clear" w:color="auto" w:fill="auto"/>
                <w:vertAlign w:val="baseline"/>
                <w:lang w:val="en-US" w:eastAsia="zh-CN"/>
              </w:rPr>
              <w:t>438</w:t>
            </w:r>
          </w:p>
        </w:tc>
        <w:tc>
          <w:tcPr>
            <w:tcW w:w="1365" w:type="dxa"/>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kinsoku/>
              <w:wordWrap/>
              <w:overflowPunct/>
              <w:topLinePunct w:val="0"/>
              <w:autoSpaceDE/>
              <w:autoSpaceDN/>
              <w:bidi w:val="0"/>
              <w:adjustRightInd/>
              <w:snapToGrid/>
              <w:spacing w:line="360" w:lineRule="auto"/>
              <w:ind w:right="0" w:rightChars="0"/>
              <w:jc w:val="center"/>
              <w:outlineLvl w:val="9"/>
              <w:rPr>
                <w:rFonts w:hint="eastAsia" w:ascii="宋体" w:hAnsi="宋体" w:cs="宋体"/>
                <w:color w:val="auto"/>
                <w:sz w:val="24"/>
                <w:szCs w:val="24"/>
                <w:highlight w:val="none"/>
                <w:shd w:val="clear" w:color="auto" w:fill="auto"/>
                <w:vertAlign w:val="baseline"/>
                <w:lang w:val="en-US" w:eastAsia="zh-CN"/>
              </w:rPr>
            </w:pPr>
            <w:r>
              <w:rPr>
                <w:rFonts w:hint="eastAsia" w:ascii="宋体" w:hAnsi="宋体" w:cs="宋体"/>
                <w:color w:val="auto"/>
                <w:sz w:val="24"/>
                <w:szCs w:val="24"/>
                <w:highlight w:val="none"/>
                <w:shd w:val="clear" w:color="auto" w:fill="auto"/>
                <w:vertAlign w:val="baseline"/>
                <w:lang w:val="en-US" w:eastAsia="zh-CN"/>
              </w:rPr>
              <w:t>100%</w:t>
            </w:r>
          </w:p>
        </w:tc>
      </w:tr>
    </w:tbl>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firstLine="482" w:firstLineChars="200"/>
        <w:jc w:val="both"/>
        <w:textAlignment w:val="auto"/>
        <w:outlineLvl w:val="9"/>
        <w:rPr>
          <w:rFonts w:hint="eastAsia" w:ascii="宋体" w:hAnsi="宋体" w:eastAsia="宋体" w:cs="宋体"/>
          <w:b/>
          <w:bCs w:val="0"/>
          <w:color w:val="auto"/>
          <w:sz w:val="24"/>
          <w:szCs w:val="24"/>
          <w:lang w:val="en-US" w:eastAsia="zh-CN"/>
        </w:rPr>
      </w:pPr>
      <w:r>
        <w:rPr>
          <w:rFonts w:hint="eastAsia" w:ascii="宋体" w:hAnsi="宋体" w:eastAsia="宋体" w:cs="宋体"/>
          <w:b/>
          <w:bCs w:val="0"/>
          <w:color w:val="auto"/>
          <w:sz w:val="24"/>
          <w:szCs w:val="24"/>
          <w:lang w:val="en-US" w:eastAsia="zh-CN"/>
        </w:rPr>
        <w:t>第三部分：先进制造工程学院专业市场需求调查情况</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firstLine="480" w:firstLineChars="200"/>
        <w:jc w:val="both"/>
        <w:textAlignment w:val="auto"/>
        <w:outlineLvl w:val="9"/>
        <w:rPr>
          <w:rFonts w:hint="eastAsia" w:ascii="宋体" w:hAnsi="宋体" w:eastAsia="宋体" w:cs="宋体"/>
          <w:b w:val="0"/>
          <w:bCs/>
          <w:color w:val="auto"/>
          <w:sz w:val="24"/>
          <w:szCs w:val="24"/>
          <w:lang w:val="en-US" w:eastAsia="zh-CN"/>
        </w:rPr>
      </w:pPr>
      <w:r>
        <w:rPr>
          <w:rFonts w:hint="eastAsia" w:ascii="宋体" w:hAnsi="宋体" w:eastAsia="宋体" w:cs="宋体"/>
          <w:b w:val="0"/>
          <w:bCs/>
          <w:color w:val="auto"/>
          <w:sz w:val="24"/>
          <w:szCs w:val="24"/>
          <w:lang w:val="en-US" w:eastAsia="zh-CN"/>
        </w:rPr>
        <w:t>我院设有6个专业：</w:t>
      </w:r>
      <w:r>
        <w:rPr>
          <w:rFonts w:hint="eastAsia" w:ascii="宋体" w:hAnsi="宋体" w:cs="宋体"/>
          <w:color w:val="auto"/>
          <w:sz w:val="24"/>
          <w:szCs w:val="24"/>
          <w:lang w:val="en-US" w:eastAsia="zh-CN"/>
        </w:rPr>
        <w:t>电子信息工程、机械设计制造及其自动化、材料控制、机械电子工程、通信工程和自动化</w:t>
      </w:r>
      <w:r>
        <w:rPr>
          <w:rFonts w:hint="eastAsia" w:ascii="宋体" w:hAnsi="宋体" w:eastAsia="宋体" w:cs="宋体"/>
          <w:b w:val="0"/>
          <w:bCs/>
          <w:color w:val="auto"/>
          <w:sz w:val="24"/>
          <w:szCs w:val="24"/>
          <w:lang w:val="en-US" w:eastAsia="zh-CN"/>
        </w:rPr>
        <w:t>。根据对企业的走访调研和对前来举办招聘会企业需求岗位的分析，这6个专业都是当前市场需求量较大、就业前景较好、发展空间广阔的专业，突出特点是专业知识应用性强、能够较直接地转化为生产力、为现实生产服务。</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firstLine="480" w:firstLineChars="200"/>
        <w:jc w:val="both"/>
        <w:textAlignment w:val="auto"/>
        <w:outlineLvl w:val="9"/>
        <w:rPr>
          <w:rFonts w:hint="eastAsia" w:ascii="宋体" w:hAnsi="宋体" w:eastAsia="宋体" w:cs="宋体"/>
          <w:b w:val="0"/>
          <w:bCs/>
          <w:color w:val="auto"/>
          <w:sz w:val="24"/>
          <w:szCs w:val="24"/>
          <w:lang w:val="en-US" w:eastAsia="zh-CN"/>
        </w:rPr>
      </w:pPr>
      <w:r>
        <w:rPr>
          <w:rFonts w:hint="eastAsia" w:ascii="宋体" w:hAnsi="宋体" w:eastAsia="宋体" w:cs="宋体"/>
          <w:b w:val="0"/>
          <w:bCs/>
          <w:color w:val="auto"/>
          <w:sz w:val="24"/>
          <w:szCs w:val="24"/>
          <w:lang w:val="en-US" w:eastAsia="zh-CN"/>
        </w:rPr>
        <w:t>为了真实有效了解各专业的市场需求情况，现选取15家相关企业来分析岗位需求情况、招人用人情况、对毕业生的要求和对新进员工的培训等方面的特点，这15家企业分别是：</w:t>
      </w:r>
    </w:p>
    <w:p>
      <w:pPr>
        <w:keepNext w:val="0"/>
        <w:keepLines w:val="0"/>
        <w:pageBreakBefore w:val="0"/>
        <w:widowControl w:val="0"/>
        <w:numPr>
          <w:ilvl w:val="0"/>
          <w:numId w:val="2"/>
        </w:numPr>
        <w:kinsoku/>
        <w:wordWrap/>
        <w:overflowPunct/>
        <w:topLinePunct w:val="0"/>
        <w:autoSpaceDE/>
        <w:autoSpaceDN/>
        <w:bidi w:val="0"/>
        <w:adjustRightInd/>
        <w:snapToGrid/>
        <w:spacing w:line="360" w:lineRule="auto"/>
        <w:ind w:right="0" w:rightChars="0" w:firstLine="480" w:firstLineChars="200"/>
        <w:jc w:val="both"/>
        <w:textAlignment w:val="auto"/>
        <w:outlineLvl w:val="9"/>
        <w:rPr>
          <w:rFonts w:hint="eastAsia" w:ascii="宋体" w:hAnsi="宋体" w:eastAsia="宋体" w:cs="宋体"/>
          <w:b w:val="0"/>
          <w:bCs/>
          <w:color w:val="auto"/>
          <w:sz w:val="24"/>
          <w:szCs w:val="24"/>
          <w:lang w:val="en-US" w:eastAsia="zh-CN"/>
        </w:rPr>
      </w:pPr>
      <w:r>
        <w:rPr>
          <w:rFonts w:hint="eastAsia" w:ascii="宋体" w:hAnsi="宋体" w:eastAsia="宋体" w:cs="宋体"/>
          <w:b w:val="0"/>
          <w:bCs/>
          <w:color w:val="auto"/>
          <w:sz w:val="24"/>
          <w:szCs w:val="24"/>
          <w:lang w:val="en-US" w:eastAsia="zh-CN"/>
        </w:rPr>
        <w:t>大众汽车（安徽）有限公司，录取我院毕业生13人；（2）安徽东风机电科技股份有限公司，录取我院毕业生5人；（3）芜湖伯特利汽车安全系统股份有限公司，录取我院毕业生14人；（4）联宝（合肥）电子科技有限公司，录取我院毕业生5人；（5）大陆马牌轮胎（中国）有限公司，录取我院毕业生3人；（6）合肥美的电冰箱有限公司，录取我院毕业生4人；（7）中国电子系统工程第四建设有限公司，录取我院毕业生5人；（8）科大国创新能科技有限公司，录取我院毕业生5人；（9）长鑫存储技术有限公司，录取我院毕业生6人；（10）浙江大华智联有限公司，录取我院毕业生7人；（11）合肥显耀集成电路技术有限公司，录取我院毕业生4人；（12）合肥京东方显示技术有限公司，录取我院毕业生2人；（13）合肥海尔电冰箱有限公司，录取我院毕业生5人；（14）安徽巨一科技股份有限公司，录取我院毕业生10人；（15）合肥维信诺科技有限公司，录取我院毕业生5人。</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firstLine="480" w:firstLineChars="200"/>
        <w:jc w:val="both"/>
        <w:textAlignment w:val="auto"/>
        <w:outlineLvl w:val="9"/>
        <w:rPr>
          <w:rFonts w:hint="eastAsia" w:ascii="宋体" w:hAnsi="宋体" w:eastAsia="宋体" w:cs="宋体"/>
          <w:b w:val="0"/>
          <w:bCs/>
          <w:color w:val="auto"/>
          <w:sz w:val="24"/>
          <w:szCs w:val="24"/>
          <w:lang w:val="en-US" w:eastAsia="zh-CN"/>
        </w:rPr>
      </w:pPr>
      <w:r>
        <w:rPr>
          <w:rFonts w:hint="eastAsia" w:ascii="宋体" w:hAnsi="宋体" w:eastAsia="宋体" w:cs="宋体"/>
          <w:b w:val="0"/>
          <w:bCs/>
          <w:color w:val="auto"/>
          <w:sz w:val="24"/>
          <w:szCs w:val="24"/>
          <w:lang w:val="en-US" w:eastAsia="zh-CN"/>
        </w:rPr>
        <w:t>1、岗位需求情况</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firstLine="480" w:firstLineChars="200"/>
        <w:jc w:val="both"/>
        <w:textAlignment w:val="auto"/>
        <w:outlineLvl w:val="9"/>
        <w:rPr>
          <w:rFonts w:hint="eastAsia" w:ascii="宋体" w:hAnsi="宋体" w:eastAsia="宋体" w:cs="宋体"/>
          <w:b w:val="0"/>
          <w:bCs/>
          <w:color w:val="auto"/>
          <w:sz w:val="24"/>
          <w:szCs w:val="24"/>
          <w:lang w:val="en-US" w:eastAsia="zh-CN"/>
        </w:rPr>
      </w:pPr>
      <w:r>
        <w:rPr>
          <w:rFonts w:hint="eastAsia" w:ascii="宋体" w:hAnsi="宋体" w:eastAsia="宋体" w:cs="宋体"/>
          <w:b w:val="0"/>
          <w:bCs/>
          <w:color w:val="auto"/>
          <w:sz w:val="24"/>
          <w:szCs w:val="24"/>
          <w:lang w:val="en-US" w:eastAsia="zh-CN"/>
        </w:rPr>
        <w:t>所调查的15家企业中，招聘电子信息工程、机械、机电、自动化、材料控制、通信工程的企业有15家，占100%；从这一数据可以看出，这15家企业中，我院各专业岗位市场需求量均大。</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宋体" w:hAnsi="宋体" w:eastAsia="宋体" w:cs="宋体"/>
          <w:b w:val="0"/>
          <w:bCs/>
          <w:color w:val="auto"/>
          <w:sz w:val="24"/>
          <w:szCs w:val="24"/>
          <w:lang w:val="en-US" w:eastAsia="zh-CN"/>
        </w:rPr>
      </w:pPr>
      <w:r>
        <w:rPr>
          <w:rFonts w:hint="eastAsia" w:ascii="宋体" w:hAnsi="宋体" w:eastAsia="宋体" w:cs="宋体"/>
          <w:b w:val="0"/>
          <w:bCs/>
          <w:color w:val="auto"/>
          <w:sz w:val="24"/>
          <w:szCs w:val="24"/>
          <w:lang w:val="en-US" w:eastAsia="zh-CN"/>
        </w:rPr>
        <w:t>　　2、招人用人情况</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firstLine="480" w:firstLineChars="200"/>
        <w:jc w:val="both"/>
        <w:textAlignment w:val="auto"/>
        <w:outlineLvl w:val="9"/>
        <w:rPr>
          <w:rFonts w:hint="eastAsia" w:ascii="宋体" w:hAnsi="宋体" w:eastAsia="宋体" w:cs="宋体"/>
          <w:b w:val="0"/>
          <w:bCs/>
          <w:color w:val="auto"/>
          <w:sz w:val="24"/>
          <w:szCs w:val="24"/>
          <w:lang w:val="en-US" w:eastAsia="zh-CN"/>
        </w:rPr>
      </w:pPr>
      <w:r>
        <w:rPr>
          <w:rFonts w:hint="eastAsia" w:ascii="宋体" w:hAnsi="宋体" w:eastAsia="宋体" w:cs="宋体"/>
          <w:b w:val="0"/>
          <w:bCs/>
          <w:color w:val="auto"/>
          <w:sz w:val="24"/>
          <w:szCs w:val="24"/>
          <w:lang w:val="en-US" w:eastAsia="zh-CN"/>
        </w:rPr>
        <w:t>15家企业中，从岗位需求人数来看，岗位需求人数在50人以下的有3家，50人以上的有12家。从录取情况来看，这15家企业共录用毕业生93人。</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firstLine="480" w:firstLineChars="200"/>
        <w:jc w:val="both"/>
        <w:textAlignment w:val="auto"/>
        <w:outlineLvl w:val="9"/>
        <w:rPr>
          <w:rFonts w:hint="eastAsia" w:ascii="宋体" w:hAnsi="宋体" w:eastAsia="宋体" w:cs="宋体"/>
          <w:b w:val="0"/>
          <w:bCs/>
          <w:color w:val="auto"/>
          <w:sz w:val="24"/>
          <w:szCs w:val="24"/>
          <w:lang w:val="en-US" w:eastAsia="zh-CN"/>
        </w:rPr>
      </w:pPr>
      <w:r>
        <w:rPr>
          <w:rFonts w:hint="eastAsia" w:ascii="宋体" w:hAnsi="宋体" w:eastAsia="宋体" w:cs="宋体"/>
          <w:b w:val="0"/>
          <w:bCs/>
          <w:color w:val="auto"/>
          <w:sz w:val="24"/>
          <w:szCs w:val="24"/>
          <w:lang w:val="en-US" w:eastAsia="zh-CN"/>
        </w:rPr>
        <w:t>企业的招聘人数远远大于实际录用的人数，这种情况不仅存在于2021年的就业中，以往年份的企业招聘也存在这种现象。造成这种现象的原因主要有以下几个方面：第一，目前制造业企业普遍缺人，招人数量巨大，学生供不应求；第二，毕业生的犹豫徘徊。毕业生就业的过程中，往往对招聘企业持观望态度，总是希望能够遇到更好的招聘企业，不肯轻易签约；第三，大企业、知名企业对毕业生的吸引力较大，而中小企业则不容易引起毕业生的兴趣。</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firstLine="480" w:firstLineChars="200"/>
        <w:jc w:val="both"/>
        <w:textAlignment w:val="auto"/>
        <w:outlineLvl w:val="9"/>
        <w:rPr>
          <w:rFonts w:hint="eastAsia" w:ascii="宋体" w:hAnsi="宋体" w:eastAsia="宋体" w:cs="宋体"/>
          <w:b w:val="0"/>
          <w:bCs/>
          <w:color w:val="auto"/>
          <w:sz w:val="24"/>
          <w:szCs w:val="24"/>
          <w:lang w:val="en-US" w:eastAsia="zh-CN"/>
        </w:rPr>
      </w:pPr>
      <w:r>
        <w:rPr>
          <w:rFonts w:hint="eastAsia" w:ascii="宋体" w:hAnsi="宋体" w:eastAsia="宋体" w:cs="宋体"/>
          <w:b w:val="0"/>
          <w:bCs/>
          <w:color w:val="auto"/>
          <w:sz w:val="24"/>
          <w:szCs w:val="24"/>
          <w:lang w:val="en-US" w:eastAsia="zh-CN"/>
        </w:rPr>
        <w:t>企业认为大学生就业时动手能力较强，所面临的主要困难有工作经验不足、缺乏吃苦和敬业精神、知识面窄、不懂合作，对环境适应能力差、人际交往及书面表达能力差、心理承受能力差。这个调查结果和我们的感觉是一致的。所以我们在平时一定要时时教育学生正确的认识自己，多参加各种实践活动，注意自身综合素质的提高。</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firstLine="480" w:firstLineChars="200"/>
        <w:jc w:val="both"/>
        <w:textAlignment w:val="auto"/>
        <w:outlineLvl w:val="9"/>
        <w:rPr>
          <w:rFonts w:hint="eastAsia" w:ascii="宋体" w:hAnsi="宋体" w:eastAsia="宋体" w:cs="宋体"/>
          <w:b w:val="0"/>
          <w:bCs/>
          <w:color w:val="auto"/>
          <w:sz w:val="24"/>
          <w:szCs w:val="24"/>
          <w:lang w:val="en-US" w:eastAsia="zh-CN"/>
        </w:rPr>
      </w:pPr>
      <w:r>
        <w:rPr>
          <w:rFonts w:hint="eastAsia" w:ascii="宋体" w:hAnsi="宋体" w:eastAsia="宋体" w:cs="宋体"/>
          <w:b w:val="0"/>
          <w:bCs/>
          <w:color w:val="auto"/>
          <w:sz w:val="24"/>
          <w:szCs w:val="24"/>
          <w:lang w:val="en-US" w:eastAsia="zh-CN"/>
        </w:rPr>
        <w:t>企业在人才开发方面遇到的最大问题就是人才的流失问题。在这15家企业中，有13家企业表示受到人才流失的困扰，8家企业觉得员工培训成本太高。这就要求学校要加强对学生进行就业指导，以帮助他们了解未来的工作会是怎样的，应该如何与老板和同事相处，增强在工作中受挫的承受能务。引导他们增强对企业的认同和忠诚度，以实例告诉学生频繁的跳槽对个人的发展是不利的。</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1"/>
        <w:jc w:val="both"/>
        <w:textAlignment w:val="auto"/>
        <w:outlineLvl w:val="9"/>
        <w:rPr>
          <w:rFonts w:hint="eastAsia" w:ascii="宋体" w:hAnsi="宋体" w:eastAsia="宋体" w:cs="宋体"/>
          <w:b/>
          <w:bCs w:val="0"/>
          <w:color w:val="auto"/>
          <w:sz w:val="24"/>
          <w:szCs w:val="24"/>
          <w:lang w:val="en-US" w:eastAsia="zh-CN"/>
        </w:rPr>
      </w:pPr>
      <w:r>
        <w:rPr>
          <w:rFonts w:hint="eastAsia" w:ascii="宋体" w:hAnsi="宋体" w:eastAsia="宋体" w:cs="宋体"/>
          <w:b/>
          <w:bCs w:val="0"/>
          <w:color w:val="auto"/>
          <w:sz w:val="24"/>
          <w:szCs w:val="24"/>
          <w:lang w:val="en-US" w:eastAsia="zh-CN"/>
        </w:rPr>
        <w:t>第四部分：先进制造工程学院就业工作的重点与亮点</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firstLine="480" w:firstLineChars="200"/>
        <w:jc w:val="both"/>
        <w:textAlignment w:val="auto"/>
        <w:outlineLvl w:val="9"/>
        <w:rPr>
          <w:rFonts w:hint="eastAsia" w:ascii="宋体" w:hAnsi="宋体" w:eastAsia="宋体" w:cs="宋体"/>
          <w:b w:val="0"/>
          <w:bCs/>
          <w:color w:val="auto"/>
          <w:sz w:val="24"/>
          <w:szCs w:val="24"/>
          <w:lang w:val="en-US" w:eastAsia="zh-CN"/>
        </w:rPr>
      </w:pPr>
      <w:r>
        <w:rPr>
          <w:rFonts w:hint="eastAsia" w:ascii="宋体" w:hAnsi="宋体" w:eastAsia="宋体" w:cs="宋体"/>
          <w:b w:val="0"/>
          <w:bCs/>
          <w:color w:val="auto"/>
          <w:sz w:val="24"/>
          <w:szCs w:val="24"/>
          <w:lang w:val="en-US" w:eastAsia="zh-CN"/>
        </w:rPr>
        <w:t>2022年，先进制造工程学院本着“以生为本、高质量就业”的原则，在学院党委行政的正确领导下，在院领导班子的有力支持下，学院2022年10月底就业率达到</w:t>
      </w:r>
      <w:r>
        <w:rPr>
          <w:rFonts w:hint="eastAsia" w:ascii="宋体" w:hAnsi="宋体" w:eastAsia="宋体" w:cs="宋体"/>
          <w:b w:val="0"/>
          <w:bCs/>
          <w:color w:val="000000"/>
          <w:sz w:val="24"/>
          <w:szCs w:val="24"/>
          <w:u w:val="none"/>
          <w:lang w:val="en-US" w:eastAsia="zh-CN"/>
        </w:rPr>
        <w:t>95%</w:t>
      </w:r>
      <w:r>
        <w:rPr>
          <w:rFonts w:hint="eastAsia" w:ascii="宋体" w:hAnsi="宋体" w:eastAsia="宋体" w:cs="宋体"/>
          <w:b w:val="0"/>
          <w:bCs/>
          <w:color w:val="auto"/>
          <w:sz w:val="24"/>
          <w:szCs w:val="24"/>
          <w:lang w:val="en-US" w:eastAsia="zh-CN"/>
        </w:rPr>
        <w:t>，较好完成了今年的就业工作目标，有力确保了我院就业工作的平稳、有序进行，为今后的就业工作提供了经验借鉴、奠定了良好基础。</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firstLine="480" w:firstLineChars="200"/>
        <w:jc w:val="both"/>
        <w:textAlignment w:val="auto"/>
        <w:outlineLvl w:val="9"/>
        <w:rPr>
          <w:rFonts w:hint="eastAsia" w:ascii="宋体" w:hAnsi="宋体" w:eastAsia="宋体" w:cs="宋体"/>
          <w:b w:val="0"/>
          <w:bCs/>
          <w:color w:val="auto"/>
          <w:sz w:val="24"/>
          <w:szCs w:val="24"/>
          <w:lang w:val="en-US" w:eastAsia="zh-CN"/>
        </w:rPr>
      </w:pPr>
      <w:r>
        <w:rPr>
          <w:rFonts w:hint="eastAsia" w:ascii="宋体" w:hAnsi="宋体" w:eastAsia="宋体" w:cs="宋体"/>
          <w:b w:val="0"/>
          <w:bCs/>
          <w:color w:val="auto"/>
          <w:sz w:val="24"/>
          <w:szCs w:val="24"/>
          <w:lang w:val="en-US" w:eastAsia="zh-CN"/>
        </w:rPr>
        <w:t>就业工作的重点是：</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firstLine="480" w:firstLineChars="200"/>
        <w:jc w:val="left"/>
        <w:outlineLvl w:val="9"/>
        <w:rPr>
          <w:rFonts w:hint="eastAsia" w:ascii="宋体" w:hAnsi="宋体" w:eastAsia="宋体" w:cs="宋体"/>
          <w:b w:val="0"/>
          <w:bCs/>
          <w:color w:val="auto"/>
          <w:sz w:val="24"/>
          <w:szCs w:val="24"/>
          <w:lang w:val="en-US" w:eastAsia="zh-CN"/>
        </w:rPr>
      </w:pPr>
      <w:r>
        <w:rPr>
          <w:rFonts w:hint="eastAsia" w:ascii="宋体" w:hAnsi="宋体" w:eastAsia="宋体" w:cs="宋体"/>
          <w:sz w:val="24"/>
          <w:szCs w:val="24"/>
        </w:rPr>
        <w:t>一是成立学院就业工作领导小组，具体组成如下：组长:杜娟、吕刚；副组长:李秀娟、胡学友、秦强；成员:系主任、学工办主任、分团委书记、毕业班辅导员、专业班主任、论文指导老师、就业工作联络员。</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firstLine="480" w:firstLineChars="200"/>
        <w:jc w:val="left"/>
        <w:outlineLvl w:val="9"/>
        <w:rPr>
          <w:rFonts w:hint="eastAsia" w:ascii="宋体" w:hAnsi="宋体" w:cs="宋体"/>
          <w:color w:val="auto"/>
          <w:sz w:val="24"/>
          <w:szCs w:val="24"/>
          <w:lang w:val="en-US" w:eastAsia="zh-CN"/>
        </w:rPr>
      </w:pPr>
      <w:r>
        <w:rPr>
          <w:rFonts w:hint="eastAsia" w:ascii="宋体" w:hAnsi="宋体" w:eastAsia="宋体" w:cs="宋体"/>
          <w:b w:val="0"/>
          <w:bCs/>
          <w:color w:val="auto"/>
          <w:sz w:val="24"/>
          <w:szCs w:val="24"/>
          <w:lang w:val="en-US" w:eastAsia="zh-CN"/>
        </w:rPr>
        <w:t>二是召开毕业班学生就业思想座谈会。</w:t>
      </w:r>
      <w:r>
        <w:rPr>
          <w:rFonts w:hint="eastAsia" w:ascii="宋体" w:hAnsi="宋体" w:cs="宋体"/>
          <w:color w:val="auto"/>
          <w:sz w:val="24"/>
          <w:szCs w:val="24"/>
          <w:lang w:val="en-US" w:eastAsia="zh-CN"/>
        </w:rPr>
        <w:t>毕业生座谈会是老师与毕业生之间沟通交流的重要平台，是老师了解毕业生关于就业、学业和其他方面思想想法的重要途径，也是搜集整理毕业生意见建议的重要渠道。</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firstLine="480" w:firstLineChars="200"/>
        <w:jc w:val="left"/>
        <w:outlineLvl w:val="9"/>
        <w:rPr>
          <w:rFonts w:hint="eastAsia" w:ascii="宋体" w:hAnsi="宋体" w:eastAsia="宋体" w:cs="宋体"/>
          <w:b w:val="0"/>
          <w:bCs/>
          <w:color w:val="auto"/>
          <w:sz w:val="24"/>
          <w:szCs w:val="24"/>
          <w:lang w:val="en-US" w:eastAsia="zh-CN"/>
        </w:rPr>
      </w:pPr>
      <w:r>
        <w:rPr>
          <w:rFonts w:hint="eastAsia" w:ascii="宋体" w:hAnsi="宋体" w:eastAsia="宋体" w:cs="宋体"/>
          <w:b w:val="0"/>
          <w:bCs/>
          <w:color w:val="auto"/>
          <w:sz w:val="24"/>
          <w:szCs w:val="24"/>
          <w:lang w:val="en-US" w:eastAsia="zh-CN"/>
        </w:rPr>
        <w:t>三是做好就业协议书签订过程中的指导与帮助。毕业班辅导员对就业协议书的填写向所带班级毕业生进行了详细的说明，对毕业生在签订协议书过程中遇到的问题给予了及时有效地解答，对协议书档案存放一项进行了重点解说，从而确保了我院毕业生能够高效准确地签订协议书。对于已签订协议书后又重新就业的毕业生，辅导员也积极联系院就业指导中心妥善解决。不仅如此，毕业班的每位辅导员都认真履行职责，认真做好协议书的催缴与核查工作。</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firstLine="480" w:firstLineChars="200"/>
        <w:jc w:val="left"/>
        <w:outlineLvl w:val="9"/>
        <w:rPr>
          <w:rFonts w:hint="eastAsia" w:ascii="宋体" w:hAnsi="宋体" w:eastAsia="宋体" w:cs="宋体"/>
          <w:b w:val="0"/>
          <w:bCs/>
          <w:color w:val="auto"/>
          <w:sz w:val="24"/>
          <w:szCs w:val="24"/>
          <w:lang w:val="en-US" w:eastAsia="zh-CN"/>
        </w:rPr>
      </w:pPr>
      <w:r>
        <w:rPr>
          <w:rFonts w:hint="eastAsia" w:ascii="宋体" w:hAnsi="宋体" w:eastAsia="宋体" w:cs="宋体"/>
          <w:b w:val="0"/>
          <w:bCs/>
          <w:color w:val="auto"/>
          <w:sz w:val="24"/>
          <w:szCs w:val="24"/>
          <w:lang w:val="en-US" w:eastAsia="zh-CN"/>
        </w:rPr>
        <w:t>四是组织毕业生积极参加学院招聘会。在院就业工作领导小组的正确领导下，毕业班辅导员分工清晰、责任明确，相互配合，积极推进我院就业招聘会的开展。毕业班辅导员能够及时传达院就业指导中心的指示精神，准确将就业招聘信息发布给学生，鼓励学生积极主动地去应聘。</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jc w:val="both"/>
        <w:textAlignment w:val="auto"/>
        <w:outlineLvl w:val="9"/>
        <w:rPr>
          <w:rFonts w:hint="eastAsia" w:ascii="宋体" w:hAnsi="宋体" w:eastAsia="宋体" w:cs="宋体"/>
          <w:b/>
          <w:bCs w:val="0"/>
          <w:color w:val="auto"/>
          <w:sz w:val="24"/>
          <w:szCs w:val="24"/>
          <w:lang w:val="en-US" w:eastAsia="zh-CN"/>
        </w:rPr>
      </w:pPr>
      <w:r>
        <w:rPr>
          <w:rFonts w:hint="eastAsia" w:ascii="宋体" w:hAnsi="宋体" w:eastAsia="宋体" w:cs="宋体"/>
          <w:b/>
          <w:bCs w:val="0"/>
          <w:color w:val="auto"/>
          <w:sz w:val="24"/>
          <w:szCs w:val="24"/>
          <w:lang w:val="en-US" w:eastAsia="zh-CN"/>
        </w:rPr>
        <w:t>　　第五部分：先进制造工程学院对就业困难、弱势群体、特殊问题毕业生帮扶情况</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firstLine="480" w:firstLineChars="200"/>
        <w:jc w:val="left"/>
        <w:outlineLvl w:val="9"/>
        <w:rPr>
          <w:rFonts w:hint="default" w:ascii="宋体" w:hAnsi="宋体" w:eastAsia="宋体" w:cs="宋体"/>
          <w:b w:val="0"/>
          <w:bCs/>
          <w:color w:val="auto"/>
          <w:sz w:val="24"/>
          <w:szCs w:val="24"/>
          <w:lang w:val="en-US" w:eastAsia="zh-CN"/>
        </w:rPr>
      </w:pPr>
      <w:r>
        <w:rPr>
          <w:rFonts w:hint="eastAsia" w:ascii="宋体" w:hAnsi="宋体" w:eastAsia="宋体" w:cs="宋体"/>
          <w:b w:val="0"/>
          <w:bCs/>
          <w:color w:val="auto"/>
          <w:sz w:val="24"/>
          <w:szCs w:val="24"/>
          <w:lang w:val="en-US" w:eastAsia="zh-CN"/>
        </w:rPr>
        <w:t>在院就业工作领导小组的正确领导下，毕业班辅导员分工清晰、责任明确，相互配合，积极推进我系就业招聘会的开展。毕业班辅导员能够及时传达院就业指导中心的指示精神，准确将就业招聘信息发布给学生，鼓励学生积极主动地去应聘，院领导、毕业班辅导员热情关怀就业困难毕业生，对建档立卡毕业生、湖北籍毕业生采取了一一结对帮扶，建有双困生帮扶档案。具体帮扶措施如下：</w:t>
      </w:r>
    </w:p>
    <w:p>
      <w:pPr>
        <w:keepNext w:val="0"/>
        <w:keepLines w:val="0"/>
        <w:pageBreakBefore w:val="0"/>
        <w:widowControl w:val="0"/>
        <w:numPr>
          <w:ilvl w:val="0"/>
          <w:numId w:val="3"/>
        </w:numPr>
        <w:kinsoku/>
        <w:wordWrap/>
        <w:overflowPunct/>
        <w:topLinePunct w:val="0"/>
        <w:autoSpaceDE/>
        <w:autoSpaceDN/>
        <w:bidi w:val="0"/>
        <w:adjustRightInd/>
        <w:snapToGrid/>
        <w:spacing w:line="360" w:lineRule="auto"/>
        <w:ind w:right="0" w:rightChars="0" w:firstLine="480" w:firstLineChars="200"/>
        <w:textAlignment w:val="auto"/>
        <w:outlineLvl w:val="9"/>
        <w:rPr>
          <w:rFonts w:hint="eastAsia" w:ascii="宋体" w:hAnsi="宋体" w:cs="宋体"/>
          <w:color w:val="auto"/>
          <w:sz w:val="24"/>
          <w:szCs w:val="24"/>
          <w:lang w:val="en-US" w:eastAsia="zh-CN"/>
        </w:rPr>
      </w:pPr>
      <w:r>
        <w:rPr>
          <w:rFonts w:hint="eastAsia" w:ascii="宋体" w:hAnsi="宋体" w:cs="宋体"/>
          <w:color w:val="auto"/>
          <w:sz w:val="24"/>
          <w:szCs w:val="24"/>
          <w:lang w:val="en-US" w:eastAsia="zh-CN"/>
        </w:rPr>
        <w:t>根据学生处、职业发展与就业指导中心《关于做好2022届毕业生求职创业补贴发放工作的通知》，我院毕业班辅导员钟伦锁、刘罡、宋超、朱江、沈丹丹、张傲积极号召家庭困难毕业生进行网上申请；② 根据《关于做好2022届毕业生校内求职通讯补贴发放工作的通知》，我院为杨深慧、杨骁、张钰椿等毕业生报送了补贴申请，求职创业补贴的发放对象主要为享受城乡最低生活保障家庭的学生，为家庭困难和就业困难的学生。③ 根据学生处《关于做好2021年我校建档立卡家庭毕业生等困难群体就业帮扶工作的通知》，我院经过排查，共有76人为困难群体，建有双困生帮扶档案，建有离校未就业学生帮扶档案。其中64人签订就业协议或劳动合同，9人考取硕士研究生，1人地方基层就业，2人应征入伍，困难群体就业率为100%。对这些家庭经济困难毕业生的帮扶体现了学校和学院对困难毕业生的关心和祝愿，在学校和学院的共同帮扶下，这些困难毕业生都顺利完成了学业、毕业走向社会，找到了自己满意的工作或考取了自己理想的院校。今后，对困难毕业生的帮扶还会一如既往地持续下去，让更多家庭经济困难学生受益。</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1"/>
        <w:jc w:val="both"/>
        <w:textAlignment w:val="auto"/>
        <w:outlineLvl w:val="9"/>
        <w:rPr>
          <w:rFonts w:hint="eastAsia" w:ascii="宋体" w:hAnsi="宋体" w:eastAsia="宋体" w:cs="宋体"/>
          <w:b/>
          <w:bCs w:val="0"/>
          <w:color w:val="auto"/>
          <w:sz w:val="24"/>
          <w:szCs w:val="24"/>
          <w:lang w:val="en-US" w:eastAsia="zh-CN"/>
        </w:rPr>
      </w:pPr>
      <w:r>
        <w:rPr>
          <w:rFonts w:hint="eastAsia" w:ascii="宋体" w:hAnsi="宋体" w:eastAsia="宋体" w:cs="宋体"/>
          <w:b/>
          <w:bCs w:val="0"/>
          <w:color w:val="auto"/>
          <w:sz w:val="24"/>
          <w:szCs w:val="24"/>
          <w:lang w:val="en-US" w:eastAsia="zh-CN"/>
        </w:rPr>
        <w:t>第六部分：先进制造工程学院毕业生跟踪调查情况</w:t>
      </w:r>
    </w:p>
    <w:p>
      <w:pPr>
        <w:spacing w:line="360" w:lineRule="auto"/>
        <w:ind w:firstLine="480"/>
        <w:jc w:val="left"/>
        <w:rPr>
          <w:rFonts w:hint="eastAsia" w:ascii="宋体" w:hAnsi="宋体" w:eastAsia="宋体" w:cs="宋体"/>
          <w:bCs/>
          <w:color w:val="auto"/>
          <w:sz w:val="24"/>
          <w:szCs w:val="24"/>
          <w:lang w:eastAsia="zh-CN"/>
        </w:rPr>
      </w:pPr>
      <w:r>
        <w:rPr>
          <w:rFonts w:hint="eastAsia" w:ascii="宋体" w:hAnsi="宋体" w:eastAsia="宋体" w:cs="宋体"/>
          <w:bCs/>
          <w:color w:val="auto"/>
          <w:sz w:val="24"/>
          <w:szCs w:val="24"/>
        </w:rPr>
        <w:t>为更好地了解毕业生职业发展状况，我</w:t>
      </w:r>
      <w:r>
        <w:rPr>
          <w:rFonts w:hint="eastAsia" w:ascii="宋体" w:hAnsi="宋体" w:eastAsia="宋体" w:cs="宋体"/>
          <w:bCs/>
          <w:color w:val="auto"/>
          <w:sz w:val="24"/>
          <w:szCs w:val="24"/>
          <w:lang w:val="en-US" w:eastAsia="zh-CN"/>
        </w:rPr>
        <w:t>院</w:t>
      </w:r>
      <w:r>
        <w:rPr>
          <w:rFonts w:hint="eastAsia" w:ascii="宋体" w:hAnsi="宋体" w:eastAsia="宋体" w:cs="宋体"/>
          <w:bCs/>
          <w:color w:val="auto"/>
          <w:sz w:val="24"/>
          <w:szCs w:val="24"/>
        </w:rPr>
        <w:t>对</w:t>
      </w:r>
      <w:r>
        <w:rPr>
          <w:rFonts w:hint="eastAsia" w:ascii="宋体" w:hAnsi="宋体" w:eastAsia="宋体" w:cs="宋体"/>
          <w:bCs/>
          <w:color w:val="auto"/>
          <w:sz w:val="24"/>
          <w:szCs w:val="24"/>
          <w:lang w:val="en-US" w:eastAsia="zh-CN"/>
        </w:rPr>
        <w:t>2017—2022</w:t>
      </w:r>
      <w:r>
        <w:rPr>
          <w:rFonts w:hint="eastAsia" w:ascii="宋体" w:hAnsi="宋体" w:eastAsia="宋体" w:cs="宋体"/>
          <w:bCs/>
          <w:color w:val="auto"/>
          <w:sz w:val="24"/>
          <w:szCs w:val="24"/>
        </w:rPr>
        <w:t>届毕业生进行了跟踪调查，截至20</w:t>
      </w:r>
      <w:r>
        <w:rPr>
          <w:rFonts w:hint="eastAsia" w:ascii="宋体" w:hAnsi="宋体" w:eastAsia="宋体" w:cs="宋体"/>
          <w:bCs/>
          <w:color w:val="auto"/>
          <w:sz w:val="24"/>
          <w:szCs w:val="24"/>
          <w:lang w:val="en-US" w:eastAsia="zh-CN"/>
        </w:rPr>
        <w:t>22</w:t>
      </w:r>
      <w:r>
        <w:rPr>
          <w:rFonts w:hint="eastAsia" w:ascii="宋体" w:hAnsi="宋体" w:eastAsia="宋体" w:cs="宋体"/>
          <w:bCs/>
          <w:color w:val="auto"/>
          <w:sz w:val="24"/>
          <w:szCs w:val="24"/>
        </w:rPr>
        <w:t>年</w:t>
      </w:r>
      <w:r>
        <w:rPr>
          <w:rFonts w:hint="eastAsia" w:ascii="宋体" w:hAnsi="宋体" w:eastAsia="宋体" w:cs="宋体"/>
          <w:bCs/>
          <w:color w:val="auto"/>
          <w:sz w:val="24"/>
          <w:szCs w:val="24"/>
          <w:lang w:val="en-US" w:eastAsia="zh-CN"/>
        </w:rPr>
        <w:t>10</w:t>
      </w:r>
      <w:r>
        <w:rPr>
          <w:rFonts w:hint="eastAsia" w:ascii="宋体" w:hAnsi="宋体" w:eastAsia="宋体" w:cs="宋体"/>
          <w:bCs/>
          <w:color w:val="auto"/>
          <w:sz w:val="24"/>
          <w:szCs w:val="24"/>
        </w:rPr>
        <w:t>月，201</w:t>
      </w:r>
      <w:r>
        <w:rPr>
          <w:rFonts w:hint="eastAsia" w:ascii="宋体" w:hAnsi="宋体" w:eastAsia="宋体" w:cs="宋体"/>
          <w:bCs/>
          <w:color w:val="auto"/>
          <w:sz w:val="24"/>
          <w:szCs w:val="24"/>
          <w:lang w:val="en-US" w:eastAsia="zh-CN"/>
        </w:rPr>
        <w:t>7</w:t>
      </w:r>
      <w:r>
        <w:rPr>
          <w:rFonts w:hint="eastAsia" w:ascii="宋体" w:hAnsi="宋体" w:eastAsia="宋体" w:cs="宋体"/>
          <w:bCs/>
          <w:color w:val="auto"/>
          <w:sz w:val="24"/>
          <w:szCs w:val="24"/>
        </w:rPr>
        <w:t>—20</w:t>
      </w:r>
      <w:r>
        <w:rPr>
          <w:rFonts w:hint="eastAsia" w:ascii="宋体" w:hAnsi="宋体" w:eastAsia="宋体" w:cs="宋体"/>
          <w:bCs/>
          <w:color w:val="auto"/>
          <w:sz w:val="24"/>
          <w:szCs w:val="24"/>
          <w:lang w:val="en-US" w:eastAsia="zh-CN"/>
        </w:rPr>
        <w:t>22</w:t>
      </w:r>
      <w:r>
        <w:rPr>
          <w:rFonts w:hint="eastAsia" w:ascii="宋体" w:hAnsi="宋体" w:eastAsia="宋体" w:cs="宋体"/>
          <w:bCs/>
          <w:color w:val="auto"/>
          <w:sz w:val="24"/>
          <w:szCs w:val="24"/>
        </w:rPr>
        <w:t>届共调查毕业生</w:t>
      </w:r>
      <w:r>
        <w:rPr>
          <w:rFonts w:hint="eastAsia" w:ascii="宋体" w:hAnsi="宋体" w:eastAsia="宋体" w:cs="宋体"/>
          <w:bCs/>
          <w:color w:val="auto"/>
          <w:sz w:val="24"/>
          <w:szCs w:val="24"/>
          <w:lang w:val="en-US" w:eastAsia="zh-CN"/>
        </w:rPr>
        <w:t>3909</w:t>
      </w:r>
      <w:r>
        <w:rPr>
          <w:rFonts w:hint="eastAsia" w:ascii="宋体" w:hAnsi="宋体" w:eastAsia="宋体" w:cs="宋体"/>
          <w:bCs/>
          <w:color w:val="auto"/>
          <w:sz w:val="24"/>
          <w:szCs w:val="24"/>
        </w:rPr>
        <w:t>人</w:t>
      </w:r>
      <w:r>
        <w:rPr>
          <w:rFonts w:hint="eastAsia" w:ascii="宋体" w:hAnsi="宋体" w:eastAsia="宋体" w:cs="宋体"/>
          <w:bCs/>
          <w:color w:val="auto"/>
          <w:sz w:val="24"/>
          <w:szCs w:val="24"/>
          <w:lang w:eastAsia="zh-CN"/>
        </w:rPr>
        <w:t>。</w:t>
      </w:r>
    </w:p>
    <w:p>
      <w:pPr>
        <w:spacing w:line="360" w:lineRule="auto"/>
        <w:ind w:firstLine="480"/>
        <w:jc w:val="left"/>
        <w:rPr>
          <w:rFonts w:hint="default" w:ascii="宋体" w:hAnsi="宋体" w:eastAsia="宋体" w:cs="宋体"/>
          <w:bCs/>
          <w:color w:val="auto"/>
          <w:sz w:val="24"/>
          <w:szCs w:val="24"/>
          <w:lang w:val="en-US" w:eastAsia="zh-CN"/>
        </w:rPr>
      </w:pPr>
      <w:r>
        <w:rPr>
          <w:rFonts w:hint="eastAsia" w:ascii="宋体" w:hAnsi="宋体" w:eastAsia="宋体" w:cs="宋体"/>
          <w:bCs/>
          <w:color w:val="auto"/>
          <w:sz w:val="24"/>
          <w:szCs w:val="24"/>
          <w:lang w:eastAsia="zh-CN"/>
        </w:rPr>
        <w:t>（</w:t>
      </w:r>
      <w:r>
        <w:rPr>
          <w:rFonts w:hint="eastAsia" w:ascii="宋体" w:hAnsi="宋体" w:eastAsia="宋体" w:cs="宋体"/>
          <w:bCs/>
          <w:color w:val="auto"/>
          <w:sz w:val="24"/>
          <w:szCs w:val="24"/>
          <w:lang w:val="en-US" w:eastAsia="zh-CN"/>
        </w:rPr>
        <w:t>1</w:t>
      </w:r>
      <w:r>
        <w:rPr>
          <w:rFonts w:hint="eastAsia" w:ascii="宋体" w:hAnsi="宋体" w:eastAsia="宋体" w:cs="宋体"/>
          <w:bCs/>
          <w:color w:val="auto"/>
          <w:sz w:val="24"/>
          <w:szCs w:val="24"/>
          <w:lang w:eastAsia="zh-CN"/>
        </w:rPr>
        <w:t>）</w:t>
      </w:r>
      <w:r>
        <w:rPr>
          <w:rFonts w:hint="eastAsia" w:ascii="宋体" w:hAnsi="宋体" w:eastAsia="宋体" w:cs="宋体"/>
          <w:bCs/>
          <w:color w:val="auto"/>
          <w:sz w:val="24"/>
          <w:szCs w:val="24"/>
          <w:lang w:val="en-US" w:eastAsia="zh-CN"/>
        </w:rPr>
        <w:t>2017届毕业生总计589人，升学、出国91人，占15.45%；央企、国企就业54人，占9.17%；公务员、事业单位2人，占0.34%；</w:t>
      </w:r>
    </w:p>
    <w:p>
      <w:pPr>
        <w:spacing w:line="360" w:lineRule="auto"/>
        <w:ind w:firstLine="480"/>
        <w:jc w:val="left"/>
        <w:rPr>
          <w:rFonts w:hint="default" w:ascii="宋体" w:hAnsi="宋体" w:eastAsia="宋体" w:cs="宋体"/>
          <w:bCs/>
          <w:color w:val="auto"/>
          <w:sz w:val="24"/>
          <w:szCs w:val="24"/>
          <w:lang w:val="en-US" w:eastAsia="zh-CN"/>
        </w:rPr>
      </w:pPr>
      <w:r>
        <w:rPr>
          <w:rFonts w:hint="default" w:ascii="宋体" w:hAnsi="宋体" w:eastAsia="宋体" w:cs="宋体"/>
          <w:bCs/>
          <w:color w:val="auto"/>
          <w:sz w:val="24"/>
          <w:szCs w:val="24"/>
          <w:lang w:val="en-US" w:eastAsia="zh-CN"/>
        </w:rPr>
        <w:t>（2）2018届毕业生总计710人，升学、出国94人，占13.24%；央企、国企就业80人，占11.27%；公务员、事业单位5人，占0.70%；自主创业2人，占0.28%。</w:t>
      </w:r>
    </w:p>
    <w:p>
      <w:pPr>
        <w:spacing w:line="360" w:lineRule="auto"/>
        <w:ind w:firstLine="480"/>
        <w:jc w:val="left"/>
        <w:rPr>
          <w:rFonts w:hint="default" w:ascii="宋体" w:hAnsi="宋体" w:eastAsia="宋体" w:cs="宋体"/>
          <w:bCs/>
          <w:color w:val="auto"/>
          <w:sz w:val="24"/>
          <w:szCs w:val="24"/>
          <w:lang w:val="en-US" w:eastAsia="zh-CN"/>
        </w:rPr>
      </w:pPr>
      <w:r>
        <w:rPr>
          <w:rFonts w:hint="default" w:ascii="宋体" w:hAnsi="宋体" w:eastAsia="宋体" w:cs="宋体"/>
          <w:bCs/>
          <w:color w:val="auto"/>
          <w:sz w:val="24"/>
          <w:szCs w:val="24"/>
          <w:lang w:val="en-US" w:eastAsia="zh-CN"/>
        </w:rPr>
        <w:t>（3）2019届毕业生总计649人，升学、出国92人，占14.18%；央企、国企就业63人，占9.71%；公务员、事业单位5人，占0.77%；自主创业5人，占0.77%。</w:t>
      </w:r>
    </w:p>
    <w:p>
      <w:pPr>
        <w:spacing w:line="360" w:lineRule="auto"/>
        <w:ind w:firstLine="480"/>
        <w:jc w:val="left"/>
        <w:rPr>
          <w:rFonts w:hint="default" w:ascii="宋体" w:hAnsi="宋体" w:eastAsia="宋体" w:cs="宋体"/>
          <w:bCs/>
          <w:color w:val="auto"/>
          <w:sz w:val="24"/>
          <w:szCs w:val="24"/>
          <w:lang w:val="en-US" w:eastAsia="zh-CN"/>
        </w:rPr>
      </w:pPr>
      <w:r>
        <w:rPr>
          <w:rFonts w:hint="default" w:ascii="宋体" w:hAnsi="宋体" w:eastAsia="宋体" w:cs="宋体"/>
          <w:bCs/>
          <w:color w:val="auto"/>
          <w:sz w:val="24"/>
          <w:szCs w:val="24"/>
          <w:lang w:val="en-US" w:eastAsia="zh-CN"/>
        </w:rPr>
        <w:t>（4）2020届毕业生总计765人，升学、出国150人，占19.61%；央企、国企就业64人，占8.37%；公务员、事业单位1人，占0.13%；自主创业3人，占0.39%。</w:t>
      </w:r>
    </w:p>
    <w:p>
      <w:pPr>
        <w:spacing w:line="360" w:lineRule="auto"/>
        <w:ind w:firstLine="480"/>
        <w:jc w:val="left"/>
        <w:rPr>
          <w:rFonts w:hint="default" w:ascii="宋体" w:hAnsi="宋体" w:eastAsia="宋体" w:cs="宋体"/>
          <w:bCs/>
          <w:color w:val="auto"/>
          <w:sz w:val="24"/>
          <w:szCs w:val="24"/>
          <w:lang w:val="en-US" w:eastAsia="zh-CN"/>
        </w:rPr>
      </w:pPr>
      <w:r>
        <w:rPr>
          <w:rFonts w:hint="default" w:ascii="宋体" w:hAnsi="宋体" w:eastAsia="宋体" w:cs="宋体"/>
          <w:bCs/>
          <w:color w:val="auto"/>
          <w:sz w:val="24"/>
          <w:szCs w:val="24"/>
          <w:lang w:val="en-US" w:eastAsia="zh-CN"/>
        </w:rPr>
        <w:t>（</w:t>
      </w:r>
      <w:r>
        <w:rPr>
          <w:rFonts w:hint="eastAsia" w:ascii="宋体" w:hAnsi="宋体" w:eastAsia="宋体" w:cs="宋体"/>
          <w:bCs/>
          <w:color w:val="auto"/>
          <w:sz w:val="24"/>
          <w:szCs w:val="24"/>
          <w:lang w:val="en-US" w:eastAsia="zh-CN"/>
        </w:rPr>
        <w:t>5</w:t>
      </w:r>
      <w:r>
        <w:rPr>
          <w:rFonts w:hint="default" w:ascii="宋体" w:hAnsi="宋体" w:eastAsia="宋体" w:cs="宋体"/>
          <w:bCs/>
          <w:color w:val="auto"/>
          <w:sz w:val="24"/>
          <w:szCs w:val="24"/>
          <w:lang w:val="en-US" w:eastAsia="zh-CN"/>
        </w:rPr>
        <w:t>）</w:t>
      </w:r>
      <w:r>
        <w:rPr>
          <w:rFonts w:hint="eastAsia" w:ascii="宋体" w:hAnsi="宋体" w:eastAsia="宋体" w:cs="宋体"/>
          <w:bCs/>
          <w:color w:val="auto"/>
          <w:sz w:val="24"/>
          <w:szCs w:val="24"/>
          <w:lang w:val="en-US" w:eastAsia="zh-CN"/>
        </w:rPr>
        <w:t>2021</w:t>
      </w:r>
      <w:r>
        <w:rPr>
          <w:rFonts w:hint="default" w:ascii="宋体" w:hAnsi="宋体" w:eastAsia="宋体" w:cs="宋体"/>
          <w:bCs/>
          <w:color w:val="auto"/>
          <w:sz w:val="24"/>
          <w:szCs w:val="24"/>
          <w:lang w:val="en-US" w:eastAsia="zh-CN"/>
        </w:rPr>
        <w:t>届毕业生总计</w:t>
      </w:r>
      <w:r>
        <w:rPr>
          <w:rFonts w:hint="eastAsia" w:ascii="宋体" w:hAnsi="宋体" w:eastAsia="宋体" w:cs="宋体"/>
          <w:bCs/>
          <w:color w:val="auto"/>
          <w:sz w:val="24"/>
          <w:szCs w:val="24"/>
          <w:lang w:val="en-US" w:eastAsia="zh-CN"/>
        </w:rPr>
        <w:t>632</w:t>
      </w:r>
      <w:r>
        <w:rPr>
          <w:rFonts w:hint="default" w:ascii="宋体" w:hAnsi="宋体" w:eastAsia="宋体" w:cs="宋体"/>
          <w:bCs/>
          <w:color w:val="auto"/>
          <w:sz w:val="24"/>
          <w:szCs w:val="24"/>
          <w:lang w:val="en-US" w:eastAsia="zh-CN"/>
        </w:rPr>
        <w:t>人，升学、出国</w:t>
      </w:r>
      <w:r>
        <w:rPr>
          <w:rFonts w:hint="eastAsia" w:ascii="宋体" w:hAnsi="宋体" w:eastAsia="宋体" w:cs="宋体"/>
          <w:bCs/>
          <w:color w:val="auto"/>
          <w:sz w:val="24"/>
          <w:szCs w:val="24"/>
          <w:lang w:val="en-US" w:eastAsia="zh-CN"/>
        </w:rPr>
        <w:t>113</w:t>
      </w:r>
      <w:r>
        <w:rPr>
          <w:rFonts w:hint="default" w:ascii="宋体" w:hAnsi="宋体" w:eastAsia="宋体" w:cs="宋体"/>
          <w:bCs/>
          <w:color w:val="auto"/>
          <w:sz w:val="24"/>
          <w:szCs w:val="24"/>
          <w:lang w:val="en-US" w:eastAsia="zh-CN"/>
        </w:rPr>
        <w:t>人，占1</w:t>
      </w:r>
      <w:r>
        <w:rPr>
          <w:rFonts w:hint="eastAsia" w:ascii="宋体" w:hAnsi="宋体" w:eastAsia="宋体" w:cs="宋体"/>
          <w:bCs/>
          <w:color w:val="auto"/>
          <w:sz w:val="24"/>
          <w:szCs w:val="24"/>
          <w:lang w:val="en-US" w:eastAsia="zh-CN"/>
        </w:rPr>
        <w:t>7</w:t>
      </w:r>
      <w:r>
        <w:rPr>
          <w:rFonts w:hint="default" w:ascii="宋体" w:hAnsi="宋体" w:eastAsia="宋体" w:cs="宋体"/>
          <w:bCs/>
          <w:color w:val="auto"/>
          <w:sz w:val="24"/>
          <w:szCs w:val="24"/>
          <w:lang w:val="en-US" w:eastAsia="zh-CN"/>
        </w:rPr>
        <w:t>.</w:t>
      </w:r>
      <w:r>
        <w:rPr>
          <w:rFonts w:hint="eastAsia" w:ascii="宋体" w:hAnsi="宋体" w:eastAsia="宋体" w:cs="宋体"/>
          <w:bCs/>
          <w:color w:val="auto"/>
          <w:sz w:val="24"/>
          <w:szCs w:val="24"/>
          <w:lang w:val="en-US" w:eastAsia="zh-CN"/>
        </w:rPr>
        <w:t>87</w:t>
      </w:r>
      <w:r>
        <w:rPr>
          <w:rFonts w:hint="default" w:ascii="宋体" w:hAnsi="宋体" w:eastAsia="宋体" w:cs="宋体"/>
          <w:bCs/>
          <w:color w:val="auto"/>
          <w:sz w:val="24"/>
          <w:szCs w:val="24"/>
          <w:lang w:val="en-US" w:eastAsia="zh-CN"/>
        </w:rPr>
        <w:t>%；国企、</w:t>
      </w:r>
      <w:r>
        <w:rPr>
          <w:rFonts w:hint="eastAsia" w:ascii="宋体" w:hAnsi="宋体" w:eastAsia="宋体" w:cs="宋体"/>
          <w:bCs/>
          <w:color w:val="auto"/>
          <w:sz w:val="24"/>
          <w:szCs w:val="24"/>
          <w:lang w:val="en-US" w:eastAsia="zh-CN"/>
        </w:rPr>
        <w:t>三资企业</w:t>
      </w:r>
      <w:r>
        <w:rPr>
          <w:rFonts w:hint="default" w:ascii="宋体" w:hAnsi="宋体" w:eastAsia="宋体" w:cs="宋体"/>
          <w:bCs/>
          <w:color w:val="auto"/>
          <w:sz w:val="24"/>
          <w:szCs w:val="24"/>
          <w:lang w:val="en-US" w:eastAsia="zh-CN"/>
        </w:rPr>
        <w:t>就业</w:t>
      </w:r>
      <w:r>
        <w:rPr>
          <w:rFonts w:hint="eastAsia" w:ascii="宋体" w:hAnsi="宋体" w:eastAsia="宋体" w:cs="宋体"/>
          <w:bCs/>
          <w:color w:val="auto"/>
          <w:sz w:val="24"/>
          <w:szCs w:val="24"/>
          <w:lang w:val="en-US" w:eastAsia="zh-CN"/>
        </w:rPr>
        <w:t>81</w:t>
      </w:r>
      <w:r>
        <w:rPr>
          <w:rFonts w:hint="default" w:ascii="宋体" w:hAnsi="宋体" w:eastAsia="宋体" w:cs="宋体"/>
          <w:bCs/>
          <w:color w:val="auto"/>
          <w:sz w:val="24"/>
          <w:szCs w:val="24"/>
          <w:lang w:val="en-US" w:eastAsia="zh-CN"/>
        </w:rPr>
        <w:t>人，占</w:t>
      </w:r>
      <w:r>
        <w:rPr>
          <w:rFonts w:hint="eastAsia" w:ascii="宋体" w:hAnsi="宋体" w:eastAsia="宋体" w:cs="宋体"/>
          <w:bCs/>
          <w:color w:val="auto"/>
          <w:sz w:val="24"/>
          <w:szCs w:val="24"/>
          <w:lang w:val="en-US" w:eastAsia="zh-CN"/>
        </w:rPr>
        <w:t>12</w:t>
      </w:r>
      <w:r>
        <w:rPr>
          <w:rFonts w:hint="default" w:ascii="宋体" w:hAnsi="宋体" w:eastAsia="宋体" w:cs="宋体"/>
          <w:bCs/>
          <w:color w:val="auto"/>
          <w:sz w:val="24"/>
          <w:szCs w:val="24"/>
          <w:lang w:val="en-US" w:eastAsia="zh-CN"/>
        </w:rPr>
        <w:t>.</w:t>
      </w:r>
      <w:r>
        <w:rPr>
          <w:rFonts w:hint="eastAsia" w:ascii="宋体" w:hAnsi="宋体" w:eastAsia="宋体" w:cs="宋体"/>
          <w:bCs/>
          <w:color w:val="auto"/>
          <w:sz w:val="24"/>
          <w:szCs w:val="24"/>
          <w:lang w:val="en-US" w:eastAsia="zh-CN"/>
        </w:rPr>
        <w:t>82</w:t>
      </w:r>
      <w:r>
        <w:rPr>
          <w:rFonts w:hint="default" w:ascii="宋体" w:hAnsi="宋体" w:eastAsia="宋体" w:cs="宋体"/>
          <w:bCs/>
          <w:color w:val="auto"/>
          <w:sz w:val="24"/>
          <w:szCs w:val="24"/>
          <w:lang w:val="en-US" w:eastAsia="zh-CN"/>
        </w:rPr>
        <w:t>%；公务员、事业单位</w:t>
      </w:r>
      <w:r>
        <w:rPr>
          <w:rFonts w:hint="eastAsia" w:ascii="宋体" w:hAnsi="宋体" w:eastAsia="宋体" w:cs="宋体"/>
          <w:bCs/>
          <w:color w:val="auto"/>
          <w:sz w:val="24"/>
          <w:szCs w:val="24"/>
          <w:lang w:val="en-US" w:eastAsia="zh-CN"/>
        </w:rPr>
        <w:t>7</w:t>
      </w:r>
      <w:r>
        <w:rPr>
          <w:rFonts w:hint="default" w:ascii="宋体" w:hAnsi="宋体" w:eastAsia="宋体" w:cs="宋体"/>
          <w:bCs/>
          <w:color w:val="auto"/>
          <w:sz w:val="24"/>
          <w:szCs w:val="24"/>
          <w:lang w:val="en-US" w:eastAsia="zh-CN"/>
        </w:rPr>
        <w:t>人，占</w:t>
      </w:r>
      <w:r>
        <w:rPr>
          <w:rFonts w:hint="eastAsia" w:ascii="宋体" w:hAnsi="宋体" w:eastAsia="宋体" w:cs="宋体"/>
          <w:bCs/>
          <w:color w:val="auto"/>
          <w:sz w:val="24"/>
          <w:szCs w:val="24"/>
          <w:lang w:val="en-US" w:eastAsia="zh-CN"/>
        </w:rPr>
        <w:t>1.11</w:t>
      </w:r>
      <w:r>
        <w:rPr>
          <w:rFonts w:hint="default" w:ascii="宋体" w:hAnsi="宋体" w:eastAsia="宋体" w:cs="宋体"/>
          <w:bCs/>
          <w:color w:val="auto"/>
          <w:sz w:val="24"/>
          <w:szCs w:val="24"/>
          <w:lang w:val="en-US" w:eastAsia="zh-CN"/>
        </w:rPr>
        <w:t>%；自主创业</w:t>
      </w:r>
      <w:r>
        <w:rPr>
          <w:rFonts w:hint="eastAsia" w:ascii="宋体" w:hAnsi="宋体" w:eastAsia="宋体" w:cs="宋体"/>
          <w:bCs/>
          <w:color w:val="auto"/>
          <w:sz w:val="24"/>
          <w:szCs w:val="24"/>
          <w:lang w:val="en-US" w:eastAsia="zh-CN"/>
        </w:rPr>
        <w:t>5</w:t>
      </w:r>
      <w:r>
        <w:rPr>
          <w:rFonts w:hint="default" w:ascii="宋体" w:hAnsi="宋体" w:eastAsia="宋体" w:cs="宋体"/>
          <w:bCs/>
          <w:color w:val="auto"/>
          <w:sz w:val="24"/>
          <w:szCs w:val="24"/>
          <w:lang w:val="en-US" w:eastAsia="zh-CN"/>
        </w:rPr>
        <w:t>人，占0.</w:t>
      </w:r>
      <w:r>
        <w:rPr>
          <w:rFonts w:hint="eastAsia" w:ascii="宋体" w:hAnsi="宋体" w:eastAsia="宋体" w:cs="宋体"/>
          <w:bCs/>
          <w:color w:val="auto"/>
          <w:sz w:val="24"/>
          <w:szCs w:val="24"/>
          <w:lang w:val="en-US" w:eastAsia="zh-CN"/>
        </w:rPr>
        <w:t>7</w:t>
      </w:r>
      <w:r>
        <w:rPr>
          <w:rFonts w:hint="default" w:ascii="宋体" w:hAnsi="宋体" w:eastAsia="宋体" w:cs="宋体"/>
          <w:bCs/>
          <w:color w:val="auto"/>
          <w:sz w:val="24"/>
          <w:szCs w:val="24"/>
          <w:lang w:val="en-US" w:eastAsia="zh-CN"/>
        </w:rPr>
        <w:t>9%。</w:t>
      </w:r>
    </w:p>
    <w:p>
      <w:pPr>
        <w:spacing w:line="360" w:lineRule="auto"/>
        <w:ind w:firstLine="480"/>
        <w:jc w:val="left"/>
        <w:rPr>
          <w:rFonts w:hint="default" w:ascii="宋体" w:hAnsi="宋体" w:eastAsia="宋体" w:cs="宋体"/>
          <w:bCs/>
          <w:color w:val="auto"/>
          <w:sz w:val="24"/>
          <w:szCs w:val="24"/>
          <w:lang w:val="en-US" w:eastAsia="zh-CN"/>
        </w:rPr>
      </w:pPr>
      <w:r>
        <w:rPr>
          <w:rFonts w:hint="default" w:ascii="宋体" w:hAnsi="宋体" w:eastAsia="宋体" w:cs="宋体"/>
          <w:bCs/>
          <w:color w:val="auto"/>
          <w:sz w:val="24"/>
          <w:szCs w:val="24"/>
          <w:lang w:val="en-US" w:eastAsia="zh-CN"/>
        </w:rPr>
        <w:t>（</w:t>
      </w:r>
      <w:r>
        <w:rPr>
          <w:rFonts w:hint="eastAsia" w:ascii="宋体" w:hAnsi="宋体" w:eastAsia="宋体" w:cs="宋体"/>
          <w:bCs/>
          <w:color w:val="auto"/>
          <w:sz w:val="24"/>
          <w:szCs w:val="24"/>
          <w:lang w:val="en-US" w:eastAsia="zh-CN"/>
        </w:rPr>
        <w:t>6</w:t>
      </w:r>
      <w:r>
        <w:rPr>
          <w:rFonts w:hint="default" w:ascii="宋体" w:hAnsi="宋体" w:eastAsia="宋体" w:cs="宋体"/>
          <w:bCs/>
          <w:color w:val="auto"/>
          <w:sz w:val="24"/>
          <w:szCs w:val="24"/>
          <w:lang w:val="en-US" w:eastAsia="zh-CN"/>
        </w:rPr>
        <w:t>）</w:t>
      </w:r>
      <w:r>
        <w:rPr>
          <w:rFonts w:hint="eastAsia" w:ascii="宋体" w:hAnsi="宋体" w:eastAsia="宋体" w:cs="宋体"/>
          <w:bCs/>
          <w:color w:val="auto"/>
          <w:sz w:val="24"/>
          <w:szCs w:val="24"/>
          <w:lang w:val="en-US" w:eastAsia="zh-CN"/>
        </w:rPr>
        <w:t>2022</w:t>
      </w:r>
      <w:r>
        <w:rPr>
          <w:rFonts w:hint="default" w:ascii="宋体" w:hAnsi="宋体" w:eastAsia="宋体" w:cs="宋体"/>
          <w:bCs/>
          <w:color w:val="auto"/>
          <w:sz w:val="24"/>
          <w:szCs w:val="24"/>
          <w:lang w:val="en-US" w:eastAsia="zh-CN"/>
        </w:rPr>
        <w:t>届毕业生总计</w:t>
      </w:r>
      <w:r>
        <w:rPr>
          <w:rFonts w:hint="eastAsia" w:ascii="宋体" w:hAnsi="宋体" w:eastAsia="宋体" w:cs="宋体"/>
          <w:bCs/>
          <w:color w:val="auto"/>
          <w:sz w:val="24"/>
          <w:szCs w:val="24"/>
          <w:lang w:val="en-US" w:eastAsia="zh-CN"/>
        </w:rPr>
        <w:t>564</w:t>
      </w:r>
      <w:r>
        <w:rPr>
          <w:rFonts w:hint="default" w:ascii="宋体" w:hAnsi="宋体" w:eastAsia="宋体" w:cs="宋体"/>
          <w:bCs/>
          <w:color w:val="auto"/>
          <w:sz w:val="24"/>
          <w:szCs w:val="24"/>
          <w:lang w:val="en-US" w:eastAsia="zh-CN"/>
        </w:rPr>
        <w:t>人，升学、出国</w:t>
      </w:r>
      <w:r>
        <w:rPr>
          <w:rFonts w:hint="eastAsia" w:ascii="宋体" w:hAnsi="宋体" w:eastAsia="宋体" w:cs="宋体"/>
          <w:bCs/>
          <w:color w:val="auto"/>
          <w:sz w:val="24"/>
          <w:szCs w:val="24"/>
          <w:lang w:val="en-US" w:eastAsia="zh-CN"/>
        </w:rPr>
        <w:t>83</w:t>
      </w:r>
      <w:r>
        <w:rPr>
          <w:rFonts w:hint="default" w:ascii="宋体" w:hAnsi="宋体" w:eastAsia="宋体" w:cs="宋体"/>
          <w:bCs/>
          <w:color w:val="auto"/>
          <w:sz w:val="24"/>
          <w:szCs w:val="24"/>
          <w:lang w:val="en-US" w:eastAsia="zh-CN"/>
        </w:rPr>
        <w:t>人，占1</w:t>
      </w:r>
      <w:r>
        <w:rPr>
          <w:rFonts w:hint="eastAsia" w:ascii="宋体" w:hAnsi="宋体" w:eastAsia="宋体" w:cs="宋体"/>
          <w:bCs/>
          <w:color w:val="auto"/>
          <w:sz w:val="24"/>
          <w:szCs w:val="24"/>
          <w:lang w:val="en-US" w:eastAsia="zh-CN"/>
        </w:rPr>
        <w:t>4.72</w:t>
      </w:r>
      <w:r>
        <w:rPr>
          <w:rFonts w:hint="default" w:ascii="宋体" w:hAnsi="宋体" w:eastAsia="宋体" w:cs="宋体"/>
          <w:bCs/>
          <w:color w:val="auto"/>
          <w:sz w:val="24"/>
          <w:szCs w:val="24"/>
          <w:lang w:val="en-US" w:eastAsia="zh-CN"/>
        </w:rPr>
        <w:t>%；国企、</w:t>
      </w:r>
      <w:r>
        <w:rPr>
          <w:rFonts w:hint="eastAsia" w:ascii="宋体" w:hAnsi="宋体" w:eastAsia="宋体" w:cs="宋体"/>
          <w:bCs/>
          <w:color w:val="auto"/>
          <w:sz w:val="24"/>
          <w:szCs w:val="24"/>
          <w:lang w:val="en-US" w:eastAsia="zh-CN"/>
        </w:rPr>
        <w:t>三资企业</w:t>
      </w:r>
      <w:r>
        <w:rPr>
          <w:rFonts w:hint="default" w:ascii="宋体" w:hAnsi="宋体" w:eastAsia="宋体" w:cs="宋体"/>
          <w:bCs/>
          <w:color w:val="auto"/>
          <w:sz w:val="24"/>
          <w:szCs w:val="24"/>
          <w:lang w:val="en-US" w:eastAsia="zh-CN"/>
        </w:rPr>
        <w:t>就业</w:t>
      </w:r>
      <w:r>
        <w:rPr>
          <w:rFonts w:hint="eastAsia" w:ascii="宋体" w:hAnsi="宋体" w:eastAsia="宋体" w:cs="宋体"/>
          <w:bCs/>
          <w:color w:val="auto"/>
          <w:sz w:val="24"/>
          <w:szCs w:val="24"/>
          <w:lang w:val="en-US" w:eastAsia="zh-CN"/>
        </w:rPr>
        <w:t>103</w:t>
      </w:r>
      <w:r>
        <w:rPr>
          <w:rFonts w:hint="default" w:ascii="宋体" w:hAnsi="宋体" w:eastAsia="宋体" w:cs="宋体"/>
          <w:bCs/>
          <w:color w:val="auto"/>
          <w:sz w:val="24"/>
          <w:szCs w:val="24"/>
          <w:lang w:val="en-US" w:eastAsia="zh-CN"/>
        </w:rPr>
        <w:t>人，占</w:t>
      </w:r>
      <w:r>
        <w:rPr>
          <w:rFonts w:hint="eastAsia" w:ascii="宋体" w:hAnsi="宋体" w:eastAsia="宋体" w:cs="宋体"/>
          <w:bCs/>
          <w:color w:val="auto"/>
          <w:sz w:val="24"/>
          <w:szCs w:val="24"/>
          <w:lang w:val="en-US" w:eastAsia="zh-CN"/>
        </w:rPr>
        <w:t>18.26</w:t>
      </w:r>
      <w:r>
        <w:rPr>
          <w:rFonts w:hint="default" w:ascii="宋体" w:hAnsi="宋体" w:eastAsia="宋体" w:cs="宋体"/>
          <w:bCs/>
          <w:color w:val="auto"/>
          <w:sz w:val="24"/>
          <w:szCs w:val="24"/>
          <w:lang w:val="en-US" w:eastAsia="zh-CN"/>
        </w:rPr>
        <w:t>%；公务员、事业单位</w:t>
      </w:r>
      <w:r>
        <w:rPr>
          <w:rFonts w:hint="eastAsia" w:ascii="宋体" w:hAnsi="宋体" w:eastAsia="宋体" w:cs="宋体"/>
          <w:bCs/>
          <w:color w:val="auto"/>
          <w:sz w:val="24"/>
          <w:szCs w:val="24"/>
          <w:lang w:val="en-US" w:eastAsia="zh-CN"/>
        </w:rPr>
        <w:t>7</w:t>
      </w:r>
      <w:r>
        <w:rPr>
          <w:rFonts w:hint="default" w:ascii="宋体" w:hAnsi="宋体" w:eastAsia="宋体" w:cs="宋体"/>
          <w:bCs/>
          <w:color w:val="auto"/>
          <w:sz w:val="24"/>
          <w:szCs w:val="24"/>
          <w:lang w:val="en-US" w:eastAsia="zh-CN"/>
        </w:rPr>
        <w:t>人，占</w:t>
      </w:r>
      <w:r>
        <w:rPr>
          <w:rFonts w:hint="eastAsia" w:ascii="宋体" w:hAnsi="宋体" w:eastAsia="宋体" w:cs="宋体"/>
          <w:bCs/>
          <w:color w:val="auto"/>
          <w:sz w:val="24"/>
          <w:szCs w:val="24"/>
          <w:lang w:val="en-US" w:eastAsia="zh-CN"/>
        </w:rPr>
        <w:t>1.24</w:t>
      </w:r>
      <w:r>
        <w:rPr>
          <w:rFonts w:hint="default" w:ascii="宋体" w:hAnsi="宋体" w:eastAsia="宋体" w:cs="宋体"/>
          <w:bCs/>
          <w:color w:val="auto"/>
          <w:sz w:val="24"/>
          <w:szCs w:val="24"/>
          <w:lang w:val="en-US" w:eastAsia="zh-CN"/>
        </w:rPr>
        <w:t>%；自主创业</w:t>
      </w:r>
      <w:r>
        <w:rPr>
          <w:rFonts w:hint="eastAsia" w:ascii="宋体" w:hAnsi="宋体" w:eastAsia="宋体" w:cs="宋体"/>
          <w:bCs/>
          <w:color w:val="auto"/>
          <w:sz w:val="24"/>
          <w:szCs w:val="24"/>
          <w:lang w:val="en-US" w:eastAsia="zh-CN"/>
        </w:rPr>
        <w:t>1</w:t>
      </w:r>
      <w:r>
        <w:rPr>
          <w:rFonts w:hint="default" w:ascii="宋体" w:hAnsi="宋体" w:eastAsia="宋体" w:cs="宋体"/>
          <w:bCs/>
          <w:color w:val="auto"/>
          <w:sz w:val="24"/>
          <w:szCs w:val="24"/>
          <w:lang w:val="en-US" w:eastAsia="zh-CN"/>
        </w:rPr>
        <w:t>人，占0.</w:t>
      </w:r>
      <w:r>
        <w:rPr>
          <w:rFonts w:hint="eastAsia" w:ascii="宋体" w:hAnsi="宋体" w:eastAsia="宋体" w:cs="宋体"/>
          <w:bCs/>
          <w:color w:val="auto"/>
          <w:sz w:val="24"/>
          <w:szCs w:val="24"/>
          <w:lang w:val="en-US" w:eastAsia="zh-CN"/>
        </w:rPr>
        <w:t>18</w:t>
      </w:r>
      <w:r>
        <w:rPr>
          <w:rFonts w:hint="default" w:ascii="宋体" w:hAnsi="宋体" w:eastAsia="宋体" w:cs="宋体"/>
          <w:bCs/>
          <w:color w:val="auto"/>
          <w:sz w:val="24"/>
          <w:szCs w:val="24"/>
          <w:lang w:val="en-US" w:eastAsia="zh-CN"/>
        </w:rPr>
        <w:t>%。</w:t>
      </w:r>
    </w:p>
    <w:p>
      <w:pPr>
        <w:spacing w:line="360" w:lineRule="auto"/>
        <w:jc w:val="both"/>
        <w:rPr>
          <w:rFonts w:hint="default" w:ascii="宋体" w:hAnsi="宋体" w:eastAsia="宋体" w:cs="宋体"/>
          <w:b/>
          <w:bCs w:val="0"/>
          <w:color w:val="auto"/>
          <w:sz w:val="24"/>
          <w:szCs w:val="24"/>
          <w:highlight w:val="none"/>
          <w:lang w:val="en-US" w:eastAsia="zh-CN"/>
        </w:rPr>
      </w:pPr>
      <w:r>
        <w:rPr>
          <w:rFonts w:hint="eastAsia"/>
          <w:color w:val="auto"/>
          <w:sz w:val="28"/>
          <w:szCs w:val="28"/>
          <w:highlight w:val="none"/>
          <w:lang w:val="en-US" w:eastAsia="zh-CN"/>
        </w:rPr>
        <w:t xml:space="preserve">    </w:t>
      </w:r>
      <w:r>
        <w:rPr>
          <w:rFonts w:hint="eastAsia" w:ascii="宋体" w:hAnsi="宋体" w:eastAsia="宋体" w:cs="宋体"/>
          <w:b/>
          <w:bCs w:val="0"/>
          <w:color w:val="auto"/>
          <w:sz w:val="24"/>
          <w:szCs w:val="24"/>
          <w:highlight w:val="none"/>
          <w:lang w:val="en-US" w:eastAsia="zh-CN"/>
        </w:rPr>
        <w:t>第七部分：毕业生基层就业情况</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firstLine="480" w:firstLineChars="200"/>
        <w:jc w:val="both"/>
        <w:textAlignment w:val="auto"/>
        <w:outlineLvl w:val="9"/>
        <w:rPr>
          <w:rFonts w:hint="default" w:ascii="宋体" w:hAnsi="宋体" w:eastAsia="宋体" w:cs="宋体"/>
          <w:b w:val="0"/>
          <w:bCs/>
          <w:color w:val="auto"/>
          <w:sz w:val="24"/>
          <w:szCs w:val="24"/>
          <w:highlight w:val="none"/>
          <w:lang w:val="en-US" w:eastAsia="zh-CN"/>
        </w:rPr>
      </w:pPr>
      <w:r>
        <w:rPr>
          <w:rFonts w:hint="eastAsia" w:ascii="宋体" w:hAnsi="宋体" w:eastAsia="宋体" w:cs="宋体"/>
          <w:b w:val="0"/>
          <w:bCs/>
          <w:color w:val="auto"/>
          <w:sz w:val="24"/>
          <w:szCs w:val="24"/>
          <w:highlight w:val="none"/>
          <w:lang w:val="en-US" w:eastAsia="zh-CN"/>
        </w:rPr>
        <w:t>近三年来，我院积极鼓励毕业生到基层就业。2019年我院基层就业4人，15电子信息工程李虎为西藏专招，15通信工程宋佳琪为选调生，15自动化冯一达为新疆专招，15自动化刘正兴为西部计划。2021年我院基层就业3人，17机械自动化（2）蒋祖辉同学通过选调生考试进入安徽省六安市乡政府；17机械自动化（3）张垚同学通过选调生考试进入安徽省淮南市乡政府。17材料成型及控制工程程源同学通过公务员考试进入马鞍山市雨山区人社局。2022年我院基层就业7人，</w:t>
      </w:r>
      <w:r>
        <w:rPr>
          <w:rFonts w:hint="default" w:ascii="宋体" w:hAnsi="宋体" w:eastAsia="宋体" w:cs="宋体"/>
          <w:b w:val="0"/>
          <w:bCs/>
          <w:color w:val="auto"/>
          <w:sz w:val="24"/>
          <w:szCs w:val="24"/>
          <w:highlight w:val="none"/>
          <w:lang w:val="en-US" w:eastAsia="zh-CN"/>
        </w:rPr>
        <w:t>18材料控制周晨宇</w:t>
      </w:r>
      <w:r>
        <w:rPr>
          <w:rFonts w:hint="eastAsia" w:ascii="宋体" w:hAnsi="宋体" w:eastAsia="宋体" w:cs="宋体"/>
          <w:b w:val="0"/>
          <w:bCs/>
          <w:color w:val="auto"/>
          <w:sz w:val="24"/>
          <w:szCs w:val="24"/>
          <w:highlight w:val="none"/>
          <w:lang w:val="en-US" w:eastAsia="zh-CN"/>
        </w:rPr>
        <w:t>通过考试进入</w:t>
      </w:r>
      <w:r>
        <w:rPr>
          <w:rFonts w:hint="default" w:ascii="宋体" w:hAnsi="宋体" w:eastAsia="宋体" w:cs="宋体"/>
          <w:b w:val="0"/>
          <w:bCs/>
          <w:color w:val="auto"/>
          <w:sz w:val="24"/>
          <w:szCs w:val="24"/>
          <w:highlight w:val="none"/>
          <w:lang w:val="en-US" w:eastAsia="zh-CN"/>
        </w:rPr>
        <w:t>天津市公安局</w:t>
      </w:r>
      <w:r>
        <w:rPr>
          <w:rFonts w:hint="eastAsia" w:ascii="宋体" w:hAnsi="宋体" w:eastAsia="宋体" w:cs="宋体"/>
          <w:b w:val="0"/>
          <w:bCs/>
          <w:color w:val="auto"/>
          <w:sz w:val="24"/>
          <w:szCs w:val="24"/>
          <w:highlight w:val="none"/>
          <w:lang w:val="en-US" w:eastAsia="zh-CN"/>
        </w:rPr>
        <w:t>，</w:t>
      </w:r>
      <w:r>
        <w:rPr>
          <w:rFonts w:hint="default" w:ascii="宋体" w:hAnsi="宋体" w:eastAsia="宋体" w:cs="宋体"/>
          <w:b w:val="0"/>
          <w:bCs/>
          <w:color w:val="auto"/>
          <w:sz w:val="24"/>
          <w:szCs w:val="24"/>
          <w:highlight w:val="none"/>
          <w:lang w:val="en-US" w:eastAsia="zh-CN"/>
        </w:rPr>
        <w:t>18材料控制李泊臻</w:t>
      </w:r>
      <w:r>
        <w:rPr>
          <w:rFonts w:hint="eastAsia" w:ascii="宋体" w:hAnsi="宋体" w:eastAsia="宋体" w:cs="宋体"/>
          <w:b w:val="0"/>
          <w:bCs/>
          <w:color w:val="auto"/>
          <w:sz w:val="24"/>
          <w:szCs w:val="24"/>
          <w:highlight w:val="none"/>
          <w:lang w:val="en-US" w:eastAsia="zh-CN"/>
        </w:rPr>
        <w:t>通过考试进入</w:t>
      </w:r>
      <w:r>
        <w:rPr>
          <w:rFonts w:hint="default" w:ascii="宋体" w:hAnsi="宋体" w:eastAsia="宋体" w:cs="宋体"/>
          <w:b w:val="0"/>
          <w:bCs/>
          <w:color w:val="auto"/>
          <w:sz w:val="24"/>
          <w:szCs w:val="24"/>
          <w:highlight w:val="none"/>
          <w:lang w:val="en-US" w:eastAsia="zh-CN"/>
        </w:rPr>
        <w:t>汤原县粮食局</w:t>
      </w:r>
      <w:r>
        <w:rPr>
          <w:rFonts w:hint="eastAsia" w:ascii="宋体" w:hAnsi="宋体" w:eastAsia="宋体" w:cs="宋体"/>
          <w:b w:val="0"/>
          <w:bCs/>
          <w:color w:val="auto"/>
          <w:sz w:val="24"/>
          <w:szCs w:val="24"/>
          <w:highlight w:val="none"/>
          <w:lang w:val="en-US" w:eastAsia="zh-CN"/>
        </w:rPr>
        <w:t>，</w:t>
      </w:r>
      <w:r>
        <w:rPr>
          <w:rFonts w:hint="default" w:ascii="宋体" w:hAnsi="宋体" w:eastAsia="宋体" w:cs="宋体"/>
          <w:b w:val="0"/>
          <w:bCs/>
          <w:color w:val="auto"/>
          <w:sz w:val="24"/>
          <w:szCs w:val="24"/>
          <w:highlight w:val="none"/>
          <w:lang w:val="en-US" w:eastAsia="zh-CN"/>
        </w:rPr>
        <w:t>18材料控制宁俊儒</w:t>
      </w:r>
      <w:r>
        <w:rPr>
          <w:rFonts w:hint="eastAsia" w:ascii="宋体" w:hAnsi="宋体" w:eastAsia="宋体" w:cs="宋体"/>
          <w:b w:val="0"/>
          <w:bCs/>
          <w:color w:val="auto"/>
          <w:sz w:val="24"/>
          <w:szCs w:val="24"/>
          <w:highlight w:val="none"/>
          <w:lang w:val="en-US" w:eastAsia="zh-CN"/>
        </w:rPr>
        <w:t>通过考试进入</w:t>
      </w:r>
      <w:r>
        <w:rPr>
          <w:rFonts w:hint="default" w:ascii="宋体" w:hAnsi="宋体" w:eastAsia="宋体" w:cs="宋体"/>
          <w:b w:val="0"/>
          <w:bCs/>
          <w:color w:val="auto"/>
          <w:sz w:val="24"/>
          <w:szCs w:val="24"/>
          <w:highlight w:val="none"/>
          <w:lang w:val="en-US" w:eastAsia="zh-CN"/>
        </w:rPr>
        <w:t>广元市昭化区柏林沟镇小学</w:t>
      </w:r>
      <w:r>
        <w:rPr>
          <w:rFonts w:hint="eastAsia" w:ascii="宋体" w:hAnsi="宋体" w:eastAsia="宋体" w:cs="宋体"/>
          <w:b w:val="0"/>
          <w:bCs/>
          <w:color w:val="auto"/>
          <w:sz w:val="24"/>
          <w:szCs w:val="24"/>
          <w:highlight w:val="none"/>
          <w:lang w:val="en-US" w:eastAsia="zh-CN"/>
        </w:rPr>
        <w:t>，</w:t>
      </w:r>
      <w:r>
        <w:rPr>
          <w:rFonts w:hint="default" w:ascii="宋体" w:hAnsi="宋体" w:eastAsia="宋体" w:cs="宋体"/>
          <w:b w:val="0"/>
          <w:bCs/>
          <w:color w:val="auto"/>
          <w:sz w:val="24"/>
          <w:szCs w:val="24"/>
          <w:highlight w:val="none"/>
          <w:lang w:val="en-US" w:eastAsia="zh-CN"/>
        </w:rPr>
        <w:t>18材料控制郑昕昀</w:t>
      </w:r>
      <w:r>
        <w:rPr>
          <w:rFonts w:hint="eastAsia" w:ascii="宋体" w:hAnsi="宋体" w:eastAsia="宋体" w:cs="宋体"/>
          <w:b w:val="0"/>
          <w:bCs/>
          <w:color w:val="auto"/>
          <w:sz w:val="24"/>
          <w:szCs w:val="24"/>
          <w:highlight w:val="none"/>
          <w:lang w:val="en-US" w:eastAsia="zh-CN"/>
        </w:rPr>
        <w:t>通过考试进入</w:t>
      </w:r>
      <w:r>
        <w:rPr>
          <w:rFonts w:hint="default" w:ascii="宋体" w:hAnsi="宋体" w:eastAsia="宋体" w:cs="宋体"/>
          <w:b w:val="0"/>
          <w:bCs/>
          <w:color w:val="auto"/>
          <w:sz w:val="24"/>
          <w:szCs w:val="24"/>
          <w:highlight w:val="none"/>
          <w:lang w:val="en-US" w:eastAsia="zh-CN"/>
        </w:rPr>
        <w:t>平湖市独山港中学</w:t>
      </w:r>
      <w:r>
        <w:rPr>
          <w:rFonts w:hint="eastAsia" w:ascii="宋体" w:hAnsi="宋体" w:eastAsia="宋体" w:cs="宋体"/>
          <w:b w:val="0"/>
          <w:bCs/>
          <w:color w:val="auto"/>
          <w:sz w:val="24"/>
          <w:szCs w:val="24"/>
          <w:highlight w:val="none"/>
          <w:lang w:val="en-US" w:eastAsia="zh-CN"/>
        </w:rPr>
        <w:t>，</w:t>
      </w:r>
      <w:r>
        <w:rPr>
          <w:rFonts w:hint="default" w:ascii="宋体" w:hAnsi="宋体" w:eastAsia="宋体" w:cs="宋体"/>
          <w:b w:val="0"/>
          <w:bCs/>
          <w:color w:val="auto"/>
          <w:sz w:val="24"/>
          <w:szCs w:val="24"/>
          <w:highlight w:val="none"/>
          <w:lang w:val="en-US" w:eastAsia="zh-CN"/>
        </w:rPr>
        <w:t>17电子信息工程（2+3）李子恒</w:t>
      </w:r>
      <w:r>
        <w:rPr>
          <w:rFonts w:hint="eastAsia" w:ascii="宋体" w:hAnsi="宋体" w:eastAsia="宋体" w:cs="宋体"/>
          <w:b w:val="0"/>
          <w:bCs/>
          <w:color w:val="auto"/>
          <w:sz w:val="24"/>
          <w:szCs w:val="24"/>
          <w:highlight w:val="none"/>
          <w:lang w:val="en-US" w:eastAsia="zh-CN"/>
        </w:rPr>
        <w:t>通过考试进入</w:t>
      </w:r>
      <w:r>
        <w:rPr>
          <w:rFonts w:hint="default" w:ascii="宋体" w:hAnsi="宋体" w:eastAsia="宋体" w:cs="宋体"/>
          <w:b w:val="0"/>
          <w:bCs/>
          <w:color w:val="auto"/>
          <w:sz w:val="24"/>
          <w:szCs w:val="24"/>
          <w:highlight w:val="none"/>
          <w:lang w:val="en-US" w:eastAsia="zh-CN"/>
        </w:rPr>
        <w:t>国家税务总局无为市税务局</w:t>
      </w:r>
      <w:r>
        <w:rPr>
          <w:rFonts w:hint="eastAsia" w:ascii="宋体" w:hAnsi="宋体" w:eastAsia="宋体" w:cs="宋体"/>
          <w:b w:val="0"/>
          <w:bCs/>
          <w:color w:val="auto"/>
          <w:sz w:val="24"/>
          <w:szCs w:val="24"/>
          <w:highlight w:val="none"/>
          <w:lang w:val="en-US" w:eastAsia="zh-CN"/>
        </w:rPr>
        <w:t>，</w:t>
      </w:r>
      <w:r>
        <w:rPr>
          <w:rFonts w:hint="default" w:ascii="宋体" w:hAnsi="宋体" w:eastAsia="宋体" w:cs="宋体"/>
          <w:b w:val="0"/>
          <w:bCs/>
          <w:color w:val="auto"/>
          <w:sz w:val="24"/>
          <w:szCs w:val="24"/>
          <w:highlight w:val="none"/>
          <w:lang w:val="en-US" w:eastAsia="zh-CN"/>
        </w:rPr>
        <w:t>18电子信息工程(1)邱鑫</w:t>
      </w:r>
      <w:r>
        <w:rPr>
          <w:rFonts w:hint="eastAsia" w:ascii="宋体" w:hAnsi="宋体" w:eastAsia="宋体" w:cs="宋体"/>
          <w:b w:val="0"/>
          <w:bCs/>
          <w:color w:val="auto"/>
          <w:sz w:val="24"/>
          <w:szCs w:val="24"/>
          <w:highlight w:val="none"/>
          <w:lang w:val="en-US" w:eastAsia="zh-CN"/>
        </w:rPr>
        <w:t>通过考试进入</w:t>
      </w:r>
      <w:r>
        <w:rPr>
          <w:rFonts w:hint="default" w:ascii="宋体" w:hAnsi="宋体" w:eastAsia="宋体" w:cs="宋体"/>
          <w:b w:val="0"/>
          <w:bCs/>
          <w:color w:val="auto"/>
          <w:sz w:val="24"/>
          <w:szCs w:val="24"/>
          <w:highlight w:val="none"/>
          <w:lang w:val="en-US" w:eastAsia="zh-CN"/>
        </w:rPr>
        <w:t>国家税务总局成都市青白江区税务局</w:t>
      </w:r>
      <w:r>
        <w:rPr>
          <w:rFonts w:hint="eastAsia" w:ascii="宋体" w:hAnsi="宋体" w:eastAsia="宋体" w:cs="宋体"/>
          <w:b w:val="0"/>
          <w:bCs/>
          <w:color w:val="auto"/>
          <w:sz w:val="24"/>
          <w:szCs w:val="24"/>
          <w:highlight w:val="none"/>
          <w:lang w:val="en-US" w:eastAsia="zh-CN"/>
        </w:rPr>
        <w:t>，</w:t>
      </w:r>
      <w:r>
        <w:rPr>
          <w:rFonts w:hint="default" w:ascii="宋体" w:hAnsi="宋体" w:eastAsia="宋体" w:cs="宋体"/>
          <w:b w:val="0"/>
          <w:bCs/>
          <w:color w:val="auto"/>
          <w:sz w:val="24"/>
          <w:szCs w:val="24"/>
          <w:highlight w:val="none"/>
          <w:lang w:val="en-US" w:eastAsia="zh-CN"/>
        </w:rPr>
        <w:t>18通信工程(1)赵伟瑞</w:t>
      </w:r>
      <w:r>
        <w:rPr>
          <w:rFonts w:hint="eastAsia" w:ascii="宋体" w:hAnsi="宋体" w:eastAsia="宋体" w:cs="宋体"/>
          <w:b w:val="0"/>
          <w:bCs/>
          <w:color w:val="auto"/>
          <w:sz w:val="24"/>
          <w:szCs w:val="24"/>
          <w:highlight w:val="none"/>
          <w:lang w:val="en-US" w:eastAsia="zh-CN"/>
        </w:rPr>
        <w:t>通过考试进入</w:t>
      </w:r>
      <w:r>
        <w:rPr>
          <w:rFonts w:hint="default" w:ascii="宋体" w:hAnsi="宋体" w:eastAsia="宋体" w:cs="宋体"/>
          <w:b w:val="0"/>
          <w:bCs/>
          <w:color w:val="auto"/>
          <w:sz w:val="24"/>
          <w:szCs w:val="24"/>
          <w:highlight w:val="none"/>
          <w:lang w:val="en-US" w:eastAsia="zh-CN"/>
        </w:rPr>
        <w:t>仁寿县人民法院</w:t>
      </w:r>
      <w:r>
        <w:rPr>
          <w:rFonts w:hint="eastAsia" w:ascii="宋体" w:hAnsi="宋体" w:eastAsia="宋体" w:cs="宋体"/>
          <w:b w:val="0"/>
          <w:bCs/>
          <w:color w:val="auto"/>
          <w:sz w:val="24"/>
          <w:szCs w:val="24"/>
          <w:highlight w:val="none"/>
          <w:lang w:val="en-US" w:eastAsia="zh-CN"/>
        </w:rPr>
        <w:t>。</w:t>
      </w:r>
    </w:p>
    <w:p>
      <w:pPr>
        <w:spacing w:line="360" w:lineRule="auto"/>
        <w:ind w:firstLine="482" w:firstLineChars="200"/>
        <w:jc w:val="both"/>
        <w:rPr>
          <w:rFonts w:hint="eastAsia" w:ascii="宋体" w:hAnsi="宋体" w:eastAsia="宋体" w:cs="宋体"/>
          <w:b/>
          <w:bCs w:val="0"/>
          <w:color w:val="auto"/>
          <w:sz w:val="24"/>
          <w:szCs w:val="24"/>
          <w:lang w:val="en-US" w:eastAsia="zh-CN"/>
        </w:rPr>
      </w:pPr>
      <w:r>
        <w:rPr>
          <w:rFonts w:hint="eastAsia" w:ascii="宋体" w:hAnsi="宋体" w:eastAsia="宋体" w:cs="宋体"/>
          <w:b/>
          <w:bCs w:val="0"/>
          <w:color w:val="auto"/>
          <w:sz w:val="24"/>
          <w:szCs w:val="24"/>
          <w:lang w:val="en-US" w:eastAsia="zh-CN"/>
        </w:rPr>
        <w:t>第八部分：毕业生创业情况及典型案例</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left"/>
        <w:outlineLvl w:val="9"/>
        <w:rPr>
          <w:rFonts w:hint="eastAsia" w:ascii="宋体" w:hAnsi="宋体" w:eastAsia="宋体" w:cs="宋体"/>
          <w:b w:val="0"/>
          <w:bCs/>
          <w:color w:val="auto"/>
          <w:sz w:val="24"/>
          <w:szCs w:val="24"/>
          <w:lang w:eastAsia="zh-CN"/>
        </w:rPr>
      </w:pPr>
      <w:r>
        <w:rPr>
          <w:rFonts w:hint="eastAsia" w:ascii="宋体" w:hAnsi="宋体" w:eastAsia="宋体" w:cs="宋体"/>
          <w:b w:val="0"/>
          <w:bCs/>
          <w:color w:val="auto"/>
          <w:sz w:val="24"/>
          <w:szCs w:val="24"/>
          <w:lang w:eastAsia="zh-CN"/>
        </w:rPr>
        <w:t>大学生创业是大学生将书本知识与实践能力相结合的最直接的方式之一，也是大学生运用书本知识、解决实际问题的能力表现。</w:t>
      </w:r>
      <w:r>
        <w:rPr>
          <w:rFonts w:hint="eastAsia" w:ascii="宋体" w:hAnsi="宋体" w:eastAsia="宋体" w:cs="宋体"/>
          <w:b w:val="0"/>
          <w:bCs/>
          <w:color w:val="auto"/>
          <w:sz w:val="24"/>
          <w:szCs w:val="24"/>
          <w:lang w:val="en-US" w:eastAsia="zh-CN"/>
        </w:rPr>
        <w:t>先进制造工程学院</w:t>
      </w:r>
      <w:r>
        <w:rPr>
          <w:rFonts w:hint="eastAsia" w:ascii="宋体" w:hAnsi="宋体" w:eastAsia="宋体" w:cs="宋体"/>
          <w:b w:val="0"/>
          <w:bCs/>
          <w:color w:val="auto"/>
          <w:sz w:val="24"/>
          <w:szCs w:val="24"/>
          <w:lang w:eastAsia="zh-CN"/>
        </w:rPr>
        <w:t>领导和老师十分重视我</w:t>
      </w:r>
      <w:r>
        <w:rPr>
          <w:rFonts w:hint="eastAsia" w:ascii="宋体" w:hAnsi="宋体" w:eastAsia="宋体" w:cs="宋体"/>
          <w:b w:val="0"/>
          <w:bCs/>
          <w:color w:val="auto"/>
          <w:sz w:val="24"/>
          <w:szCs w:val="24"/>
          <w:lang w:val="en-US" w:eastAsia="zh-CN"/>
        </w:rPr>
        <w:t>院</w:t>
      </w:r>
      <w:r>
        <w:rPr>
          <w:rFonts w:hint="eastAsia" w:ascii="宋体" w:hAnsi="宋体" w:eastAsia="宋体" w:cs="宋体"/>
          <w:b w:val="0"/>
          <w:bCs/>
          <w:color w:val="auto"/>
          <w:sz w:val="24"/>
          <w:szCs w:val="24"/>
          <w:lang w:eastAsia="zh-CN"/>
        </w:rPr>
        <w:t>学生的创业工作，不仅利用就业指导课教授学生有关创业的基本知识、增强学生的创业意识，还鼓励有条件、有想法的学生亲自动手锻炼，培养自身的创业实践能力。</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left"/>
        <w:outlineLvl w:val="9"/>
        <w:rPr>
          <w:rFonts w:hint="eastAsia" w:ascii="宋体" w:hAnsi="宋体" w:eastAsia="宋体" w:cs="宋体"/>
          <w:b w:val="0"/>
          <w:bCs/>
          <w:color w:val="auto"/>
          <w:sz w:val="24"/>
          <w:szCs w:val="24"/>
          <w:lang w:val="en-US" w:eastAsia="zh-CN"/>
        </w:rPr>
      </w:pPr>
      <w:r>
        <w:rPr>
          <w:rFonts w:hint="eastAsia" w:ascii="宋体" w:hAnsi="宋体" w:eastAsia="宋体" w:cs="宋体"/>
          <w:b w:val="0"/>
          <w:bCs/>
          <w:color w:val="auto"/>
          <w:sz w:val="24"/>
          <w:szCs w:val="24"/>
          <w:lang w:val="en-US" w:eastAsia="zh-CN"/>
        </w:rPr>
        <w:t>在院系领导的关心和帮助下，在我院全体教师的鼓励配合下，近年来</w:t>
      </w:r>
      <w:r>
        <w:rPr>
          <w:rFonts w:hint="eastAsia" w:ascii="宋体" w:hAnsi="宋体" w:eastAsia="宋体" w:cs="宋体"/>
          <w:b w:val="0"/>
          <w:bCs/>
          <w:color w:val="auto"/>
          <w:sz w:val="24"/>
          <w:szCs w:val="24"/>
          <w:lang w:eastAsia="zh-CN"/>
        </w:rPr>
        <w:t>，我</w:t>
      </w:r>
      <w:r>
        <w:rPr>
          <w:rFonts w:hint="eastAsia" w:ascii="宋体" w:hAnsi="宋体" w:eastAsia="宋体" w:cs="宋体"/>
          <w:b w:val="0"/>
          <w:bCs/>
          <w:color w:val="auto"/>
          <w:sz w:val="24"/>
          <w:szCs w:val="24"/>
          <w:lang w:val="en-US" w:eastAsia="zh-CN"/>
        </w:rPr>
        <w:t>院</w:t>
      </w:r>
      <w:r>
        <w:rPr>
          <w:rFonts w:hint="eastAsia" w:ascii="宋体" w:hAnsi="宋体" w:eastAsia="宋体" w:cs="宋体"/>
          <w:b w:val="0"/>
          <w:bCs/>
          <w:color w:val="auto"/>
          <w:sz w:val="24"/>
          <w:szCs w:val="24"/>
          <w:lang w:eastAsia="zh-CN"/>
        </w:rPr>
        <w:t>学生创业工作取得显著成绩，创业的同学数量较往年增多。下面，就我</w:t>
      </w:r>
      <w:r>
        <w:rPr>
          <w:rFonts w:hint="eastAsia" w:ascii="宋体" w:hAnsi="宋体" w:eastAsia="宋体" w:cs="宋体"/>
          <w:b w:val="0"/>
          <w:bCs/>
          <w:color w:val="auto"/>
          <w:sz w:val="24"/>
          <w:szCs w:val="24"/>
          <w:lang w:val="en-US" w:eastAsia="zh-CN"/>
        </w:rPr>
        <w:t>院</w:t>
      </w:r>
      <w:r>
        <w:rPr>
          <w:rFonts w:hint="eastAsia" w:ascii="宋体" w:hAnsi="宋体" w:eastAsia="宋体" w:cs="宋体"/>
          <w:b w:val="0"/>
          <w:bCs/>
          <w:color w:val="auto"/>
          <w:sz w:val="24"/>
          <w:szCs w:val="24"/>
          <w:lang w:eastAsia="zh-CN"/>
        </w:rPr>
        <w:t>学生创业典型案例做总结：</w:t>
      </w:r>
    </w:p>
    <w:p>
      <w:pPr>
        <w:keepNext w:val="0"/>
        <w:keepLines w:val="0"/>
        <w:pageBreakBefore w:val="0"/>
        <w:widowControl w:val="0"/>
        <w:kinsoku/>
        <w:wordWrap/>
        <w:overflowPunct/>
        <w:topLinePunct w:val="0"/>
        <w:autoSpaceDE/>
        <w:autoSpaceDN/>
        <w:bidi w:val="0"/>
        <w:adjustRightInd/>
        <w:snapToGrid/>
        <w:spacing w:line="360" w:lineRule="auto"/>
        <w:ind w:right="0" w:rightChars="0"/>
        <w:jc w:val="left"/>
        <w:outlineLvl w:val="9"/>
        <w:rPr>
          <w:rFonts w:hint="eastAsia" w:ascii="宋体" w:hAnsi="宋体" w:eastAsia="宋体" w:cs="宋体"/>
          <w:b w:val="0"/>
          <w:bCs/>
          <w:color w:val="auto"/>
          <w:sz w:val="24"/>
          <w:szCs w:val="24"/>
          <w:lang w:val="en-US" w:eastAsia="zh-CN"/>
        </w:rPr>
      </w:pPr>
      <w:r>
        <w:rPr>
          <w:rFonts w:hint="eastAsia" w:ascii="宋体" w:hAnsi="宋体" w:eastAsia="宋体" w:cs="宋体"/>
          <w:b w:val="0"/>
          <w:bCs/>
          <w:color w:val="auto"/>
          <w:sz w:val="24"/>
          <w:szCs w:val="24"/>
          <w:lang w:val="en-US" w:eastAsia="zh-CN"/>
        </w:rPr>
        <w:t>　　（1）2019届自动化专业毕业生魏静海创办山西怀海教育科技有限公司，公司所在地太原，注册资金100万、员工5人。</w:t>
      </w:r>
    </w:p>
    <w:p>
      <w:pPr>
        <w:keepNext w:val="0"/>
        <w:keepLines w:val="0"/>
        <w:pageBreakBefore w:val="0"/>
        <w:widowControl w:val="0"/>
        <w:kinsoku/>
        <w:wordWrap/>
        <w:overflowPunct/>
        <w:topLinePunct w:val="0"/>
        <w:autoSpaceDE/>
        <w:autoSpaceDN/>
        <w:bidi w:val="0"/>
        <w:adjustRightInd/>
        <w:snapToGrid/>
        <w:spacing w:line="360" w:lineRule="auto"/>
        <w:ind w:right="0" w:rightChars="0"/>
        <w:jc w:val="left"/>
        <w:outlineLvl w:val="9"/>
        <w:rPr>
          <w:rFonts w:hint="eastAsia" w:ascii="宋体" w:hAnsi="宋体" w:eastAsia="宋体" w:cs="宋体"/>
          <w:b w:val="0"/>
          <w:bCs/>
          <w:color w:val="auto"/>
          <w:sz w:val="24"/>
          <w:szCs w:val="24"/>
          <w:lang w:val="en-US" w:eastAsia="zh-CN"/>
        </w:rPr>
      </w:pPr>
      <w:r>
        <w:rPr>
          <w:rFonts w:hint="eastAsia" w:ascii="宋体" w:hAnsi="宋体" w:eastAsia="宋体" w:cs="宋体"/>
          <w:b w:val="0"/>
          <w:bCs/>
          <w:color w:val="auto"/>
          <w:sz w:val="24"/>
          <w:szCs w:val="24"/>
          <w:lang w:val="en-US" w:eastAsia="zh-CN"/>
        </w:rPr>
        <w:t>　　（2）2019届自动化专业毕业生薛晨阳创办安徽缤视网络传媒有限公司，公司所在地安徽，注册资金500万、员工12人。</w:t>
      </w:r>
    </w:p>
    <w:p>
      <w:pPr>
        <w:keepNext w:val="0"/>
        <w:keepLines w:val="0"/>
        <w:pageBreakBefore w:val="0"/>
        <w:widowControl w:val="0"/>
        <w:kinsoku/>
        <w:wordWrap/>
        <w:overflowPunct/>
        <w:topLinePunct w:val="0"/>
        <w:autoSpaceDE/>
        <w:autoSpaceDN/>
        <w:bidi w:val="0"/>
        <w:adjustRightInd/>
        <w:snapToGrid/>
        <w:spacing w:line="360" w:lineRule="auto"/>
        <w:ind w:right="0" w:rightChars="0"/>
        <w:jc w:val="left"/>
        <w:outlineLvl w:val="9"/>
        <w:rPr>
          <w:rFonts w:hint="eastAsia" w:ascii="宋体" w:hAnsi="宋体" w:eastAsia="宋体" w:cs="宋体"/>
          <w:b w:val="0"/>
          <w:bCs/>
          <w:color w:val="auto"/>
          <w:sz w:val="24"/>
          <w:szCs w:val="24"/>
          <w:lang w:val="en-US" w:eastAsia="zh-CN"/>
        </w:rPr>
      </w:pPr>
      <w:r>
        <w:rPr>
          <w:rFonts w:hint="eastAsia" w:ascii="宋体" w:hAnsi="宋体" w:eastAsia="宋体" w:cs="宋体"/>
          <w:b w:val="0"/>
          <w:bCs/>
          <w:color w:val="auto"/>
          <w:sz w:val="24"/>
          <w:szCs w:val="24"/>
          <w:lang w:val="en-US" w:eastAsia="zh-CN"/>
        </w:rPr>
        <w:t>　　（3）2020届电子信息专业毕业生杨树良创办安徽锦釉新材料科技有限公司，公司所在地合肥，注册资金1000万、员工10人。</w:t>
      </w:r>
    </w:p>
    <w:p>
      <w:pPr>
        <w:keepNext w:val="0"/>
        <w:keepLines w:val="0"/>
        <w:pageBreakBefore w:val="0"/>
        <w:widowControl w:val="0"/>
        <w:kinsoku/>
        <w:wordWrap/>
        <w:overflowPunct/>
        <w:topLinePunct w:val="0"/>
        <w:autoSpaceDE/>
        <w:autoSpaceDN/>
        <w:bidi w:val="0"/>
        <w:adjustRightInd/>
        <w:snapToGrid/>
        <w:spacing w:line="360" w:lineRule="auto"/>
        <w:ind w:right="0" w:rightChars="0"/>
        <w:jc w:val="left"/>
        <w:outlineLvl w:val="9"/>
        <w:rPr>
          <w:rFonts w:hint="eastAsia" w:ascii="宋体" w:hAnsi="宋体" w:eastAsia="宋体" w:cs="宋体"/>
          <w:b w:val="0"/>
          <w:bCs/>
          <w:color w:val="auto"/>
          <w:sz w:val="24"/>
          <w:szCs w:val="24"/>
          <w:lang w:val="en-US" w:eastAsia="zh-CN"/>
        </w:rPr>
      </w:pPr>
      <w:r>
        <w:rPr>
          <w:rFonts w:hint="eastAsia" w:ascii="宋体" w:hAnsi="宋体" w:eastAsia="宋体" w:cs="宋体"/>
          <w:b w:val="0"/>
          <w:bCs/>
          <w:color w:val="auto"/>
          <w:sz w:val="24"/>
          <w:szCs w:val="24"/>
          <w:lang w:val="en-US" w:eastAsia="zh-CN"/>
        </w:rPr>
        <w:t>　　（4）2020届电子信息专业毕业生王凯创办安徽未来教育科技有限公司，公司所在地合肥，注册资金500万、员工5人。</w:t>
      </w:r>
    </w:p>
    <w:p>
      <w:pPr>
        <w:keepNext w:val="0"/>
        <w:keepLines w:val="0"/>
        <w:pageBreakBefore w:val="0"/>
        <w:widowControl w:val="0"/>
        <w:kinsoku/>
        <w:wordWrap/>
        <w:overflowPunct/>
        <w:topLinePunct w:val="0"/>
        <w:autoSpaceDE/>
        <w:autoSpaceDN/>
        <w:bidi w:val="0"/>
        <w:adjustRightInd/>
        <w:snapToGrid/>
        <w:spacing w:line="360" w:lineRule="auto"/>
        <w:ind w:right="0" w:rightChars="0" w:firstLine="480"/>
        <w:jc w:val="left"/>
        <w:outlineLvl w:val="9"/>
        <w:rPr>
          <w:rFonts w:hint="eastAsia" w:ascii="宋体" w:hAnsi="宋体" w:eastAsia="宋体" w:cs="宋体"/>
          <w:b w:val="0"/>
          <w:bCs/>
          <w:color w:val="auto"/>
          <w:sz w:val="24"/>
          <w:szCs w:val="24"/>
          <w:lang w:val="en-US" w:eastAsia="zh-CN"/>
        </w:rPr>
      </w:pPr>
      <w:r>
        <w:rPr>
          <w:rFonts w:hint="eastAsia" w:ascii="宋体" w:hAnsi="宋体" w:eastAsia="宋体" w:cs="宋体"/>
          <w:b w:val="0"/>
          <w:bCs/>
          <w:color w:val="auto"/>
          <w:sz w:val="24"/>
          <w:szCs w:val="24"/>
          <w:lang w:val="en-US" w:eastAsia="zh-CN"/>
        </w:rPr>
        <w:t>（5）2020届机械制造及其自动化专业毕业生吴凡创办上海天韫科技发展有限公司，公司所在地上海，注册资金1000万、员工3人。</w:t>
      </w:r>
    </w:p>
    <w:p>
      <w:pPr>
        <w:keepNext w:val="0"/>
        <w:keepLines w:val="0"/>
        <w:pageBreakBefore w:val="0"/>
        <w:widowControl w:val="0"/>
        <w:kinsoku/>
        <w:wordWrap/>
        <w:overflowPunct/>
        <w:topLinePunct w:val="0"/>
        <w:autoSpaceDE/>
        <w:autoSpaceDN/>
        <w:bidi w:val="0"/>
        <w:adjustRightInd/>
        <w:snapToGrid/>
        <w:spacing w:line="360" w:lineRule="auto"/>
        <w:ind w:right="0" w:rightChars="0" w:firstLine="480"/>
        <w:jc w:val="left"/>
        <w:outlineLvl w:val="9"/>
        <w:rPr>
          <w:rFonts w:hint="eastAsia" w:ascii="宋体" w:hAnsi="宋体" w:eastAsia="宋体" w:cs="宋体"/>
          <w:b w:val="0"/>
          <w:bCs/>
          <w:color w:val="auto"/>
          <w:sz w:val="24"/>
          <w:szCs w:val="24"/>
          <w:lang w:val="en-US" w:eastAsia="zh-CN"/>
        </w:rPr>
      </w:pPr>
      <w:r>
        <w:rPr>
          <w:rFonts w:hint="eastAsia" w:ascii="宋体" w:hAnsi="宋体" w:eastAsia="宋体" w:cs="宋体"/>
          <w:b w:val="0"/>
          <w:bCs/>
          <w:color w:val="auto"/>
          <w:sz w:val="24"/>
          <w:szCs w:val="24"/>
          <w:lang w:val="en-US" w:eastAsia="zh-CN"/>
        </w:rPr>
        <w:t>（6）2021届机械设计制造及其自动化专业毕业生李永昊创办合肥尚昊文化传媒有些公司，公司所在地合肥，注册资金10万、员工2人。</w:t>
      </w:r>
    </w:p>
    <w:p>
      <w:pPr>
        <w:keepNext w:val="0"/>
        <w:keepLines w:val="0"/>
        <w:pageBreakBefore w:val="0"/>
        <w:widowControl w:val="0"/>
        <w:kinsoku/>
        <w:wordWrap/>
        <w:overflowPunct/>
        <w:topLinePunct w:val="0"/>
        <w:autoSpaceDE/>
        <w:autoSpaceDN/>
        <w:bidi w:val="0"/>
        <w:adjustRightInd/>
        <w:snapToGrid/>
        <w:spacing w:line="360" w:lineRule="auto"/>
        <w:ind w:right="0" w:rightChars="0" w:firstLine="480"/>
        <w:jc w:val="left"/>
        <w:outlineLvl w:val="9"/>
        <w:rPr>
          <w:rFonts w:hint="eastAsia" w:ascii="宋体" w:hAnsi="宋体" w:eastAsia="宋体" w:cs="宋体"/>
          <w:b w:val="0"/>
          <w:bCs/>
          <w:color w:val="auto"/>
          <w:sz w:val="24"/>
          <w:szCs w:val="24"/>
          <w:lang w:val="en-US" w:eastAsia="zh-CN"/>
        </w:rPr>
      </w:pPr>
      <w:r>
        <w:rPr>
          <w:rFonts w:hint="eastAsia" w:ascii="宋体" w:hAnsi="宋体" w:eastAsia="宋体" w:cs="宋体"/>
          <w:b w:val="0"/>
          <w:bCs/>
          <w:color w:val="auto"/>
          <w:sz w:val="24"/>
          <w:szCs w:val="24"/>
          <w:lang w:val="en-US" w:eastAsia="zh-CN"/>
        </w:rPr>
        <w:t>（7）2021届机械设计制造及其自动化专业毕业生张豪创办合肥茶木熊文化发展有限公司，公司所在地合肥，注册资金10万、员工2人。</w:t>
      </w:r>
    </w:p>
    <w:p>
      <w:pPr>
        <w:keepNext w:val="0"/>
        <w:keepLines w:val="0"/>
        <w:pageBreakBefore w:val="0"/>
        <w:widowControl w:val="0"/>
        <w:kinsoku/>
        <w:wordWrap/>
        <w:overflowPunct/>
        <w:topLinePunct w:val="0"/>
        <w:autoSpaceDE/>
        <w:autoSpaceDN/>
        <w:bidi w:val="0"/>
        <w:adjustRightInd/>
        <w:snapToGrid/>
        <w:spacing w:line="360" w:lineRule="auto"/>
        <w:ind w:right="0" w:rightChars="0" w:firstLine="480"/>
        <w:jc w:val="left"/>
        <w:outlineLvl w:val="9"/>
        <w:rPr>
          <w:rFonts w:hint="eastAsia" w:ascii="宋体" w:hAnsi="宋体" w:eastAsia="宋体" w:cs="宋体"/>
          <w:b w:val="0"/>
          <w:bCs/>
          <w:color w:val="auto"/>
          <w:sz w:val="24"/>
          <w:szCs w:val="24"/>
          <w:lang w:val="en-US" w:eastAsia="zh-CN"/>
        </w:rPr>
      </w:pPr>
      <w:r>
        <w:rPr>
          <w:rFonts w:hint="eastAsia" w:ascii="宋体" w:hAnsi="宋体" w:eastAsia="宋体" w:cs="宋体"/>
          <w:b w:val="0"/>
          <w:bCs/>
          <w:color w:val="auto"/>
          <w:sz w:val="24"/>
          <w:szCs w:val="24"/>
          <w:lang w:val="en-US" w:eastAsia="zh-CN"/>
        </w:rPr>
        <w:t>（8）2021届机械电子工程专业毕业生江权创办合肥曦欧网络科技有限公司，公司所在地合肥，注册资金50万、员工3人。</w:t>
      </w:r>
    </w:p>
    <w:p>
      <w:pPr>
        <w:keepNext w:val="0"/>
        <w:keepLines w:val="0"/>
        <w:pageBreakBefore w:val="0"/>
        <w:widowControl w:val="0"/>
        <w:kinsoku/>
        <w:wordWrap/>
        <w:overflowPunct/>
        <w:topLinePunct w:val="0"/>
        <w:autoSpaceDE/>
        <w:autoSpaceDN/>
        <w:bidi w:val="0"/>
        <w:adjustRightInd/>
        <w:snapToGrid/>
        <w:spacing w:line="360" w:lineRule="auto"/>
        <w:ind w:right="0" w:rightChars="0" w:firstLine="480"/>
        <w:jc w:val="left"/>
        <w:outlineLvl w:val="9"/>
        <w:rPr>
          <w:rFonts w:hint="eastAsia" w:ascii="宋体" w:hAnsi="宋体" w:eastAsia="宋体" w:cs="宋体"/>
          <w:b w:val="0"/>
          <w:bCs/>
          <w:color w:val="auto"/>
          <w:sz w:val="24"/>
          <w:szCs w:val="24"/>
          <w:lang w:val="en-US" w:eastAsia="zh-CN"/>
        </w:rPr>
      </w:pPr>
      <w:r>
        <w:rPr>
          <w:rFonts w:hint="eastAsia" w:ascii="宋体" w:hAnsi="宋体" w:eastAsia="宋体" w:cs="宋体"/>
          <w:b w:val="0"/>
          <w:bCs/>
          <w:color w:val="auto"/>
          <w:sz w:val="24"/>
          <w:szCs w:val="24"/>
          <w:lang w:val="en-US" w:eastAsia="zh-CN"/>
        </w:rPr>
        <w:t>（9）2022届机械设计制造及其自动化专业毕业生张冬生创办合肥经济技术开发区合院校园平台网络科技服务工作室，公司所在地合肥。</w:t>
      </w:r>
    </w:p>
    <w:p>
      <w:pPr>
        <w:keepNext w:val="0"/>
        <w:keepLines w:val="0"/>
        <w:pageBreakBefore w:val="0"/>
        <w:widowControl w:val="0"/>
        <w:kinsoku/>
        <w:wordWrap/>
        <w:overflowPunct/>
        <w:topLinePunct w:val="0"/>
        <w:autoSpaceDE/>
        <w:autoSpaceDN/>
        <w:bidi w:val="0"/>
        <w:adjustRightInd/>
        <w:snapToGrid/>
        <w:spacing w:line="360" w:lineRule="auto"/>
        <w:ind w:right="0" w:rightChars="0"/>
        <w:jc w:val="left"/>
        <w:outlineLvl w:val="9"/>
        <w:rPr>
          <w:rFonts w:hint="eastAsia" w:ascii="宋体" w:hAnsi="宋体" w:eastAsia="宋体" w:cs="宋体"/>
          <w:b w:val="0"/>
          <w:bCs/>
          <w:color w:val="auto"/>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right="0" w:rightChars="0"/>
        <w:jc w:val="left"/>
        <w:outlineLvl w:val="9"/>
        <w:rPr>
          <w:rFonts w:hint="eastAsia" w:ascii="宋体" w:hAnsi="宋体" w:eastAsia="宋体" w:cs="宋体"/>
          <w:b w:val="0"/>
          <w:bCs/>
          <w:color w:val="auto"/>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right="0" w:rightChars="0"/>
        <w:jc w:val="left"/>
        <w:outlineLvl w:val="9"/>
        <w:rPr>
          <w:rFonts w:hint="eastAsia" w:ascii="宋体" w:hAnsi="宋体" w:eastAsia="宋体" w:cs="宋体"/>
          <w:b w:val="0"/>
          <w:bCs/>
          <w:color w:val="auto"/>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right="0" w:rightChars="0"/>
        <w:jc w:val="left"/>
        <w:outlineLvl w:val="9"/>
        <w:rPr>
          <w:rFonts w:hint="eastAsia" w:ascii="宋体" w:hAnsi="宋体" w:eastAsia="宋体" w:cs="宋体"/>
          <w:b w:val="0"/>
          <w:bCs/>
          <w:color w:val="auto"/>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right="0" w:rightChars="0"/>
        <w:jc w:val="left"/>
        <w:outlineLvl w:val="9"/>
        <w:rPr>
          <w:rFonts w:hint="eastAsia" w:ascii="宋体" w:hAnsi="宋体" w:eastAsia="宋体" w:cs="宋体"/>
          <w:b w:val="0"/>
          <w:bCs/>
          <w:color w:val="auto"/>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right="0" w:rightChars="0"/>
        <w:jc w:val="right"/>
        <w:outlineLvl w:val="9"/>
        <w:rPr>
          <w:rFonts w:hint="default" w:ascii="宋体" w:hAnsi="宋体" w:eastAsia="宋体" w:cs="宋体"/>
          <w:b w:val="0"/>
          <w:bCs/>
          <w:color w:val="auto"/>
          <w:sz w:val="24"/>
          <w:szCs w:val="24"/>
          <w:lang w:val="en-US" w:eastAsia="zh-CN"/>
        </w:rPr>
      </w:pPr>
      <w:r>
        <w:rPr>
          <w:rFonts w:hint="eastAsia" w:ascii="宋体" w:hAnsi="宋体" w:eastAsia="宋体" w:cs="宋体"/>
          <w:b w:val="0"/>
          <w:bCs/>
          <w:color w:val="auto"/>
          <w:sz w:val="24"/>
          <w:szCs w:val="24"/>
          <w:lang w:val="en-US" w:eastAsia="zh-CN"/>
        </w:rPr>
        <w:t>先进制造工程学院</w:t>
      </w:r>
    </w:p>
    <w:p>
      <w:pPr>
        <w:keepNext w:val="0"/>
        <w:keepLines w:val="0"/>
        <w:pageBreakBefore w:val="0"/>
        <w:widowControl w:val="0"/>
        <w:kinsoku/>
        <w:wordWrap/>
        <w:overflowPunct/>
        <w:topLinePunct w:val="0"/>
        <w:autoSpaceDE/>
        <w:autoSpaceDN/>
        <w:bidi w:val="0"/>
        <w:adjustRightInd/>
        <w:snapToGrid/>
        <w:spacing w:line="360" w:lineRule="auto"/>
        <w:ind w:right="0" w:rightChars="0"/>
        <w:jc w:val="right"/>
        <w:outlineLvl w:val="9"/>
        <w:rPr>
          <w:rFonts w:hint="default" w:ascii="宋体" w:hAnsi="宋体" w:eastAsia="宋体" w:cs="宋体"/>
          <w:b w:val="0"/>
          <w:bCs/>
          <w:color w:val="auto"/>
          <w:sz w:val="24"/>
          <w:szCs w:val="24"/>
          <w:lang w:val="en-US" w:eastAsia="zh-CN"/>
        </w:rPr>
      </w:pPr>
      <w:r>
        <w:rPr>
          <w:rFonts w:hint="eastAsia" w:ascii="宋体" w:hAnsi="宋体" w:eastAsia="宋体" w:cs="宋体"/>
          <w:b w:val="0"/>
          <w:bCs/>
          <w:color w:val="auto"/>
          <w:sz w:val="24"/>
          <w:szCs w:val="24"/>
          <w:lang w:val="en-US" w:eastAsia="zh-CN"/>
        </w:rPr>
        <w:t>2022年12月</w:t>
      </w:r>
    </w:p>
    <w:p>
      <w:pPr>
        <w:widowControl/>
        <w:jc w:val="left"/>
        <w:rPr>
          <w:rFonts w:asciiTheme="minorEastAsia" w:hAnsiTheme="minorEastAsia" w:cstheme="minorEastAsia"/>
          <w:b/>
          <w:bCs/>
          <w:sz w:val="32"/>
          <w:szCs w:val="32"/>
        </w:rPr>
      </w:pPr>
      <w:r>
        <w:rPr>
          <w:rFonts w:asciiTheme="minorEastAsia" w:hAnsiTheme="minorEastAsia" w:cstheme="minorEastAsia"/>
          <w:b/>
          <w:bCs/>
          <w:sz w:val="32"/>
          <w:szCs w:val="32"/>
        </w:rPr>
        <w:br w:type="page"/>
      </w:r>
    </w:p>
    <w:p>
      <w:pPr>
        <w:spacing w:line="360" w:lineRule="auto"/>
        <w:jc w:val="center"/>
        <w:rPr>
          <w:rFonts w:asciiTheme="minorEastAsia" w:hAnsiTheme="minorEastAsia" w:eastAsiaTheme="minorEastAsia" w:cstheme="minorEastAsia"/>
          <w:b/>
          <w:bCs/>
          <w:sz w:val="32"/>
          <w:szCs w:val="32"/>
        </w:rPr>
      </w:pPr>
      <w:r>
        <w:rPr>
          <w:rFonts w:hint="eastAsia" w:asciiTheme="minorEastAsia" w:hAnsiTheme="minorEastAsia" w:eastAsiaTheme="minorEastAsia" w:cstheme="minorEastAsia"/>
          <w:b/>
          <w:bCs/>
          <w:sz w:val="32"/>
          <w:szCs w:val="32"/>
        </w:rPr>
        <w:t>合肥学院人工智能与大数据学院</w:t>
      </w:r>
    </w:p>
    <w:p>
      <w:pPr>
        <w:spacing w:line="360" w:lineRule="auto"/>
        <w:jc w:val="center"/>
        <w:rPr>
          <w:rFonts w:asciiTheme="minorEastAsia" w:hAnsiTheme="minorEastAsia" w:eastAsiaTheme="minorEastAsia" w:cstheme="minorEastAsia"/>
          <w:b/>
          <w:bCs/>
          <w:color w:val="000000" w:themeColor="text1"/>
          <w:sz w:val="32"/>
          <w:szCs w:val="32"/>
          <w14:textFill>
            <w14:solidFill>
              <w14:schemeClr w14:val="tx1"/>
            </w14:solidFill>
          </w14:textFill>
        </w:rPr>
      </w:pPr>
      <w:r>
        <w:rPr>
          <w:rFonts w:hint="eastAsia" w:asciiTheme="minorEastAsia" w:hAnsiTheme="minorEastAsia" w:eastAsiaTheme="minorEastAsia" w:cstheme="minorEastAsia"/>
          <w:b/>
          <w:bCs/>
          <w:color w:val="000000" w:themeColor="text1"/>
          <w:sz w:val="32"/>
          <w:szCs w:val="32"/>
          <w14:textFill>
            <w14:solidFill>
              <w14:schemeClr w14:val="tx1"/>
            </w14:solidFill>
          </w14:textFill>
        </w:rPr>
        <w:t>2022年就业评估自查报告</w:t>
      </w:r>
    </w:p>
    <w:p>
      <w:pPr>
        <w:spacing w:line="360" w:lineRule="auto"/>
        <w:ind w:firstLine="480" w:firstLineChars="200"/>
        <w:rPr>
          <w:rFonts w:hint="eastAsia" w:asciiTheme="minorEastAsia" w:hAnsiTheme="minorEastAsia" w:eastAsiaTheme="minorEastAsia" w:cstheme="minorEastAsia"/>
          <w:color w:val="000000" w:themeColor="text1"/>
          <w:sz w:val="24"/>
          <w14:textFill>
            <w14:solidFill>
              <w14:schemeClr w14:val="tx1"/>
            </w14:solidFill>
          </w14:textFill>
        </w:rPr>
      </w:pPr>
    </w:p>
    <w:p>
      <w:pPr>
        <w:spacing w:line="360" w:lineRule="auto"/>
        <w:ind w:firstLine="480" w:firstLineChars="200"/>
        <w:rPr>
          <w:rFonts w:hint="eastAsia" w:asciiTheme="minorEastAsia" w:hAnsiTheme="minorEastAsia" w:eastAsiaTheme="minorEastAsia" w:cstheme="minorEastAsia"/>
          <w:color w:val="000000" w:themeColor="text1"/>
          <w:sz w:val="24"/>
          <w14:textFill>
            <w14:solidFill>
              <w14:schemeClr w14:val="tx1"/>
            </w14:solidFill>
          </w14:textFill>
        </w:rPr>
      </w:pPr>
      <w:r>
        <w:rPr>
          <w:rFonts w:hint="eastAsia" w:asciiTheme="minorEastAsia" w:hAnsiTheme="minorEastAsia" w:eastAsiaTheme="minorEastAsia" w:cstheme="minorEastAsia"/>
          <w:color w:val="000000" w:themeColor="text1"/>
          <w:sz w:val="24"/>
          <w14:textFill>
            <w14:solidFill>
              <w14:schemeClr w14:val="tx1"/>
            </w14:solidFill>
          </w14:textFill>
        </w:rPr>
        <w:t>我院历年来一直强调做好毕业生就业工作的重要性，人工智能与大数据学院党委高度重视，建立健全了各项促进就业创业的机制和制度。人工智能与大数据学院在院就业指导中心和其他职能部门的指导下，积极采取各种有力措施，较好地开展了2022届毕业生就业指导管理服务工作。为2022届毕业生就业工作做准备，我院进行2022年就业评估工作。现向各位专家，领导将就业评估自查情况汇报如下：</w:t>
      </w:r>
    </w:p>
    <w:p>
      <w:pPr>
        <w:spacing w:line="360" w:lineRule="auto"/>
        <w:rPr>
          <w:rFonts w:asciiTheme="minorEastAsia" w:hAnsiTheme="minorEastAsia" w:eastAsiaTheme="minorEastAsia" w:cstheme="minorEastAsia"/>
          <w:color w:val="000000" w:themeColor="text1"/>
          <w:sz w:val="24"/>
          <w14:textFill>
            <w14:solidFill>
              <w14:schemeClr w14:val="tx1"/>
            </w14:solidFill>
          </w14:textFill>
        </w:rPr>
      </w:pPr>
      <w:r>
        <w:rPr>
          <w:rFonts w:hint="eastAsia" w:asciiTheme="minorEastAsia" w:hAnsiTheme="minorEastAsia" w:eastAsiaTheme="minorEastAsia" w:cstheme="minorEastAsia"/>
          <w:b/>
          <w:bCs/>
          <w:color w:val="000000" w:themeColor="text1"/>
          <w:sz w:val="24"/>
          <w14:textFill>
            <w14:solidFill>
              <w14:schemeClr w14:val="tx1"/>
            </w14:solidFill>
          </w14:textFill>
        </w:rPr>
        <w:t>一、人工智能与大数据学院各专业就业基本情况</w:t>
      </w:r>
    </w:p>
    <w:p>
      <w:pPr>
        <w:spacing w:line="360" w:lineRule="auto"/>
        <w:ind w:firstLine="480" w:firstLineChars="200"/>
        <w:rPr>
          <w:rFonts w:hint="eastAsia" w:asciiTheme="minorEastAsia" w:hAnsiTheme="minorEastAsia" w:eastAsiaTheme="minorEastAsia" w:cstheme="minorEastAsia"/>
          <w:color w:val="000000" w:themeColor="text1"/>
          <w:sz w:val="24"/>
          <w14:textFill>
            <w14:solidFill>
              <w14:schemeClr w14:val="tx1"/>
            </w14:solidFill>
          </w14:textFill>
        </w:rPr>
      </w:pPr>
      <w:r>
        <w:rPr>
          <w:rFonts w:hint="eastAsia" w:asciiTheme="minorEastAsia" w:hAnsiTheme="minorEastAsia" w:eastAsiaTheme="minorEastAsia" w:cstheme="minorEastAsia"/>
          <w:color w:val="000000" w:themeColor="text1"/>
          <w:sz w:val="24"/>
          <w14:textFill>
            <w14:solidFill>
              <w14:schemeClr w14:val="tx1"/>
            </w14:solidFill>
          </w14:textFill>
        </w:rPr>
        <w:t>2022年我院毕业生共</w:t>
      </w:r>
      <w:r>
        <w:rPr>
          <w:rFonts w:asciiTheme="minorEastAsia" w:hAnsiTheme="minorEastAsia" w:eastAsiaTheme="minorEastAsia" w:cstheme="minorEastAsia"/>
          <w:color w:val="000000" w:themeColor="text1"/>
          <w:sz w:val="24"/>
          <w14:textFill>
            <w14:solidFill>
              <w14:schemeClr w14:val="tx1"/>
            </w14:solidFill>
          </w14:textFill>
        </w:rPr>
        <w:t>57</w:t>
      </w:r>
      <w:r>
        <w:rPr>
          <w:rFonts w:hint="eastAsia" w:asciiTheme="minorEastAsia" w:hAnsiTheme="minorEastAsia" w:eastAsiaTheme="minorEastAsia" w:cstheme="minorEastAsia"/>
          <w:color w:val="000000" w:themeColor="text1"/>
          <w:sz w:val="24"/>
          <w14:textFill>
            <w14:solidFill>
              <w14:schemeClr w14:val="tx1"/>
            </w14:solidFill>
          </w14:textFill>
        </w:rPr>
        <w:t>1人。本科毕业生566人，其中包括计算机科学与技术专业本科毕业生</w:t>
      </w:r>
      <w:r>
        <w:rPr>
          <w:rFonts w:asciiTheme="minorEastAsia" w:hAnsiTheme="minorEastAsia" w:eastAsiaTheme="minorEastAsia" w:cstheme="minorEastAsia"/>
          <w:color w:val="000000" w:themeColor="text1"/>
          <w:sz w:val="24"/>
          <w14:textFill>
            <w14:solidFill>
              <w14:schemeClr w14:val="tx1"/>
            </w14:solidFill>
          </w14:textFill>
        </w:rPr>
        <w:t>10</w:t>
      </w:r>
      <w:r>
        <w:rPr>
          <w:rFonts w:hint="eastAsia" w:asciiTheme="minorEastAsia" w:hAnsiTheme="minorEastAsia" w:eastAsiaTheme="minorEastAsia" w:cstheme="minorEastAsia"/>
          <w:color w:val="000000" w:themeColor="text1"/>
          <w:sz w:val="24"/>
          <w14:textFill>
            <w14:solidFill>
              <w14:schemeClr w14:val="tx1"/>
            </w14:solidFill>
          </w14:textFill>
        </w:rPr>
        <w:t>2人，计算机科学与技术专升本50人，网络工程专业本科毕业生87人，软件工程专业本科毕业生118人，数学与应用数学7</w:t>
      </w:r>
      <w:r>
        <w:rPr>
          <w:rFonts w:asciiTheme="minorEastAsia" w:hAnsiTheme="minorEastAsia" w:eastAsiaTheme="minorEastAsia" w:cstheme="minorEastAsia"/>
          <w:color w:val="000000" w:themeColor="text1"/>
          <w:sz w:val="24"/>
          <w14:textFill>
            <w14:solidFill>
              <w14:schemeClr w14:val="tx1"/>
            </w14:solidFill>
          </w14:textFill>
        </w:rPr>
        <w:t>5</w:t>
      </w:r>
      <w:r>
        <w:rPr>
          <w:rFonts w:hint="eastAsia" w:asciiTheme="minorEastAsia" w:hAnsiTheme="minorEastAsia" w:eastAsiaTheme="minorEastAsia" w:cstheme="minorEastAsia"/>
          <w:color w:val="000000" w:themeColor="text1"/>
          <w:sz w:val="24"/>
          <w14:textFill>
            <w14:solidFill>
              <w14:schemeClr w14:val="tx1"/>
            </w14:solidFill>
          </w14:textFill>
        </w:rPr>
        <w:t>人，信息与计算科学39人，信息管理与信息系统</w:t>
      </w:r>
      <w:r>
        <w:rPr>
          <w:rFonts w:asciiTheme="minorEastAsia" w:hAnsiTheme="minorEastAsia" w:eastAsiaTheme="minorEastAsia" w:cstheme="minorEastAsia"/>
          <w:color w:val="000000" w:themeColor="text1"/>
          <w:sz w:val="24"/>
          <w14:textFill>
            <w14:solidFill>
              <w14:schemeClr w14:val="tx1"/>
            </w14:solidFill>
          </w14:textFill>
        </w:rPr>
        <w:t>9</w:t>
      </w:r>
      <w:r>
        <w:rPr>
          <w:rFonts w:hint="eastAsia" w:asciiTheme="minorEastAsia" w:hAnsiTheme="minorEastAsia" w:eastAsiaTheme="minorEastAsia" w:cstheme="minorEastAsia"/>
          <w:color w:val="000000" w:themeColor="text1"/>
          <w:sz w:val="24"/>
          <w14:textFill>
            <w14:solidFill>
              <w14:schemeClr w14:val="tx1"/>
            </w14:solidFill>
          </w14:textFill>
        </w:rPr>
        <w:t>5人。专科信息安全与管理专业5人。截至2022年12月16日，本科就业率为94.52%，专科就业率为80%，整体就业率为</w:t>
      </w:r>
      <w:r>
        <w:rPr>
          <w:rFonts w:asciiTheme="minorEastAsia" w:hAnsiTheme="minorEastAsia" w:eastAsiaTheme="minorEastAsia" w:cstheme="minorEastAsia"/>
          <w:color w:val="000000" w:themeColor="text1"/>
          <w:sz w:val="24"/>
          <w14:textFill>
            <w14:solidFill>
              <w14:schemeClr w14:val="tx1"/>
            </w14:solidFill>
          </w14:textFill>
        </w:rPr>
        <w:t>9</w:t>
      </w:r>
      <w:r>
        <w:rPr>
          <w:rFonts w:hint="eastAsia" w:asciiTheme="minorEastAsia" w:hAnsiTheme="minorEastAsia" w:eastAsiaTheme="minorEastAsia" w:cstheme="minorEastAsia"/>
          <w:color w:val="000000" w:themeColor="text1"/>
          <w:sz w:val="24"/>
          <w14:textFill>
            <w14:solidFill>
              <w14:schemeClr w14:val="tx1"/>
            </w14:solidFill>
          </w14:textFill>
        </w:rPr>
        <w:t>4</w:t>
      </w:r>
      <w:r>
        <w:rPr>
          <w:rFonts w:asciiTheme="minorEastAsia" w:hAnsiTheme="minorEastAsia" w:eastAsiaTheme="minorEastAsia" w:cstheme="minorEastAsia"/>
          <w:color w:val="000000" w:themeColor="text1"/>
          <w:sz w:val="24"/>
          <w14:textFill>
            <w14:solidFill>
              <w14:schemeClr w14:val="tx1"/>
            </w14:solidFill>
          </w14:textFill>
        </w:rPr>
        <w:t>.</w:t>
      </w:r>
      <w:r>
        <w:rPr>
          <w:rFonts w:hint="eastAsia" w:asciiTheme="minorEastAsia" w:hAnsiTheme="minorEastAsia" w:eastAsiaTheme="minorEastAsia" w:cstheme="minorEastAsia"/>
          <w:color w:val="000000" w:themeColor="text1"/>
          <w:sz w:val="24"/>
          <w14:textFill>
            <w14:solidFill>
              <w14:schemeClr w14:val="tx1"/>
            </w14:solidFill>
          </w14:textFill>
        </w:rPr>
        <w:t>40％。</w:t>
      </w:r>
    </w:p>
    <w:p>
      <w:pPr>
        <w:spacing w:line="360" w:lineRule="auto"/>
        <w:rPr>
          <w:rFonts w:asciiTheme="minorEastAsia" w:hAnsiTheme="minorEastAsia" w:eastAsiaTheme="minorEastAsia" w:cstheme="minorEastAsia"/>
          <w:sz w:val="24"/>
        </w:rPr>
      </w:pPr>
      <w:r>
        <w:rPr>
          <w:rFonts w:hint="eastAsia" w:asciiTheme="minorEastAsia" w:hAnsiTheme="minorEastAsia" w:eastAsiaTheme="minorEastAsia" w:cstheme="minorEastAsia"/>
          <w:b/>
          <w:bCs/>
          <w:sz w:val="24"/>
        </w:rPr>
        <w:t>二、 人工智能与大数据学院各专业就业结构分析情况</w:t>
      </w:r>
    </w:p>
    <w:p>
      <w:pPr>
        <w:widowControl/>
        <w:spacing w:line="360" w:lineRule="auto"/>
        <w:ind w:firstLine="480"/>
        <w:jc w:val="left"/>
        <w:rPr>
          <w:rFonts w:asciiTheme="minorEastAsia" w:hAnsiTheme="minorEastAsia" w:eastAsiaTheme="minorEastAsia" w:cstheme="minorEastAsia"/>
          <w:sz w:val="24"/>
        </w:rPr>
      </w:pPr>
      <w:r>
        <w:rPr>
          <w:rFonts w:hint="eastAsia" w:asciiTheme="minorEastAsia" w:hAnsiTheme="minorEastAsia" w:eastAsiaTheme="minorEastAsia" w:cstheme="minorEastAsia"/>
          <w:sz w:val="24"/>
        </w:rPr>
        <w:t>下表可以反映我院2022届毕业生的基本就业分布情况。</w:t>
      </w:r>
    </w:p>
    <w:p>
      <w:pPr>
        <w:spacing w:line="360" w:lineRule="auto"/>
        <w:rPr>
          <w:rFonts w:asciiTheme="minorEastAsia" w:hAnsiTheme="minorEastAsia" w:eastAsiaTheme="minorEastAsia" w:cstheme="minorEastAsia"/>
          <w:kern w:val="0"/>
          <w:sz w:val="24"/>
        </w:rPr>
      </w:pPr>
      <w:r>
        <w:rPr>
          <w:rFonts w:asciiTheme="minorEastAsia" w:hAnsiTheme="minorEastAsia" w:eastAsiaTheme="minorEastAsia" w:cstheme="minorEastAsia"/>
          <w:kern w:val="0"/>
          <w:sz w:val="24"/>
        </w:rPr>
        <w:drawing>
          <wp:inline distT="0" distB="0" distL="0" distR="0">
            <wp:extent cx="5276850" cy="2952750"/>
            <wp:effectExtent l="4445" t="4445" r="14605" b="14605"/>
            <wp:docPr id="5" name="图表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pPr>
        <w:spacing w:line="360" w:lineRule="auto"/>
        <w:ind w:firstLine="720" w:firstLineChars="300"/>
        <w:rPr>
          <w:rFonts w:asciiTheme="minorEastAsia" w:hAnsiTheme="minorEastAsia" w:eastAsiaTheme="minorEastAsia" w:cstheme="minorEastAsia"/>
          <w:kern w:val="0"/>
          <w:sz w:val="24"/>
        </w:rPr>
      </w:pPr>
      <w:r>
        <w:rPr>
          <w:rFonts w:hint="eastAsia" w:asciiTheme="minorEastAsia" w:hAnsiTheme="minorEastAsia" w:eastAsiaTheme="minorEastAsia" w:cstheme="minorEastAsia"/>
          <w:kern w:val="0"/>
          <w:sz w:val="24"/>
        </w:rPr>
        <w:t>从上表中我们可以看到我院毕业生就业情况存在以下几个特点：</w:t>
      </w:r>
    </w:p>
    <w:p>
      <w:pPr>
        <w:pStyle w:val="39"/>
        <w:numPr>
          <w:ilvl w:val="0"/>
          <w:numId w:val="4"/>
        </w:numPr>
        <w:spacing w:line="360" w:lineRule="auto"/>
        <w:ind w:left="0" w:firstLine="426" w:firstLineChars="0"/>
        <w:rPr>
          <w:rFonts w:asciiTheme="minorEastAsia" w:hAnsiTheme="minorEastAsia" w:eastAsiaTheme="minorEastAsia" w:cstheme="minorEastAsia"/>
          <w:kern w:val="0"/>
          <w:sz w:val="24"/>
        </w:rPr>
      </w:pPr>
      <w:r>
        <w:rPr>
          <w:rFonts w:hint="eastAsia" w:asciiTheme="minorEastAsia" w:hAnsiTheme="minorEastAsia" w:eastAsiaTheme="minorEastAsia" w:cstheme="minorEastAsia"/>
          <w:kern w:val="0"/>
          <w:sz w:val="24"/>
        </w:rPr>
        <w:t>人工智能与大数据学院本科中90%以上的同学选择在企业中工作，占大部分比例。这和我校“应用型”的办学宗旨相一致，在企业中可以更好的将所学的知识应用于工作实践。同时，近年来国家大力推进信息化产业建设，所以企业对本系专业需求量逐年提升。IT行业中企业的收入较高，且发展前景相对广阔。事业单位、政府机关中工作同学的所占比例不高，但这个数据较往年相比有所提升。为促进帮助高校应届毕业生就业，同时为基层补充“新鲜血液”，2022年合肥市公开招考社区小管家、科技特派员等基层岗位，对不少学生来说也比较有吸引力。</w:t>
      </w:r>
    </w:p>
    <w:p>
      <w:pPr>
        <w:pStyle w:val="39"/>
        <w:numPr>
          <w:ilvl w:val="0"/>
          <w:numId w:val="4"/>
        </w:numPr>
        <w:spacing w:line="360" w:lineRule="auto"/>
        <w:ind w:left="0" w:firstLine="426" w:firstLineChars="0"/>
        <w:rPr>
          <w:rFonts w:asciiTheme="minorEastAsia" w:hAnsiTheme="minorEastAsia" w:eastAsiaTheme="minorEastAsia" w:cstheme="minorEastAsia"/>
          <w:kern w:val="0"/>
          <w:sz w:val="24"/>
        </w:rPr>
      </w:pPr>
      <w:r>
        <w:rPr>
          <w:rFonts w:hint="eastAsia" w:asciiTheme="minorEastAsia" w:hAnsiTheme="minorEastAsia" w:eastAsiaTheme="minorEastAsia" w:cstheme="minorEastAsia"/>
          <w:kern w:val="0"/>
          <w:sz w:val="24"/>
        </w:rPr>
        <w:t>省内就业仍占主导，不过毕业生就业期望值有所下降，能够认清当前社会形势，就业观念较以前有所转变，去基层、相对偏远地区工作的学生较前几年增多。人工智能与大数据学院平均约有</w:t>
      </w:r>
      <w:r>
        <w:rPr>
          <w:rFonts w:asciiTheme="minorEastAsia" w:hAnsiTheme="minorEastAsia" w:eastAsiaTheme="minorEastAsia" w:cstheme="minorEastAsia"/>
          <w:kern w:val="0"/>
          <w:sz w:val="24"/>
        </w:rPr>
        <w:t>70.47%</w:t>
      </w:r>
      <w:r>
        <w:rPr>
          <w:rFonts w:hint="eastAsia" w:asciiTheme="minorEastAsia" w:hAnsiTheme="minorEastAsia" w:eastAsiaTheme="minorEastAsia" w:cstheme="minorEastAsia"/>
          <w:kern w:val="0"/>
          <w:sz w:val="24"/>
        </w:rPr>
        <w:t>的学生在省内就业，其中约</w:t>
      </w:r>
      <w:r>
        <w:rPr>
          <w:rFonts w:asciiTheme="minorEastAsia" w:hAnsiTheme="minorEastAsia" w:eastAsiaTheme="minorEastAsia" w:cstheme="minorEastAsia"/>
          <w:kern w:val="0"/>
          <w:sz w:val="24"/>
        </w:rPr>
        <w:t>53.02%</w:t>
      </w:r>
      <w:r>
        <w:rPr>
          <w:rFonts w:hint="eastAsia" w:asciiTheme="minorEastAsia" w:hAnsiTheme="minorEastAsia" w:eastAsiaTheme="minorEastAsia" w:cstheme="minorEastAsia"/>
          <w:kern w:val="0"/>
          <w:sz w:val="24"/>
        </w:rPr>
        <w:t>在合肥市就业。这和我院“地方性”办学定位相一致，也能够促进合肥市经济健康快速的发展。同时，我们也应该看到毕业生省外就业比例较往年维持稳定，省外就业的学生以长三角地区为主。这也在一定程度上反映了长三角企业优厚的人才政策和对合肥学院毕业生认可度的提高。2022届毕业生中，回家乡就业人数逐步增加，与我院生源地就业人才引进多项措施相得益彰。</w:t>
      </w:r>
    </w:p>
    <w:p>
      <w:pPr>
        <w:pStyle w:val="39"/>
        <w:numPr>
          <w:ilvl w:val="0"/>
          <w:numId w:val="4"/>
        </w:numPr>
        <w:spacing w:line="360" w:lineRule="auto"/>
        <w:ind w:left="0" w:firstLine="426" w:firstLineChars="0"/>
        <w:rPr>
          <w:rFonts w:asciiTheme="minorEastAsia" w:hAnsiTheme="minorEastAsia" w:eastAsiaTheme="minorEastAsia" w:cstheme="minorEastAsia"/>
          <w:kern w:val="0"/>
          <w:sz w:val="24"/>
        </w:rPr>
      </w:pPr>
      <w:r>
        <w:rPr>
          <w:rFonts w:hint="eastAsia" w:asciiTheme="minorEastAsia" w:hAnsiTheme="minorEastAsia" w:eastAsiaTheme="minorEastAsia" w:cstheme="minorEastAsia"/>
          <w:kern w:val="0"/>
          <w:sz w:val="24"/>
        </w:rPr>
        <w:t>专业对口率较高。本科学生约有84.7%的学生从事与本专业相关的工作。这与我校“注重人才培养质量，全面推进素质教育，培养复合型人才，使学生具有较强的自主就业能力、创业能力和竞争能力”的办学宗旨不可分割，毕业的学生专业技能更强，更受企业青睐。要做到全面优化我院毕业生的就业结构，学校和学生双方的努力缺一不可。学校充分挖掘现有的就业体制的潜力，加强了指导和考核，发挥学院在提高就业质量方面的主导作用。</w:t>
      </w:r>
    </w:p>
    <w:p>
      <w:pPr>
        <w:spacing w:line="360" w:lineRule="auto"/>
        <w:rPr>
          <w:rFonts w:asciiTheme="minorEastAsia" w:hAnsiTheme="minorEastAsia" w:eastAsiaTheme="minorEastAsia" w:cstheme="minorEastAsia"/>
          <w:sz w:val="24"/>
        </w:rPr>
      </w:pPr>
      <w:r>
        <w:rPr>
          <w:rFonts w:hint="eastAsia" w:asciiTheme="minorEastAsia" w:hAnsiTheme="minorEastAsia" w:eastAsiaTheme="minorEastAsia" w:cstheme="minorEastAsia"/>
          <w:sz w:val="24"/>
        </w:rPr>
        <w:t xml:space="preserve">    以下是各专业行业分布情况分析：</w:t>
      </w:r>
    </w:p>
    <w:p>
      <w:pPr>
        <w:spacing w:line="360" w:lineRule="auto"/>
        <w:jc w:val="center"/>
        <w:rPr>
          <w:rFonts w:asciiTheme="minorEastAsia" w:hAnsiTheme="minorEastAsia" w:eastAsiaTheme="minorEastAsia" w:cstheme="minorEastAsia"/>
          <w:sz w:val="24"/>
        </w:rPr>
      </w:pPr>
      <w:r>
        <w:drawing>
          <wp:inline distT="0" distB="0" distL="0" distR="0">
            <wp:extent cx="5276850" cy="3438525"/>
            <wp:effectExtent l="4445" t="4445" r="14605" b="11430"/>
            <wp:docPr id="6" name="图表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pPr>
        <w:spacing w:line="360" w:lineRule="auto"/>
        <w:ind w:firstLine="480" w:firstLineChars="200"/>
        <w:rPr>
          <w:rFonts w:hint="eastAsia" w:asciiTheme="minorEastAsia" w:hAnsiTheme="minorEastAsia" w:eastAsiaTheme="minorEastAsia" w:cstheme="minorEastAsia"/>
          <w:sz w:val="24"/>
        </w:rPr>
      </w:pPr>
      <w:r>
        <w:rPr>
          <w:rFonts w:hint="eastAsia" w:asciiTheme="minorEastAsia" w:hAnsiTheme="minorEastAsia" w:eastAsiaTheme="minorEastAsia" w:cstheme="minorEastAsia"/>
          <w:sz w:val="24"/>
        </w:rPr>
        <w:t>如图所示，计算机科学与技术专业就业领域高度集中于信传输软件和信息技术服务业占比62%，从事制造业占1</w:t>
      </w:r>
      <w:r>
        <w:rPr>
          <w:rFonts w:asciiTheme="minorEastAsia" w:hAnsiTheme="minorEastAsia" w:eastAsiaTheme="minorEastAsia" w:cstheme="minorEastAsia"/>
          <w:sz w:val="24"/>
        </w:rPr>
        <w:t>1</w:t>
      </w:r>
      <w:r>
        <w:rPr>
          <w:rFonts w:hint="eastAsia" w:asciiTheme="minorEastAsia" w:hAnsiTheme="minorEastAsia" w:eastAsiaTheme="minorEastAsia" w:cstheme="minorEastAsia"/>
          <w:sz w:val="24"/>
        </w:rPr>
        <w:t>%，其他领域有27%的毕业生涉足。</w:t>
      </w:r>
    </w:p>
    <w:p>
      <w:pPr>
        <w:spacing w:line="360" w:lineRule="auto"/>
        <w:ind w:firstLine="480" w:firstLineChars="200"/>
        <w:rPr>
          <w:rFonts w:asciiTheme="minorEastAsia" w:hAnsiTheme="minorEastAsia" w:eastAsiaTheme="minorEastAsia" w:cstheme="minorEastAsia"/>
          <w:sz w:val="24"/>
        </w:rPr>
      </w:pPr>
    </w:p>
    <w:p>
      <w:pPr>
        <w:spacing w:line="360" w:lineRule="auto"/>
        <w:jc w:val="center"/>
        <w:rPr>
          <w:rFonts w:asciiTheme="minorEastAsia" w:hAnsiTheme="minorEastAsia" w:eastAsiaTheme="minorEastAsia" w:cstheme="minorEastAsia"/>
          <w:sz w:val="24"/>
        </w:rPr>
      </w:pPr>
      <w:r>
        <w:drawing>
          <wp:inline distT="0" distB="0" distL="0" distR="0">
            <wp:extent cx="5276850" cy="3333750"/>
            <wp:effectExtent l="4445" t="4445" r="14605" b="14605"/>
            <wp:docPr id="10" name="图表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pPr>
        <w:spacing w:line="360" w:lineRule="auto"/>
        <w:rPr>
          <w:rFonts w:asciiTheme="minorEastAsia" w:hAnsiTheme="minorEastAsia" w:eastAsiaTheme="minorEastAsia" w:cstheme="minorEastAsia"/>
          <w:sz w:val="24"/>
        </w:rPr>
      </w:pPr>
      <w:r>
        <w:rPr>
          <w:rFonts w:hint="eastAsia" w:asciiTheme="minorEastAsia" w:hAnsiTheme="minorEastAsia" w:eastAsiaTheme="minorEastAsia" w:cstheme="minorEastAsia"/>
          <w:sz w:val="24"/>
        </w:rPr>
        <w:t xml:space="preserve"> </w:t>
      </w:r>
      <w:r>
        <w:rPr>
          <w:rFonts w:asciiTheme="minorEastAsia" w:hAnsiTheme="minorEastAsia" w:eastAsiaTheme="minorEastAsia" w:cstheme="minorEastAsia"/>
          <w:sz w:val="24"/>
        </w:rPr>
        <w:t xml:space="preserve"> </w:t>
      </w:r>
      <w:r>
        <w:rPr>
          <w:rFonts w:hint="eastAsia" w:asciiTheme="minorEastAsia" w:hAnsiTheme="minorEastAsia" w:eastAsiaTheme="minorEastAsia" w:cstheme="minorEastAsia"/>
          <w:sz w:val="24"/>
        </w:rPr>
        <w:t xml:space="preserve">  如图所示，软件工程专业的大多数毕业生都选择了信息传输软件和信息技术服务业，大约有33%的毕业生选择了其他行业。</w:t>
      </w:r>
    </w:p>
    <w:p>
      <w:pPr>
        <w:spacing w:line="360" w:lineRule="auto"/>
        <w:jc w:val="center"/>
        <w:rPr>
          <w:rFonts w:asciiTheme="minorEastAsia" w:hAnsiTheme="minorEastAsia" w:eastAsiaTheme="minorEastAsia" w:cstheme="minorEastAsia"/>
          <w:sz w:val="24"/>
        </w:rPr>
      </w:pPr>
      <w:r>
        <w:drawing>
          <wp:inline distT="0" distB="0" distL="0" distR="0">
            <wp:extent cx="5274310" cy="3259455"/>
            <wp:effectExtent l="4445" t="4445" r="17145" b="12700"/>
            <wp:docPr id="12" name="图表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pPr>
        <w:spacing w:line="360" w:lineRule="auto"/>
        <w:rPr>
          <w:rFonts w:asciiTheme="minorEastAsia" w:hAnsiTheme="minorEastAsia" w:eastAsiaTheme="minorEastAsia" w:cstheme="minorEastAsia"/>
          <w:sz w:val="24"/>
        </w:rPr>
      </w:pPr>
      <w:r>
        <w:rPr>
          <w:rFonts w:hint="eastAsia" w:asciiTheme="minorEastAsia" w:hAnsiTheme="minorEastAsia" w:eastAsiaTheme="minorEastAsia" w:cstheme="minorEastAsia"/>
          <w:sz w:val="24"/>
        </w:rPr>
        <w:t xml:space="preserve"> </w:t>
      </w:r>
      <w:r>
        <w:rPr>
          <w:rFonts w:asciiTheme="minorEastAsia" w:hAnsiTheme="minorEastAsia" w:eastAsiaTheme="minorEastAsia" w:cstheme="minorEastAsia"/>
          <w:sz w:val="24"/>
        </w:rPr>
        <w:t xml:space="preserve"> </w:t>
      </w:r>
      <w:r>
        <w:rPr>
          <w:rFonts w:hint="eastAsia" w:asciiTheme="minorEastAsia" w:hAnsiTheme="minorEastAsia" w:eastAsiaTheme="minorEastAsia" w:cstheme="minorEastAsia"/>
          <w:sz w:val="24"/>
        </w:rPr>
        <w:t>如图所示，网络工程专业毕业生大多选择了信息传输软件和信息技术服务业，比重约占62%，主要从事与本专业相关的工作，约有38%的毕业生选择了其他行业。</w:t>
      </w:r>
    </w:p>
    <w:p>
      <w:pPr>
        <w:spacing w:line="360" w:lineRule="auto"/>
        <w:jc w:val="center"/>
        <w:rPr>
          <w:rFonts w:asciiTheme="minorEastAsia" w:hAnsiTheme="minorEastAsia" w:eastAsiaTheme="minorEastAsia" w:cstheme="minorEastAsia"/>
          <w:sz w:val="24"/>
        </w:rPr>
      </w:pPr>
      <w:r>
        <w:drawing>
          <wp:inline distT="0" distB="0" distL="0" distR="0">
            <wp:extent cx="5276850" cy="3333750"/>
            <wp:effectExtent l="4445" t="4445" r="14605" b="14605"/>
            <wp:docPr id="13" name="图表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pPr>
        <w:spacing w:line="360" w:lineRule="auto"/>
        <w:ind w:firstLine="480" w:firstLineChars="200"/>
        <w:jc w:val="left"/>
        <w:rPr>
          <w:rFonts w:ascii="宋体" w:hAnsi="宋体"/>
          <w:sz w:val="24"/>
        </w:rPr>
      </w:pPr>
      <w:r>
        <w:rPr>
          <w:rFonts w:hint="eastAsia" w:ascii="宋体" w:hAnsi="宋体"/>
          <w:sz w:val="24"/>
        </w:rPr>
        <w:t>如图所示，数学与应用数学专业（师范）就业领域高度集中于教育行业，占比55%，从事信息传输、软件和信息技术服务业的占比9%，其他各领域（制造业、金融业、商务服务业等）有约36%的毕业生涉足。</w:t>
      </w:r>
    </w:p>
    <w:p>
      <w:pPr>
        <w:spacing w:line="360" w:lineRule="auto"/>
        <w:jc w:val="center"/>
        <w:rPr>
          <w:rFonts w:asciiTheme="minorEastAsia" w:hAnsiTheme="minorEastAsia" w:eastAsiaTheme="minorEastAsia" w:cstheme="minorEastAsia"/>
          <w:sz w:val="24"/>
        </w:rPr>
      </w:pPr>
      <w:r>
        <w:drawing>
          <wp:inline distT="0" distB="0" distL="0" distR="0">
            <wp:extent cx="5276850" cy="3390900"/>
            <wp:effectExtent l="4445" t="4445" r="14605" b="8255"/>
            <wp:docPr id="20" name="图表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pPr>
        <w:spacing w:line="360" w:lineRule="auto"/>
        <w:ind w:firstLine="480" w:firstLineChars="200"/>
        <w:rPr>
          <w:rFonts w:ascii="宋体" w:hAnsi="宋体"/>
          <w:sz w:val="24"/>
        </w:rPr>
      </w:pPr>
      <w:r>
        <w:rPr>
          <w:rFonts w:hint="eastAsia" w:ascii="宋体" w:hAnsi="宋体"/>
          <w:sz w:val="24"/>
        </w:rPr>
        <w:t>如图所示，信息与计算科学专业就业主要集中于信息传输、软件和信息技术服务业、科学研究和技术服务、教育行业，总体占比约76%，主要从事技术支撑工作。</w:t>
      </w:r>
    </w:p>
    <w:p>
      <w:pPr>
        <w:spacing w:line="360" w:lineRule="auto"/>
        <w:jc w:val="center"/>
        <w:rPr>
          <w:rFonts w:asciiTheme="minorEastAsia" w:hAnsiTheme="minorEastAsia" w:eastAsiaTheme="minorEastAsia" w:cstheme="minorEastAsia"/>
          <w:sz w:val="24"/>
        </w:rPr>
      </w:pPr>
      <w:r>
        <w:drawing>
          <wp:inline distT="0" distB="0" distL="0" distR="0">
            <wp:extent cx="5276850" cy="3228975"/>
            <wp:effectExtent l="4445" t="4445" r="14605" b="5080"/>
            <wp:docPr id="21" name="图表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pPr>
        <w:spacing w:line="360" w:lineRule="auto"/>
        <w:ind w:firstLine="480" w:firstLineChars="200"/>
        <w:rPr>
          <w:rFonts w:ascii="宋体" w:hAnsi="宋体"/>
          <w:sz w:val="24"/>
        </w:rPr>
      </w:pPr>
      <w:r>
        <w:rPr>
          <w:rFonts w:hint="eastAsia" w:ascii="宋体" w:hAnsi="宋体"/>
          <w:sz w:val="24"/>
        </w:rPr>
        <w:t>如图所示，信息管理与信息系统（对口）专业就业主要集中在信息传输、软件和信息技术服务业，约占54%，其他行业分布也相对广泛，包括批发和零售业、教育和制造业等。</w:t>
      </w:r>
    </w:p>
    <w:p>
      <w:pPr>
        <w:spacing w:line="360" w:lineRule="auto"/>
        <w:rPr>
          <w:rFonts w:asciiTheme="minorEastAsia" w:hAnsiTheme="minorEastAsia" w:eastAsiaTheme="minorEastAsia" w:cstheme="minorEastAsia"/>
          <w:b/>
          <w:bCs/>
          <w:color w:val="000000" w:themeColor="text1"/>
          <w:sz w:val="24"/>
          <w14:textFill>
            <w14:solidFill>
              <w14:schemeClr w14:val="tx1"/>
            </w14:solidFill>
          </w14:textFill>
        </w:rPr>
      </w:pPr>
      <w:r>
        <w:rPr>
          <w:rFonts w:hint="eastAsia" w:asciiTheme="minorEastAsia" w:hAnsiTheme="minorEastAsia" w:eastAsiaTheme="minorEastAsia" w:cstheme="minorEastAsia"/>
          <w:b/>
          <w:bCs/>
          <w:color w:val="000000" w:themeColor="text1"/>
          <w:sz w:val="24"/>
          <w14:textFill>
            <w14:solidFill>
              <w14:schemeClr w14:val="tx1"/>
            </w14:solidFill>
          </w14:textFill>
        </w:rPr>
        <w:t>三、人工智能与大数据学院各系相关专业市场需求调查情况</w:t>
      </w:r>
    </w:p>
    <w:p>
      <w:pPr>
        <w:spacing w:line="360" w:lineRule="auto"/>
        <w:ind w:firstLine="480" w:firstLineChars="200"/>
        <w:rPr>
          <w:rFonts w:asciiTheme="minorEastAsia" w:hAnsiTheme="minorEastAsia" w:eastAsiaTheme="minorEastAsia" w:cstheme="minorEastAsia"/>
          <w:color w:val="000000" w:themeColor="text1"/>
          <w:sz w:val="24"/>
          <w14:textFill>
            <w14:solidFill>
              <w14:schemeClr w14:val="tx1"/>
            </w14:solidFill>
          </w14:textFill>
        </w:rPr>
      </w:pPr>
      <w:r>
        <w:rPr>
          <w:rFonts w:hint="eastAsia" w:asciiTheme="minorEastAsia" w:hAnsiTheme="minorEastAsia" w:eastAsiaTheme="minorEastAsia" w:cstheme="minorEastAsia"/>
          <w:color w:val="000000" w:themeColor="text1"/>
          <w:sz w:val="24"/>
          <w14:textFill>
            <w14:solidFill>
              <w14:schemeClr w14:val="tx1"/>
            </w14:solidFill>
          </w14:textFill>
        </w:rPr>
        <w:t>人工智能与大数据学院根据学术、行业和市场需求以及人才培养规律，创新性的设立了智能科学与工程系、大数据与信息工程系以及数学与统计系。目前三个系下辖10个本专科专业，涉及到工学、理学和管理学三大学科门类，同时还在化工材料与大数据、电子信息等方向招收硕士研究生。目前学院相关本专科专业市场需求如下：</w:t>
      </w:r>
    </w:p>
    <w:p>
      <w:pPr>
        <w:numPr>
          <w:ilvl w:val="0"/>
          <w:numId w:val="5"/>
        </w:numPr>
        <w:spacing w:line="360" w:lineRule="auto"/>
        <w:ind w:firstLine="482" w:firstLineChars="200"/>
        <w:rPr>
          <w:rFonts w:asciiTheme="minorEastAsia" w:hAnsiTheme="minorEastAsia" w:eastAsiaTheme="minorEastAsia" w:cstheme="minorEastAsia"/>
          <w:b/>
          <w:bCs/>
          <w:color w:val="000000" w:themeColor="text1"/>
          <w:sz w:val="24"/>
          <w14:textFill>
            <w14:solidFill>
              <w14:schemeClr w14:val="tx1"/>
            </w14:solidFill>
          </w14:textFill>
        </w:rPr>
      </w:pPr>
      <w:r>
        <w:rPr>
          <w:rFonts w:hint="eastAsia" w:asciiTheme="minorEastAsia" w:hAnsiTheme="minorEastAsia" w:eastAsiaTheme="minorEastAsia" w:cstheme="minorEastAsia"/>
          <w:b/>
          <w:bCs/>
          <w:color w:val="000000" w:themeColor="text1"/>
          <w:sz w:val="24"/>
          <w14:textFill>
            <w14:solidFill>
              <w14:schemeClr w14:val="tx1"/>
            </w14:solidFill>
          </w14:textFill>
        </w:rPr>
        <w:t>计算机大类专业的市场需求背景</w:t>
      </w:r>
    </w:p>
    <w:p>
      <w:pPr>
        <w:spacing w:line="360" w:lineRule="auto"/>
        <w:ind w:firstLine="480" w:firstLineChars="200"/>
        <w:rPr>
          <w:rFonts w:asciiTheme="minorEastAsia" w:hAnsiTheme="minorEastAsia" w:eastAsiaTheme="minorEastAsia" w:cstheme="minorEastAsia"/>
          <w:color w:val="000000" w:themeColor="text1"/>
          <w:sz w:val="24"/>
          <w14:textFill>
            <w14:solidFill>
              <w14:schemeClr w14:val="tx1"/>
            </w14:solidFill>
          </w14:textFill>
        </w:rPr>
      </w:pPr>
      <w:r>
        <w:rPr>
          <w:rFonts w:hint="eastAsia" w:asciiTheme="minorEastAsia" w:hAnsiTheme="minorEastAsia" w:eastAsiaTheme="minorEastAsia" w:cstheme="minorEastAsia"/>
          <w:color w:val="000000" w:themeColor="text1"/>
          <w:sz w:val="24"/>
          <w14:textFill>
            <w14:solidFill>
              <w14:schemeClr w14:val="tx1"/>
            </w14:solidFill>
          </w14:textFill>
        </w:rPr>
        <w:t>2022年，学院计算机大类专业毕业的学生有362人，涵盖计算机科学与技术专业、软件工程专业、网络工程专业以及信息安全与管理专业。</w:t>
      </w:r>
    </w:p>
    <w:p>
      <w:pPr>
        <w:spacing w:line="360" w:lineRule="auto"/>
        <w:ind w:firstLine="480" w:firstLineChars="200"/>
        <w:rPr>
          <w:rFonts w:asciiTheme="minorEastAsia" w:hAnsiTheme="minorEastAsia" w:eastAsiaTheme="minorEastAsia" w:cstheme="minorEastAsia"/>
          <w:color w:val="FF0000"/>
          <w:sz w:val="24"/>
        </w:rPr>
      </w:pPr>
      <w:r>
        <w:rPr>
          <w:rFonts w:asciiTheme="minorEastAsia" w:hAnsiTheme="minorEastAsia" w:eastAsiaTheme="minorEastAsia" w:cstheme="minorEastAsia"/>
          <w:color w:val="000000" w:themeColor="text1"/>
          <w:sz w:val="24"/>
          <w14:textFill>
            <w14:solidFill>
              <w14:schemeClr w14:val="tx1"/>
            </w14:solidFill>
          </w14:textFill>
        </w:rPr>
        <w:t>随着互联网整合社会资源的能力越来越强，大量的行业领域都需要把业务向互联网迁移，这个过程必然会释放出大量计算机专业人才的需求，中国科技人才市场发展需求也同样如此。</w:t>
      </w:r>
    </w:p>
    <w:p>
      <w:pPr>
        <w:spacing w:line="360" w:lineRule="auto"/>
        <w:ind w:firstLine="480" w:firstLineChars="200"/>
        <w:rPr>
          <w:rFonts w:asciiTheme="minorEastAsia" w:hAnsiTheme="minorEastAsia" w:eastAsiaTheme="minorEastAsia" w:cstheme="minorEastAsia"/>
          <w:color w:val="000000" w:themeColor="text1"/>
          <w:sz w:val="24"/>
          <w14:textFill>
            <w14:solidFill>
              <w14:schemeClr w14:val="tx1"/>
            </w14:solidFill>
          </w14:textFill>
        </w:rPr>
      </w:pPr>
      <w:r>
        <w:rPr>
          <w:rFonts w:asciiTheme="minorEastAsia" w:hAnsiTheme="minorEastAsia" w:eastAsiaTheme="minorEastAsia" w:cstheme="minorEastAsia"/>
          <w:color w:val="000000" w:themeColor="text1"/>
          <w:sz w:val="24"/>
          <w14:textFill>
            <w14:solidFill>
              <w14:schemeClr w14:val="tx1"/>
            </w14:solidFill>
          </w14:textFill>
        </w:rPr>
        <w:t>计算机类专业一直是热门专业，尤其是当智能驾驶、人工智能、大数据、互联网+等等一个前沿的领域不断发展，社会对计算机类专业人才需求越来越大。从当前行业的人才需求情况来看，大型IT互联网企业的结构升级正在持续推进，所以对于人才的需求更偏向于高端人才，从近几年计算机专业的就业情况来看，整体的薪资待遇还是比较高的，而且岗位选择空间也比较大。由于当前计算机专业高端人才比较匮乏，要想在本科毕业后获得更强的岗位竞争力，应该重视运用技术解决问题的能力提升，以及重视新技术的学习。</w:t>
      </w:r>
    </w:p>
    <w:p>
      <w:pPr>
        <w:spacing w:line="360" w:lineRule="auto"/>
        <w:ind w:firstLine="480" w:firstLineChars="200"/>
        <w:rPr>
          <w:rFonts w:asciiTheme="minorEastAsia" w:hAnsiTheme="minorEastAsia" w:eastAsiaTheme="minorEastAsia" w:cstheme="minorEastAsia"/>
          <w:color w:val="000000" w:themeColor="text1"/>
          <w:sz w:val="24"/>
          <w14:textFill>
            <w14:solidFill>
              <w14:schemeClr w14:val="tx1"/>
            </w14:solidFill>
          </w14:textFill>
        </w:rPr>
      </w:pPr>
      <w:r>
        <w:rPr>
          <w:rFonts w:hint="eastAsia" w:asciiTheme="minorEastAsia" w:hAnsiTheme="minorEastAsia" w:eastAsiaTheme="minorEastAsia" w:cstheme="minorEastAsia"/>
          <w:color w:val="000000" w:themeColor="text1"/>
          <w:sz w:val="24"/>
          <w14:textFill>
            <w14:solidFill>
              <w14:schemeClr w14:val="tx1"/>
            </w14:solidFill>
          </w14:textFill>
        </w:rPr>
        <w:t>计算机大类专业</w:t>
      </w:r>
      <w:r>
        <w:rPr>
          <w:rFonts w:asciiTheme="minorEastAsia" w:hAnsiTheme="minorEastAsia" w:eastAsiaTheme="minorEastAsia" w:cstheme="minorEastAsia"/>
          <w:color w:val="000000" w:themeColor="text1"/>
          <w:sz w:val="24"/>
          <w14:textFill>
            <w14:solidFill>
              <w14:schemeClr w14:val="tx1"/>
            </w14:solidFill>
          </w14:textFill>
        </w:rPr>
        <w:t>行业适应面广。从纯IT技术企业，到制造业，到电商，直播，银行，航空公司等等各种行业和企业，都离不开计算机专业的岗位，只要你适应能力够强，各种行业都可以尝试。</w:t>
      </w:r>
    </w:p>
    <w:p>
      <w:pPr>
        <w:spacing w:line="360" w:lineRule="auto"/>
        <w:ind w:firstLine="480" w:firstLineChars="200"/>
        <w:rPr>
          <w:rFonts w:asciiTheme="minorEastAsia" w:hAnsiTheme="minorEastAsia" w:eastAsiaTheme="minorEastAsia" w:cstheme="minorEastAsia"/>
          <w:color w:val="000000" w:themeColor="text1"/>
          <w:sz w:val="24"/>
          <w14:textFill>
            <w14:solidFill>
              <w14:schemeClr w14:val="tx1"/>
            </w14:solidFill>
          </w14:textFill>
        </w:rPr>
      </w:pPr>
      <w:r>
        <w:rPr>
          <w:rFonts w:hint="eastAsia" w:asciiTheme="minorEastAsia" w:hAnsiTheme="minorEastAsia" w:eastAsiaTheme="minorEastAsia" w:cstheme="minorEastAsia"/>
          <w:color w:val="000000" w:themeColor="text1"/>
          <w:sz w:val="24"/>
          <w14:textFill>
            <w14:solidFill>
              <w14:schemeClr w14:val="tx1"/>
            </w14:solidFill>
          </w14:textFill>
        </w:rPr>
        <w:t>比如计算机科学与技术专业是全国高校开设最广泛的专业之一，也是最基础的专业；不同的高校会有不同的就业平台。主要集中在 IT 类外企和 IT 类国企、民企，非 IT 类外企及国企的计算机部门，政府、科研单位及其他单位，师范类院校毕业生可到中小学担任计算机类课程教师，发展空间较大。</w:t>
      </w:r>
    </w:p>
    <w:p>
      <w:pPr>
        <w:spacing w:line="360" w:lineRule="auto"/>
        <w:ind w:firstLine="480" w:firstLineChars="200"/>
        <w:rPr>
          <w:rFonts w:asciiTheme="minorEastAsia" w:hAnsiTheme="minorEastAsia" w:eastAsiaTheme="minorEastAsia" w:cstheme="minorEastAsia"/>
          <w:color w:val="000000" w:themeColor="text1"/>
          <w:sz w:val="24"/>
          <w14:textFill>
            <w14:solidFill>
              <w14:schemeClr w14:val="tx1"/>
            </w14:solidFill>
          </w14:textFill>
        </w:rPr>
      </w:pPr>
      <w:r>
        <w:rPr>
          <w:rFonts w:hint="eastAsia" w:asciiTheme="minorEastAsia" w:hAnsiTheme="minorEastAsia" w:eastAsiaTheme="minorEastAsia" w:cstheme="minorEastAsia"/>
          <w:color w:val="000000" w:themeColor="text1"/>
          <w:sz w:val="24"/>
          <w14:textFill>
            <w14:solidFill>
              <w14:schemeClr w14:val="tx1"/>
            </w14:solidFill>
          </w14:textFill>
        </w:rPr>
        <w:t>比如软件工程、网络工程毕业生能在软件公司开发软件，可以到软件测试公司做软件测试，可以做软件公司销售，可以到研究所做程序员，可以制作网页、动态商务网站开发与管理，也可以几个同学共同组织个网络工作室。也可以从事物联网的通信架构、网络协议和标准、无线传感器、信息安全等方面的设计、开发、管理与维护工作。政府等公共事业单位也倾向于招聘软件工程和网络工程专业毕业生。</w:t>
      </w:r>
    </w:p>
    <w:p>
      <w:pPr>
        <w:spacing w:line="360" w:lineRule="auto"/>
        <w:ind w:firstLine="480" w:firstLineChars="200"/>
        <w:rPr>
          <w:rFonts w:asciiTheme="minorEastAsia" w:hAnsiTheme="minorEastAsia" w:eastAsiaTheme="minorEastAsia" w:cstheme="minorEastAsia"/>
          <w:color w:val="000000" w:themeColor="text1"/>
          <w:sz w:val="24"/>
          <w14:textFill>
            <w14:solidFill>
              <w14:schemeClr w14:val="tx1"/>
            </w14:solidFill>
          </w14:textFill>
        </w:rPr>
      </w:pPr>
      <w:r>
        <w:rPr>
          <w:rFonts w:hint="eastAsia" w:asciiTheme="minorEastAsia" w:hAnsiTheme="minorEastAsia" w:eastAsiaTheme="minorEastAsia" w:cstheme="minorEastAsia"/>
          <w:color w:val="000000" w:themeColor="text1"/>
          <w:sz w:val="24"/>
          <w14:textFill>
            <w14:solidFill>
              <w14:schemeClr w14:val="tx1"/>
            </w14:solidFill>
          </w14:textFill>
        </w:rPr>
        <w:t>再比如信息安全与管理从业方向有公务员、软件测试、事业单位人员、警察、网络与信息安全工程师、IT 技术支持、维护工程师、参军、软件工程师等。</w:t>
      </w:r>
    </w:p>
    <w:p>
      <w:pPr>
        <w:numPr>
          <w:ilvl w:val="0"/>
          <w:numId w:val="5"/>
        </w:numPr>
        <w:spacing w:line="360" w:lineRule="auto"/>
        <w:ind w:firstLine="482" w:firstLineChars="200"/>
        <w:rPr>
          <w:rFonts w:asciiTheme="minorEastAsia" w:hAnsiTheme="minorEastAsia" w:eastAsiaTheme="minorEastAsia" w:cstheme="minorEastAsia"/>
          <w:b/>
          <w:bCs/>
          <w:color w:val="000000" w:themeColor="text1"/>
          <w:sz w:val="24"/>
          <w14:textFill>
            <w14:solidFill>
              <w14:schemeClr w14:val="tx1"/>
            </w14:solidFill>
          </w14:textFill>
        </w:rPr>
      </w:pPr>
      <w:r>
        <w:rPr>
          <w:rFonts w:hint="eastAsia" w:asciiTheme="minorEastAsia" w:hAnsiTheme="minorEastAsia" w:eastAsiaTheme="minorEastAsia" w:cstheme="minorEastAsia"/>
          <w:b/>
          <w:bCs/>
          <w:color w:val="000000" w:themeColor="text1"/>
          <w:sz w:val="24"/>
          <w14:textFill>
            <w14:solidFill>
              <w14:schemeClr w14:val="tx1"/>
            </w14:solidFill>
          </w14:textFill>
        </w:rPr>
        <w:t>数学大类专业的市场需求背景</w:t>
      </w:r>
    </w:p>
    <w:p>
      <w:pPr>
        <w:spacing w:line="360" w:lineRule="auto"/>
        <w:ind w:firstLine="480" w:firstLineChars="200"/>
        <w:rPr>
          <w:rFonts w:asciiTheme="minorEastAsia" w:hAnsiTheme="minorEastAsia" w:eastAsiaTheme="minorEastAsia" w:cstheme="minorEastAsia"/>
          <w:color w:val="000000" w:themeColor="text1"/>
          <w:sz w:val="24"/>
          <w14:textFill>
            <w14:solidFill>
              <w14:schemeClr w14:val="tx1"/>
            </w14:solidFill>
          </w14:textFill>
        </w:rPr>
      </w:pPr>
      <w:r>
        <w:rPr>
          <w:rFonts w:hint="eastAsia" w:asciiTheme="minorEastAsia" w:hAnsiTheme="minorEastAsia" w:eastAsiaTheme="minorEastAsia" w:cstheme="minorEastAsia"/>
          <w:color w:val="000000" w:themeColor="text1"/>
          <w:sz w:val="24"/>
          <w14:textFill>
            <w14:solidFill>
              <w14:schemeClr w14:val="tx1"/>
            </w14:solidFill>
          </w14:textFill>
        </w:rPr>
        <w:t>2022年，学院数学大类专业毕业的学生有114人，涵盖数学与应用数学专业、信息与计算科学专业。</w:t>
      </w:r>
    </w:p>
    <w:p>
      <w:pPr>
        <w:spacing w:line="360" w:lineRule="auto"/>
        <w:ind w:firstLine="480" w:firstLineChars="200"/>
        <w:rPr>
          <w:rFonts w:asciiTheme="minorEastAsia" w:hAnsiTheme="minorEastAsia" w:eastAsiaTheme="minorEastAsia" w:cstheme="minorEastAsia"/>
          <w:color w:val="000000" w:themeColor="text1"/>
          <w:sz w:val="24"/>
          <w14:textFill>
            <w14:solidFill>
              <w14:schemeClr w14:val="tx1"/>
            </w14:solidFill>
          </w14:textFill>
        </w:rPr>
      </w:pPr>
      <w:r>
        <w:rPr>
          <w:rFonts w:hint="eastAsia" w:asciiTheme="minorEastAsia" w:hAnsiTheme="minorEastAsia" w:eastAsiaTheme="minorEastAsia" w:cstheme="minorEastAsia"/>
          <w:color w:val="000000" w:themeColor="text1"/>
          <w:sz w:val="24"/>
          <w14:textFill>
            <w14:solidFill>
              <w14:schemeClr w14:val="tx1"/>
            </w14:solidFill>
          </w14:textFill>
        </w:rPr>
        <w:t>在数学大类专业学习，学生会接受大量抽象有概括的数学知识，会培养良好的逻辑思维和创新能力，跨专业考研或跨专业就业都有较大的优势。</w:t>
      </w:r>
    </w:p>
    <w:p>
      <w:pPr>
        <w:spacing w:line="360" w:lineRule="auto"/>
        <w:ind w:firstLine="480" w:firstLineChars="200"/>
        <w:rPr>
          <w:rFonts w:asciiTheme="minorEastAsia" w:hAnsiTheme="minorEastAsia" w:eastAsiaTheme="minorEastAsia" w:cstheme="minorEastAsia"/>
          <w:color w:val="000000" w:themeColor="text1"/>
          <w:sz w:val="24"/>
          <w14:textFill>
            <w14:solidFill>
              <w14:schemeClr w14:val="tx1"/>
            </w14:solidFill>
          </w14:textFill>
        </w:rPr>
      </w:pPr>
      <w:r>
        <w:rPr>
          <w:rFonts w:hint="eastAsia" w:asciiTheme="minorEastAsia" w:hAnsiTheme="minorEastAsia" w:eastAsiaTheme="minorEastAsia" w:cstheme="minorEastAsia"/>
          <w:color w:val="000000" w:themeColor="text1"/>
          <w:sz w:val="24"/>
          <w14:textFill>
            <w14:solidFill>
              <w14:schemeClr w14:val="tx1"/>
            </w14:solidFill>
          </w14:textFill>
        </w:rPr>
        <w:t>数学与应用数学主干课程有：数学分析、高等代数、高等数学、解析几何、微分几何、高等几何、常微分方程、偏微分方程、概率论与数理统计、复变函数论、实变函数论、抽象代数、近世代数、数论、泛函分析、拓扑学、模糊数学。师范类还要学习数学教育学等。</w:t>
      </w:r>
    </w:p>
    <w:p>
      <w:pPr>
        <w:spacing w:line="360" w:lineRule="auto"/>
        <w:ind w:firstLine="480" w:firstLineChars="200"/>
        <w:rPr>
          <w:rFonts w:asciiTheme="minorEastAsia" w:hAnsiTheme="minorEastAsia" w:eastAsiaTheme="minorEastAsia" w:cstheme="minorEastAsia"/>
          <w:color w:val="000000" w:themeColor="text1"/>
          <w:sz w:val="24"/>
          <w14:textFill>
            <w14:solidFill>
              <w14:schemeClr w14:val="tx1"/>
            </w14:solidFill>
          </w14:textFill>
        </w:rPr>
      </w:pPr>
      <w:r>
        <w:rPr>
          <w:rFonts w:hint="eastAsia" w:asciiTheme="minorEastAsia" w:hAnsiTheme="minorEastAsia" w:eastAsiaTheme="minorEastAsia" w:cstheme="minorEastAsia"/>
          <w:color w:val="000000" w:themeColor="text1"/>
          <w:sz w:val="24"/>
          <w14:textFill>
            <w14:solidFill>
              <w14:schemeClr w14:val="tx1"/>
            </w14:solidFill>
          </w14:textFill>
        </w:rPr>
        <w:t>信息与计算科学主干课程有：数学分析、高等代数、解析几何、概率统计、数学模型、离散数学、模糊数学、实变函数、复变函数、微分方程、物理学、信息处理、信息编码与信息安全、现代密码学教程、计算智能、计算机科学基础、数值计算方法、数据挖掘、最优化理论、运筹学、计算机组成原理、计算机网络、计算机图形学、c/c++语言、java语言、汇编语言、算法与数据结构、数据库应用技术、软件系统、操作系统等。</w:t>
      </w:r>
    </w:p>
    <w:p>
      <w:pPr>
        <w:spacing w:line="360" w:lineRule="auto"/>
        <w:ind w:firstLine="480" w:firstLineChars="200"/>
        <w:rPr>
          <w:rFonts w:asciiTheme="minorEastAsia" w:hAnsiTheme="minorEastAsia" w:eastAsiaTheme="minorEastAsia" w:cstheme="minorEastAsia"/>
          <w:color w:val="000000" w:themeColor="text1"/>
          <w:sz w:val="24"/>
          <w14:textFill>
            <w14:solidFill>
              <w14:schemeClr w14:val="tx1"/>
            </w14:solidFill>
          </w14:textFill>
        </w:rPr>
      </w:pPr>
      <w:r>
        <w:rPr>
          <w:rFonts w:hint="eastAsia" w:asciiTheme="minorEastAsia" w:hAnsiTheme="minorEastAsia" w:eastAsiaTheme="minorEastAsia" w:cstheme="minorEastAsia"/>
          <w:color w:val="000000" w:themeColor="text1"/>
          <w:sz w:val="24"/>
          <w14:textFill>
            <w14:solidFill>
              <w14:schemeClr w14:val="tx1"/>
            </w14:solidFill>
          </w14:textFill>
        </w:rPr>
        <w:t>数学大类专业属于基础型专业，就业面较宽，具有扎实基础的数学人才既可以做职业数学家，又可以在各类学校做数学老师；还可以成为某种领域（如金融、统计）的数据分析师，也可以从事软件设计、工程计算、网络安全、国防科技等方面的技术工作。</w:t>
      </w:r>
    </w:p>
    <w:p>
      <w:pPr>
        <w:spacing w:line="360" w:lineRule="auto"/>
        <w:ind w:firstLine="480" w:firstLineChars="200"/>
        <w:rPr>
          <w:rFonts w:asciiTheme="minorEastAsia" w:hAnsiTheme="minorEastAsia" w:eastAsiaTheme="minorEastAsia" w:cstheme="minorEastAsia"/>
          <w:color w:val="000000" w:themeColor="text1"/>
          <w:sz w:val="24"/>
          <w14:textFill>
            <w14:solidFill>
              <w14:schemeClr w14:val="tx1"/>
            </w14:solidFill>
          </w14:textFill>
        </w:rPr>
      </w:pPr>
      <w:r>
        <w:rPr>
          <w:rFonts w:hint="eastAsia" w:asciiTheme="minorEastAsia" w:hAnsiTheme="minorEastAsia" w:eastAsiaTheme="minorEastAsia" w:cstheme="minorEastAsia"/>
          <w:color w:val="000000" w:themeColor="text1"/>
          <w:sz w:val="24"/>
          <w14:textFill>
            <w14:solidFill>
              <w14:schemeClr w14:val="tx1"/>
            </w14:solidFill>
          </w14:textFill>
        </w:rPr>
        <w:t>如果以后具有数学以及其他学科的复合背景的话，工作更容易招，例如国内对金融数学、精算数学的人才需求很大。据统计，毕业后收入较高、工作相关度高、提升较快的专业主要集中在计算机、金融、信息安全、软件工程等相关行业领域。</w:t>
      </w:r>
    </w:p>
    <w:p>
      <w:pPr>
        <w:spacing w:line="360" w:lineRule="auto"/>
        <w:ind w:firstLine="480" w:firstLineChars="200"/>
        <w:rPr>
          <w:rFonts w:asciiTheme="minorEastAsia" w:hAnsiTheme="minorEastAsia" w:eastAsiaTheme="minorEastAsia" w:cstheme="minorEastAsia"/>
          <w:color w:val="000000" w:themeColor="text1"/>
          <w:sz w:val="24"/>
          <w14:textFill>
            <w14:solidFill>
              <w14:schemeClr w14:val="tx1"/>
            </w14:solidFill>
          </w14:textFill>
        </w:rPr>
      </w:pPr>
      <w:r>
        <w:rPr>
          <w:rFonts w:hint="eastAsia" w:asciiTheme="minorEastAsia" w:hAnsiTheme="minorEastAsia" w:eastAsiaTheme="minorEastAsia" w:cstheme="minorEastAsia"/>
          <w:color w:val="000000" w:themeColor="text1"/>
          <w:sz w:val="24"/>
          <w14:textFill>
            <w14:solidFill>
              <w14:schemeClr w14:val="tx1"/>
            </w14:solidFill>
          </w14:textFill>
        </w:rPr>
        <w:t>而数学专业毕业生大多从事相关行业的技术岗位，如精算师、银行、证券业工作、程序员、数据分析师等。</w:t>
      </w:r>
    </w:p>
    <w:p>
      <w:pPr>
        <w:spacing w:line="360" w:lineRule="auto"/>
        <w:ind w:firstLine="480" w:firstLineChars="200"/>
        <w:rPr>
          <w:rFonts w:asciiTheme="minorEastAsia" w:hAnsiTheme="minorEastAsia" w:eastAsiaTheme="minorEastAsia" w:cstheme="minorEastAsia"/>
          <w:color w:val="000000" w:themeColor="text1"/>
          <w:sz w:val="24"/>
          <w14:textFill>
            <w14:solidFill>
              <w14:schemeClr w14:val="tx1"/>
            </w14:solidFill>
          </w14:textFill>
        </w:rPr>
      </w:pPr>
      <w:r>
        <w:rPr>
          <w:rFonts w:hint="eastAsia" w:asciiTheme="minorEastAsia" w:hAnsiTheme="minorEastAsia" w:eastAsiaTheme="minorEastAsia" w:cstheme="minorEastAsia"/>
          <w:color w:val="000000" w:themeColor="text1"/>
          <w:sz w:val="24"/>
          <w14:textFill>
            <w14:solidFill>
              <w14:schemeClr w14:val="tx1"/>
            </w14:solidFill>
          </w14:textFill>
        </w:rPr>
        <w:t>数学大类通常应用的专业领域有：</w:t>
      </w:r>
    </w:p>
    <w:p>
      <w:pPr>
        <w:spacing w:line="360" w:lineRule="auto"/>
        <w:ind w:firstLine="480" w:firstLineChars="200"/>
        <w:rPr>
          <w:rFonts w:asciiTheme="minorEastAsia" w:hAnsiTheme="minorEastAsia" w:eastAsiaTheme="minorEastAsia" w:cstheme="minorEastAsia"/>
          <w:color w:val="000000" w:themeColor="text1"/>
          <w:sz w:val="24"/>
          <w14:textFill>
            <w14:solidFill>
              <w14:schemeClr w14:val="tx1"/>
            </w14:solidFill>
          </w14:textFill>
        </w:rPr>
      </w:pPr>
      <w:r>
        <w:rPr>
          <w:rFonts w:hint="eastAsia" w:asciiTheme="minorEastAsia" w:hAnsiTheme="minorEastAsia" w:eastAsiaTheme="minorEastAsia" w:cstheme="minorEastAsia"/>
          <w:color w:val="000000" w:themeColor="text1"/>
          <w:sz w:val="24"/>
          <w14:textFill>
            <w14:solidFill>
              <w14:schemeClr w14:val="tx1"/>
            </w14:solidFill>
          </w14:textFill>
        </w:rPr>
        <w:t>数学与国防安全：定量化分析、建模用于现代化战争；数论用于信息的“加密”与“解密”</w:t>
      </w:r>
    </w:p>
    <w:p>
      <w:pPr>
        <w:spacing w:line="360" w:lineRule="auto"/>
        <w:ind w:firstLine="480" w:firstLineChars="200"/>
        <w:rPr>
          <w:rFonts w:asciiTheme="minorEastAsia" w:hAnsiTheme="minorEastAsia" w:eastAsiaTheme="minorEastAsia" w:cstheme="minorEastAsia"/>
          <w:color w:val="000000" w:themeColor="text1"/>
          <w:sz w:val="24"/>
          <w14:textFill>
            <w14:solidFill>
              <w14:schemeClr w14:val="tx1"/>
            </w14:solidFill>
          </w14:textFill>
        </w:rPr>
      </w:pPr>
      <w:r>
        <w:rPr>
          <w:rFonts w:hint="eastAsia" w:asciiTheme="minorEastAsia" w:hAnsiTheme="minorEastAsia" w:eastAsiaTheme="minorEastAsia" w:cstheme="minorEastAsia"/>
          <w:color w:val="000000" w:themeColor="text1"/>
          <w:sz w:val="24"/>
          <w14:textFill>
            <w14:solidFill>
              <w14:schemeClr w14:val="tx1"/>
            </w14:solidFill>
          </w14:textFill>
        </w:rPr>
        <w:t>数学与信息：没有快速的傅里叶变换，就没有当今的互联网；解决互联网中的科学问题；</w:t>
      </w:r>
    </w:p>
    <w:p>
      <w:pPr>
        <w:spacing w:line="360" w:lineRule="auto"/>
        <w:ind w:firstLine="480" w:firstLineChars="200"/>
        <w:rPr>
          <w:rFonts w:asciiTheme="minorEastAsia" w:hAnsiTheme="minorEastAsia" w:eastAsiaTheme="minorEastAsia" w:cstheme="minorEastAsia"/>
          <w:color w:val="000000" w:themeColor="text1"/>
          <w:sz w:val="24"/>
          <w14:textFill>
            <w14:solidFill>
              <w14:schemeClr w14:val="tx1"/>
            </w14:solidFill>
          </w14:textFill>
        </w:rPr>
      </w:pPr>
      <w:r>
        <w:rPr>
          <w:rFonts w:hint="eastAsia" w:asciiTheme="minorEastAsia" w:hAnsiTheme="minorEastAsia" w:eastAsiaTheme="minorEastAsia" w:cstheme="minorEastAsia"/>
          <w:color w:val="000000" w:themeColor="text1"/>
          <w:sz w:val="24"/>
          <w14:textFill>
            <w14:solidFill>
              <w14:schemeClr w14:val="tx1"/>
            </w14:solidFill>
          </w14:textFill>
        </w:rPr>
        <w:t>数学与航空航天：世界上任何一枚火箭的设计制造，都离不开齐奥尔科夫斯基公式；航天器何时发射是可以算出来的；</w:t>
      </w:r>
    </w:p>
    <w:p>
      <w:pPr>
        <w:spacing w:line="360" w:lineRule="auto"/>
        <w:ind w:firstLine="480" w:firstLineChars="200"/>
        <w:rPr>
          <w:rFonts w:asciiTheme="minorEastAsia" w:hAnsiTheme="minorEastAsia" w:eastAsiaTheme="minorEastAsia" w:cstheme="minorEastAsia"/>
          <w:color w:val="000000" w:themeColor="text1"/>
          <w:sz w:val="24"/>
          <w14:textFill>
            <w14:solidFill>
              <w14:schemeClr w14:val="tx1"/>
            </w14:solidFill>
          </w14:textFill>
        </w:rPr>
      </w:pPr>
      <w:r>
        <w:rPr>
          <w:rFonts w:hint="eastAsia" w:asciiTheme="minorEastAsia" w:hAnsiTheme="minorEastAsia" w:eastAsiaTheme="minorEastAsia" w:cstheme="minorEastAsia"/>
          <w:color w:val="000000" w:themeColor="text1"/>
          <w:sz w:val="24"/>
          <w14:textFill>
            <w14:solidFill>
              <w14:schemeClr w14:val="tx1"/>
            </w14:solidFill>
          </w14:textFill>
        </w:rPr>
        <w:t>数学与生物医药：生命现象可以通过数学墨香研究；用数学辅助精准医疗；</w:t>
      </w:r>
    </w:p>
    <w:p>
      <w:pPr>
        <w:spacing w:line="360" w:lineRule="auto"/>
        <w:ind w:firstLine="480" w:firstLineChars="200"/>
        <w:rPr>
          <w:rFonts w:asciiTheme="minorEastAsia" w:hAnsiTheme="minorEastAsia" w:eastAsiaTheme="minorEastAsia" w:cstheme="minorEastAsia"/>
          <w:color w:val="000000" w:themeColor="text1"/>
          <w:sz w:val="24"/>
          <w14:textFill>
            <w14:solidFill>
              <w14:schemeClr w14:val="tx1"/>
            </w14:solidFill>
          </w14:textFill>
        </w:rPr>
      </w:pPr>
      <w:r>
        <w:rPr>
          <w:rFonts w:hint="eastAsia" w:asciiTheme="minorEastAsia" w:hAnsiTheme="minorEastAsia" w:eastAsiaTheme="minorEastAsia" w:cstheme="minorEastAsia"/>
          <w:color w:val="000000" w:themeColor="text1"/>
          <w:sz w:val="24"/>
          <w14:textFill>
            <w14:solidFill>
              <w14:schemeClr w14:val="tx1"/>
            </w14:solidFill>
          </w14:textFill>
        </w:rPr>
        <w:t>数学与能源：数学也能用于油气勘探；</w:t>
      </w:r>
    </w:p>
    <w:p>
      <w:pPr>
        <w:spacing w:line="360" w:lineRule="auto"/>
        <w:ind w:firstLine="480" w:firstLineChars="200"/>
        <w:rPr>
          <w:rFonts w:asciiTheme="minorEastAsia" w:hAnsiTheme="minorEastAsia" w:eastAsiaTheme="minorEastAsia" w:cstheme="minorEastAsia"/>
          <w:color w:val="000000" w:themeColor="text1"/>
          <w:sz w:val="24"/>
          <w14:textFill>
            <w14:solidFill>
              <w14:schemeClr w14:val="tx1"/>
            </w14:solidFill>
          </w14:textFill>
        </w:rPr>
      </w:pPr>
      <w:r>
        <w:rPr>
          <w:rFonts w:hint="eastAsia" w:asciiTheme="minorEastAsia" w:hAnsiTheme="minorEastAsia" w:eastAsiaTheme="minorEastAsia" w:cstheme="minorEastAsia"/>
          <w:color w:val="000000" w:themeColor="text1"/>
          <w:sz w:val="24"/>
          <w14:textFill>
            <w14:solidFill>
              <w14:schemeClr w14:val="tx1"/>
            </w14:solidFill>
          </w14:textFill>
        </w:rPr>
        <w:t>数学与人工智能：人工智能归根结底是算法；数学让人工智能成为更规范的科学；</w:t>
      </w:r>
    </w:p>
    <w:p>
      <w:pPr>
        <w:spacing w:line="360" w:lineRule="auto"/>
        <w:ind w:firstLine="480" w:firstLineChars="200"/>
        <w:rPr>
          <w:rFonts w:asciiTheme="minorEastAsia" w:hAnsiTheme="minorEastAsia" w:eastAsiaTheme="minorEastAsia" w:cstheme="minorEastAsia"/>
          <w:color w:val="000000" w:themeColor="text1"/>
          <w:sz w:val="24"/>
          <w14:textFill>
            <w14:solidFill>
              <w14:schemeClr w14:val="tx1"/>
            </w14:solidFill>
          </w14:textFill>
        </w:rPr>
      </w:pPr>
      <w:r>
        <w:rPr>
          <w:rFonts w:hint="eastAsia" w:asciiTheme="minorEastAsia" w:hAnsiTheme="minorEastAsia" w:eastAsiaTheme="minorEastAsia" w:cstheme="minorEastAsia"/>
          <w:color w:val="000000" w:themeColor="text1"/>
          <w:sz w:val="24"/>
          <w14:textFill>
            <w14:solidFill>
              <w14:schemeClr w14:val="tx1"/>
            </w14:solidFill>
          </w14:textFill>
        </w:rPr>
        <w:t>数学与先进制造：在数字化涉及制造技术发展的每个关头，数学方法都起到了关键作用；数控系统是实现高速、高精控制的基础。</w:t>
      </w:r>
    </w:p>
    <w:p>
      <w:pPr>
        <w:spacing w:line="360" w:lineRule="auto"/>
        <w:ind w:firstLine="480" w:firstLineChars="200"/>
        <w:rPr>
          <w:rFonts w:asciiTheme="minorEastAsia" w:hAnsiTheme="minorEastAsia" w:eastAsiaTheme="minorEastAsia" w:cstheme="minorEastAsia"/>
          <w:color w:val="000000" w:themeColor="text1"/>
          <w:sz w:val="24"/>
          <w14:textFill>
            <w14:solidFill>
              <w14:schemeClr w14:val="tx1"/>
            </w14:solidFill>
          </w14:textFill>
        </w:rPr>
      </w:pPr>
      <w:r>
        <w:rPr>
          <w:rFonts w:hint="eastAsia" w:asciiTheme="minorEastAsia" w:hAnsiTheme="minorEastAsia" w:eastAsiaTheme="minorEastAsia" w:cstheme="minorEastAsia"/>
          <w:color w:val="000000" w:themeColor="text1"/>
          <w:sz w:val="24"/>
          <w14:textFill>
            <w14:solidFill>
              <w14:schemeClr w14:val="tx1"/>
            </w14:solidFill>
          </w14:textFill>
        </w:rPr>
        <w:t>数学与海洋：大数据实现天气预报；数学模型可以预测海啸。</w:t>
      </w:r>
    </w:p>
    <w:p>
      <w:pPr>
        <w:numPr>
          <w:ilvl w:val="0"/>
          <w:numId w:val="5"/>
        </w:numPr>
        <w:spacing w:line="360" w:lineRule="auto"/>
        <w:ind w:firstLine="482" w:firstLineChars="200"/>
        <w:rPr>
          <w:rFonts w:asciiTheme="minorEastAsia" w:hAnsiTheme="minorEastAsia" w:eastAsiaTheme="minorEastAsia" w:cstheme="minorEastAsia"/>
          <w:b/>
          <w:color w:val="000000" w:themeColor="text1"/>
          <w:sz w:val="24"/>
          <w14:textFill>
            <w14:solidFill>
              <w14:schemeClr w14:val="tx1"/>
            </w14:solidFill>
          </w14:textFill>
        </w:rPr>
      </w:pPr>
      <w:r>
        <w:rPr>
          <w:rFonts w:hint="eastAsia" w:asciiTheme="minorEastAsia" w:hAnsiTheme="minorEastAsia" w:eastAsiaTheme="minorEastAsia" w:cstheme="minorEastAsia"/>
          <w:b/>
          <w:color w:val="000000" w:themeColor="text1"/>
          <w:sz w:val="24"/>
          <w14:textFill>
            <w14:solidFill>
              <w14:schemeClr w14:val="tx1"/>
            </w14:solidFill>
          </w14:textFill>
        </w:rPr>
        <w:t>管理学大类专业的市场需求背景</w:t>
      </w:r>
    </w:p>
    <w:p>
      <w:pPr>
        <w:spacing w:line="360" w:lineRule="auto"/>
        <w:ind w:firstLine="480" w:firstLineChars="200"/>
        <w:rPr>
          <w:rFonts w:asciiTheme="minorEastAsia" w:hAnsiTheme="minorEastAsia" w:eastAsiaTheme="minorEastAsia" w:cstheme="minorEastAsia"/>
          <w:color w:val="000000" w:themeColor="text1"/>
          <w:sz w:val="24"/>
          <w14:textFill>
            <w14:solidFill>
              <w14:schemeClr w14:val="tx1"/>
            </w14:solidFill>
          </w14:textFill>
        </w:rPr>
      </w:pPr>
      <w:r>
        <w:rPr>
          <w:rFonts w:hint="eastAsia" w:asciiTheme="minorEastAsia" w:hAnsiTheme="minorEastAsia" w:eastAsiaTheme="minorEastAsia" w:cstheme="minorEastAsia"/>
          <w:color w:val="000000" w:themeColor="text1"/>
          <w:sz w:val="24"/>
          <w14:textFill>
            <w14:solidFill>
              <w14:schemeClr w14:val="tx1"/>
            </w14:solidFill>
          </w14:textFill>
        </w:rPr>
        <w:t>2022年，学院管理学大类专业毕业的学生有95人，主要是我院信息管理与信息系统专业的毕业生。</w:t>
      </w:r>
    </w:p>
    <w:p>
      <w:pPr>
        <w:spacing w:line="360" w:lineRule="auto"/>
        <w:ind w:firstLine="480" w:firstLineChars="200"/>
        <w:rPr>
          <w:rFonts w:asciiTheme="minorEastAsia" w:hAnsiTheme="minorEastAsia" w:eastAsiaTheme="minorEastAsia" w:cstheme="minorEastAsia"/>
          <w:color w:val="000000" w:themeColor="text1"/>
          <w:sz w:val="24"/>
          <w14:textFill>
            <w14:solidFill>
              <w14:schemeClr w14:val="tx1"/>
            </w14:solidFill>
          </w14:textFill>
        </w:rPr>
      </w:pPr>
      <w:r>
        <w:rPr>
          <w:rFonts w:hint="eastAsia" w:asciiTheme="minorEastAsia" w:hAnsiTheme="minorEastAsia" w:eastAsiaTheme="minorEastAsia" w:cstheme="minorEastAsia"/>
          <w:color w:val="000000" w:themeColor="text1"/>
          <w:sz w:val="24"/>
          <w14:textFill>
            <w14:solidFill>
              <w14:schemeClr w14:val="tx1"/>
            </w14:solidFill>
          </w14:textFill>
        </w:rPr>
        <w:t>信息管理与信息系统是一门普通高等学校本科专业，属管理科学与工程类专业，基本修业年限为四年，授予管理学学士学位。</w:t>
      </w:r>
    </w:p>
    <w:p>
      <w:pPr>
        <w:spacing w:line="360" w:lineRule="auto"/>
        <w:ind w:firstLine="480" w:firstLineChars="200"/>
        <w:rPr>
          <w:rFonts w:asciiTheme="minorEastAsia" w:hAnsiTheme="minorEastAsia" w:eastAsiaTheme="minorEastAsia" w:cstheme="minorEastAsia"/>
          <w:color w:val="000000" w:themeColor="text1"/>
          <w:sz w:val="24"/>
          <w14:textFill>
            <w14:solidFill>
              <w14:schemeClr w14:val="tx1"/>
            </w14:solidFill>
          </w14:textFill>
        </w:rPr>
      </w:pPr>
      <w:r>
        <w:rPr>
          <w:rFonts w:hint="eastAsia" w:asciiTheme="minorEastAsia" w:hAnsiTheme="minorEastAsia" w:eastAsiaTheme="minorEastAsia" w:cstheme="minorEastAsia"/>
          <w:color w:val="000000" w:themeColor="text1"/>
          <w:sz w:val="24"/>
          <w14:textFill>
            <w14:solidFill>
              <w14:schemeClr w14:val="tx1"/>
            </w14:solidFill>
          </w14:textFill>
        </w:rPr>
        <w:t>21世纪是信息科学技术飞跃发展的时代，信息技术在经济管理领域应用广泛，网络经济的发展对电子商务、金融工程等人才的需求势必增加，随着全球经济一体化形势的发展，信息管理与信息系统专业培养的人才将受到人才市场的青睐。经济全球化和我国加入WTO，IT企业迎来前所未有的发展机遇和压力，这些企业不仅需要计算机软、硬件工程师，网络工程师，通信工程师，更需要信息化 建设的复合型开发和管理人才，以便进行企业事业和部门的应用系统的开发、维护，进行信息资源的开发利用。进入新世纪，我国开始了第三步战略目标的奋斗历程，以便培养新型高端的管理人才、IT人才及其综合型的复合人才。</w:t>
      </w:r>
    </w:p>
    <w:p>
      <w:pPr>
        <w:spacing w:line="360" w:lineRule="auto"/>
        <w:ind w:firstLine="480" w:firstLineChars="200"/>
        <w:rPr>
          <w:rFonts w:asciiTheme="minorEastAsia" w:hAnsiTheme="minorEastAsia" w:eastAsiaTheme="minorEastAsia" w:cstheme="minorEastAsia"/>
          <w:color w:val="000000" w:themeColor="text1"/>
          <w:sz w:val="24"/>
          <w14:textFill>
            <w14:solidFill>
              <w14:schemeClr w14:val="tx1"/>
            </w14:solidFill>
          </w14:textFill>
        </w:rPr>
      </w:pPr>
      <w:r>
        <w:rPr>
          <w:rFonts w:hint="eastAsia" w:asciiTheme="minorEastAsia" w:hAnsiTheme="minorEastAsia" w:eastAsiaTheme="minorEastAsia" w:cstheme="minorEastAsia"/>
          <w:color w:val="000000" w:themeColor="text1"/>
          <w:sz w:val="24"/>
          <w14:textFill>
            <w14:solidFill>
              <w14:schemeClr w14:val="tx1"/>
            </w14:solidFill>
          </w14:textFill>
        </w:rPr>
        <w:t>信息管理与信息系统这门专业的教育得到了各国政府，尤其是发达国家政府的大力支持。在美国，其实施的国家信息基础设施拟投资4000亿美元，建立的信息系统包括教育、卫生、娱乐、商业金融以及科学研究等方面。</w:t>
      </w:r>
    </w:p>
    <w:p>
      <w:pPr>
        <w:spacing w:line="360" w:lineRule="auto"/>
        <w:ind w:firstLine="480" w:firstLineChars="200"/>
        <w:rPr>
          <w:rFonts w:asciiTheme="minorEastAsia" w:hAnsiTheme="minorEastAsia" w:eastAsiaTheme="minorEastAsia" w:cstheme="minorEastAsia"/>
          <w:color w:val="000000" w:themeColor="text1"/>
          <w:sz w:val="24"/>
          <w14:textFill>
            <w14:solidFill>
              <w14:schemeClr w14:val="tx1"/>
            </w14:solidFill>
          </w14:textFill>
        </w:rPr>
      </w:pPr>
      <w:r>
        <w:rPr>
          <w:rFonts w:hint="eastAsia" w:asciiTheme="minorEastAsia" w:hAnsiTheme="minorEastAsia" w:eastAsiaTheme="minorEastAsia" w:cstheme="minorEastAsia"/>
          <w:color w:val="000000" w:themeColor="text1"/>
          <w:sz w:val="24"/>
          <w14:textFill>
            <w14:solidFill>
              <w14:schemeClr w14:val="tx1"/>
            </w14:solidFill>
          </w14:textFill>
        </w:rPr>
        <w:t>信息管理与信息系统专业与软件工程、计算机科学与技术、管理科学与工程、经济学等有着密切的联系，这些学科的交叉与拓展给该专业人才带来了竞争力。该专业学生主要学习经济、管理、数量分析方法、信息资源管理、计算机及信息系统方面的基本理论和基本知识，接受系统和设计方法以及信息管理方法的基本训练，具备综合运用所学知识分析和解决问题的基本能力，学生毕业后可从事的职业领域以政府、事业单位和大中型企业中的信息管理部门或信息中心中的工作人员为主，同时也可以在计算机行业从事专门的计算机技术工作，同时也是IT行业亦可以在各类单位从事一般性管理工作。</w:t>
      </w:r>
    </w:p>
    <w:p>
      <w:pPr>
        <w:spacing w:line="360" w:lineRule="auto"/>
        <w:rPr>
          <w:rFonts w:asciiTheme="minorEastAsia" w:hAnsiTheme="minorEastAsia" w:eastAsiaTheme="minorEastAsia" w:cstheme="minorEastAsia"/>
          <w:b/>
          <w:bCs/>
          <w:color w:val="000000" w:themeColor="text1"/>
          <w:sz w:val="24"/>
          <w14:textFill>
            <w14:solidFill>
              <w14:schemeClr w14:val="tx1"/>
            </w14:solidFill>
          </w14:textFill>
        </w:rPr>
      </w:pPr>
      <w:r>
        <w:rPr>
          <w:rFonts w:hint="eastAsia" w:asciiTheme="minorEastAsia" w:hAnsiTheme="minorEastAsia" w:eastAsiaTheme="minorEastAsia" w:cstheme="minorEastAsia"/>
          <w:b/>
          <w:bCs/>
          <w:color w:val="000000" w:themeColor="text1"/>
          <w:sz w:val="24"/>
          <w14:textFill>
            <w14:solidFill>
              <w14:schemeClr w14:val="tx1"/>
            </w14:solidFill>
          </w14:textFill>
        </w:rPr>
        <w:t>四、人工智能与大数据学院就业工作的重点与亮点</w:t>
      </w:r>
    </w:p>
    <w:p>
      <w:pPr>
        <w:spacing w:line="360" w:lineRule="auto"/>
        <w:ind w:firstLine="520"/>
        <w:rPr>
          <w:rFonts w:asciiTheme="minorEastAsia" w:hAnsiTheme="minorEastAsia" w:eastAsiaTheme="minorEastAsia" w:cstheme="minorEastAsia"/>
          <w:color w:val="000000" w:themeColor="text1"/>
          <w:sz w:val="24"/>
          <w14:textFill>
            <w14:solidFill>
              <w14:schemeClr w14:val="tx1"/>
            </w14:solidFill>
          </w14:textFill>
        </w:rPr>
      </w:pPr>
      <w:r>
        <w:rPr>
          <w:rFonts w:hint="eastAsia" w:asciiTheme="minorEastAsia" w:hAnsiTheme="minorEastAsia" w:eastAsiaTheme="minorEastAsia" w:cstheme="minorEastAsia"/>
          <w:color w:val="000000" w:themeColor="text1"/>
          <w:sz w:val="24"/>
          <w14:textFill>
            <w14:solidFill>
              <w14:schemeClr w14:val="tx1"/>
            </w14:solidFill>
          </w14:textFill>
        </w:rPr>
        <w:t>（一）就业体系常态化、制度化、创新化</w:t>
      </w:r>
    </w:p>
    <w:p>
      <w:pPr>
        <w:spacing w:line="360" w:lineRule="auto"/>
        <w:ind w:firstLine="520"/>
        <w:rPr>
          <w:rFonts w:asciiTheme="minorEastAsia" w:hAnsiTheme="minorEastAsia" w:eastAsiaTheme="minorEastAsia" w:cstheme="minorEastAsia"/>
          <w:bCs/>
          <w:color w:val="000000" w:themeColor="text1"/>
          <w:sz w:val="24"/>
          <w14:textFill>
            <w14:solidFill>
              <w14:schemeClr w14:val="tx1"/>
            </w14:solidFill>
          </w14:textFill>
        </w:rPr>
      </w:pPr>
      <w:r>
        <w:rPr>
          <w:rFonts w:hint="eastAsia" w:asciiTheme="minorEastAsia" w:hAnsiTheme="minorEastAsia" w:eastAsiaTheme="minorEastAsia" w:cstheme="minorEastAsia"/>
          <w:bCs/>
          <w:color w:val="000000" w:themeColor="text1"/>
          <w:sz w:val="24"/>
          <w14:textFill>
            <w14:solidFill>
              <w14:schemeClr w14:val="tx1"/>
            </w14:solidFill>
          </w14:textFill>
        </w:rPr>
        <w:t>人工智能与大数据学院院长和书记都高度重视就业工作，始终将就业工作作为常态化、制度化、创新性工作来抓，使得就业工作机构、就业工作制度健全，就业工作有实效。 </w:t>
      </w:r>
    </w:p>
    <w:p>
      <w:pPr>
        <w:spacing w:line="360" w:lineRule="auto"/>
        <w:ind w:firstLine="520"/>
        <w:rPr>
          <w:rFonts w:asciiTheme="minorEastAsia" w:hAnsiTheme="minorEastAsia" w:eastAsiaTheme="minorEastAsia" w:cstheme="minorEastAsia"/>
          <w:bCs/>
          <w:color w:val="000000" w:themeColor="text1"/>
          <w:sz w:val="24"/>
          <w14:textFill>
            <w14:solidFill>
              <w14:schemeClr w14:val="tx1"/>
            </w14:solidFill>
          </w14:textFill>
        </w:rPr>
      </w:pPr>
      <w:r>
        <w:rPr>
          <w:rFonts w:hint="eastAsia" w:asciiTheme="minorEastAsia" w:hAnsiTheme="minorEastAsia" w:eastAsiaTheme="minorEastAsia" w:cstheme="minorEastAsia"/>
          <w:bCs/>
          <w:color w:val="000000" w:themeColor="text1"/>
          <w:sz w:val="24"/>
          <w14:textFill>
            <w14:solidFill>
              <w14:schemeClr w14:val="tx1"/>
            </w14:solidFill>
          </w14:textFill>
        </w:rPr>
        <w:t>人工智能与大数据学院工作领导小组每学期召开专项就业工作会议，部署就业工作计划，总结就业工作经验与不足。每周学院书记都带领辅导员进行就业工作具体研究与部署。遇到应急工作问题，就业工作小组还会不定期召开工作会议</w:t>
      </w:r>
      <w:r>
        <w:rPr>
          <w:rFonts w:hint="eastAsia" w:asciiTheme="minorEastAsia" w:hAnsiTheme="minorEastAsia" w:eastAsiaTheme="minorEastAsia" w:cstheme="minorEastAsia"/>
          <w:bCs/>
          <w:sz w:val="24"/>
        </w:rPr>
        <w:t>。</w:t>
      </w:r>
      <w:r>
        <w:rPr>
          <w:rFonts w:hint="eastAsia" w:asciiTheme="minorEastAsia" w:hAnsiTheme="minorEastAsia" w:eastAsiaTheme="minorEastAsia" w:cstheme="minorEastAsia"/>
          <w:bCs/>
          <w:color w:val="000000" w:themeColor="text1"/>
          <w:sz w:val="24"/>
          <w14:textFill>
            <w14:solidFill>
              <w14:schemeClr w14:val="tx1"/>
            </w14:solidFill>
          </w14:textFill>
        </w:rPr>
        <w:t>就业工作制度的建立有效的促进了学院就业工作有计划、有步骤的开展与推进。对毕业生开展分类指导的方针。 </w:t>
      </w:r>
    </w:p>
    <w:p>
      <w:pPr>
        <w:spacing w:line="360" w:lineRule="auto"/>
        <w:ind w:firstLine="520"/>
        <w:rPr>
          <w:rFonts w:asciiTheme="minorEastAsia" w:hAnsiTheme="minorEastAsia" w:eastAsiaTheme="minorEastAsia" w:cstheme="minorEastAsia"/>
          <w:bCs/>
          <w:color w:val="000000" w:themeColor="text1"/>
          <w:sz w:val="24"/>
          <w14:textFill>
            <w14:solidFill>
              <w14:schemeClr w14:val="tx1"/>
            </w14:solidFill>
          </w14:textFill>
        </w:rPr>
      </w:pPr>
      <w:r>
        <w:rPr>
          <w:rFonts w:hint="eastAsia" w:asciiTheme="minorEastAsia" w:hAnsiTheme="minorEastAsia" w:eastAsiaTheme="minorEastAsia" w:cstheme="minorEastAsia"/>
          <w:bCs/>
          <w:color w:val="000000" w:themeColor="text1"/>
          <w:sz w:val="24"/>
          <w14:textFill>
            <w14:solidFill>
              <w14:schemeClr w14:val="tx1"/>
            </w14:solidFill>
          </w14:textFill>
        </w:rPr>
        <w:t>另外，学院的就业工作在院长的积极推动下，已形成全员参加、人人关心就业的良好局面。在就业工作会上，各院院长、专业带头人和教师代表纷纷献计献策，为学院促进就业工作作出应有的贡献。在毕业论文写作期间，学院也会发动老师们关心学生就业，为学生做就业指导。学院辅导员从事大学生职业生涯规划课和就业指导课，并都已参加过北森测评公司举办的高校职业生涯规划讲师培训和就业指导培训，并组织开展学院的职业生涯规划工作坊。就业辅导员能够理论联系实际，工作上得心应手。</w:t>
      </w:r>
    </w:p>
    <w:p>
      <w:pPr>
        <w:spacing w:line="360" w:lineRule="auto"/>
        <w:ind w:firstLine="480" w:firstLineChars="200"/>
        <w:rPr>
          <w:rFonts w:asciiTheme="minorEastAsia" w:hAnsiTheme="minorEastAsia" w:eastAsiaTheme="minorEastAsia" w:cstheme="minorEastAsia"/>
          <w:color w:val="000000" w:themeColor="text1"/>
          <w:sz w:val="24"/>
          <w14:textFill>
            <w14:solidFill>
              <w14:schemeClr w14:val="tx1"/>
            </w14:solidFill>
          </w14:textFill>
        </w:rPr>
      </w:pPr>
      <w:r>
        <w:rPr>
          <w:rFonts w:hint="eastAsia" w:asciiTheme="minorEastAsia" w:hAnsiTheme="minorEastAsia" w:eastAsiaTheme="minorEastAsia" w:cstheme="minorEastAsia"/>
          <w:color w:val="000000" w:themeColor="text1"/>
          <w:sz w:val="24"/>
          <w14:textFill>
            <w14:solidFill>
              <w14:schemeClr w14:val="tx1"/>
            </w14:solidFill>
          </w14:textFill>
        </w:rPr>
        <w:t>（二）改革课程体系，以实训</w:t>
      </w:r>
      <w:r>
        <w:rPr>
          <w:rFonts w:hint="eastAsia" w:asciiTheme="minorEastAsia" w:hAnsiTheme="minorEastAsia" w:eastAsiaTheme="minorEastAsia" w:cstheme="minorEastAsia"/>
          <w:color w:val="000000" w:themeColor="text1"/>
          <w:kern w:val="0"/>
          <w:sz w:val="24"/>
          <w14:textFill>
            <w14:solidFill>
              <w14:schemeClr w14:val="tx1"/>
            </w14:solidFill>
          </w14:textFill>
        </w:rPr>
        <w:t>建立理论教学与实践教学的桥梁，努力培养学生的实践能力和创新意识</w:t>
      </w:r>
      <w:r>
        <w:rPr>
          <w:rFonts w:hint="eastAsia" w:asciiTheme="minorEastAsia" w:hAnsiTheme="minorEastAsia" w:eastAsiaTheme="minorEastAsia" w:cstheme="minorEastAsia"/>
          <w:color w:val="000000" w:themeColor="text1"/>
          <w:sz w:val="24"/>
          <w14:textFill>
            <w14:solidFill>
              <w14:schemeClr w14:val="tx1"/>
            </w14:solidFill>
          </w14:textFill>
        </w:rPr>
        <w:t>。</w:t>
      </w:r>
    </w:p>
    <w:p>
      <w:pPr>
        <w:spacing w:line="360" w:lineRule="auto"/>
        <w:ind w:firstLine="520"/>
        <w:rPr>
          <w:rFonts w:asciiTheme="minorEastAsia" w:hAnsiTheme="minorEastAsia"/>
          <w:sz w:val="24"/>
        </w:rPr>
      </w:pPr>
      <w:r>
        <w:rPr>
          <w:rFonts w:hint="eastAsia" w:asciiTheme="minorEastAsia" w:hAnsiTheme="minorEastAsia" w:eastAsiaTheme="minorEastAsia" w:cstheme="minorEastAsia"/>
          <w:bCs/>
          <w:color w:val="000000" w:themeColor="text1"/>
          <w:sz w:val="24"/>
          <w14:textFill>
            <w14:solidFill>
              <w14:schemeClr w14:val="tx1"/>
            </w14:solidFill>
          </w14:textFill>
        </w:rPr>
        <w:t>在课程方面，人工智能与大数据学院积极开展大二学生参加暑假认知实习、大三学生参加工程实训的创新教学模式，明确了学生的任务是通过认知实习和工程实训，结合日常课程学习，增强对本专业知识的感性认识，提高专业兴趣，了解专业的岗位要求和工作的基本素质要求，开阔视野，培养学生观察问题的能力和创新意识，在实践工作中积累学习经验和工作经验，提高创新观念。通过与本地计算机行业前沿企业共同合作，学生通过认知实习和工程实训，了解本专业所处行业的环境、营业服务范围，着重了解从业人员的专业知识需求，</w:t>
      </w:r>
      <w:r>
        <w:rPr>
          <w:rFonts w:hint="eastAsia" w:asciiTheme="minorEastAsia" w:hAnsiTheme="minorEastAsia" w:eastAsiaTheme="minorEastAsia" w:cstheme="minorEastAsia"/>
          <w:bCs/>
          <w:sz w:val="24"/>
        </w:rPr>
        <w:t>工作要求和工作性质，对从业人员的基本素质及知识、能力要求，特别是对自己所学的方向有一个初步的认识，明确专业定位，学习定位及岗位定位。为使学生更多的感受到所学专业与日后工作之间的联系，提前对自己有一个工作方面的理性认识，人工智能与大数据学院在大二学生暑假认知实习期间采用企业导师和校内导师联合指导的双导师制度。实习期间，学生除了完成企业导师布置的相关工作任务之外，还需要完成校内导师布置的任务及要求，使学生边学边做，“学以致用”，以实训实习的模式建立理论教学与实践教学的桥梁，努力培养学生的实践能力和创新意识，使学生在实践中提前接触到企业的工作理念和需求，以及相应的工作技巧。</w:t>
      </w:r>
    </w:p>
    <w:p>
      <w:pPr>
        <w:spacing w:line="360" w:lineRule="auto"/>
        <w:ind w:firstLine="480" w:firstLineChars="200"/>
        <w:rPr>
          <w:rFonts w:asciiTheme="minorEastAsia" w:hAnsiTheme="minorEastAsia"/>
          <w:sz w:val="24"/>
        </w:rPr>
      </w:pPr>
      <w:r>
        <w:rPr>
          <w:rFonts w:hint="eastAsia" w:asciiTheme="minorEastAsia" w:hAnsiTheme="minorEastAsia" w:eastAsiaTheme="minorEastAsia" w:cstheme="minorEastAsia"/>
          <w:sz w:val="24"/>
        </w:rPr>
        <w:t>（三）促进院企合作，培养应用型人才</w:t>
      </w:r>
    </w:p>
    <w:p>
      <w:pPr>
        <w:spacing w:line="360" w:lineRule="auto"/>
        <w:ind w:firstLine="480" w:firstLineChars="200"/>
        <w:rPr>
          <w:rFonts w:asciiTheme="minorEastAsia" w:hAnsiTheme="minorEastAsia" w:eastAsiaTheme="minorEastAsia" w:cstheme="minorEastAsia"/>
          <w:kern w:val="0"/>
          <w:sz w:val="24"/>
        </w:rPr>
      </w:pPr>
      <w:r>
        <w:rPr>
          <w:rFonts w:hint="eastAsia" w:asciiTheme="minorEastAsia" w:hAnsiTheme="minorEastAsia" w:eastAsiaTheme="minorEastAsia" w:cstheme="minorEastAsia"/>
          <w:kern w:val="0"/>
          <w:sz w:val="24"/>
        </w:rPr>
        <w:t>人工智能与大数据学院在注重课堂教学的同时，积极构建课堂教学与实践教学有机融合的培养体系，努力提高学生的实践和创新能力，使学生能尽快满足用人单位的需要。院里邀请合肥乐堂动漫技术有限公司李敏经理为我院学生讲述未来软件开发行业的人员素质需求及未来行业前景，使我院同学对于本专业未来的就业前景和方向更为清晰，也更有向前发展的动力。同时还请到了南京建策科技股份有限公司的专业工程师陈华超老师到我院进行网络基础课的教学，使我院同学在校就能了解专业在企业环境中如何运用，了解专业在企业和社会大背景下的发展前景。</w:t>
      </w:r>
    </w:p>
    <w:p>
      <w:pPr>
        <w:spacing w:line="360" w:lineRule="auto"/>
        <w:ind w:firstLine="480" w:firstLineChars="200"/>
        <w:rPr>
          <w:rFonts w:asciiTheme="minorEastAsia" w:hAnsiTheme="minorEastAsia" w:eastAsiaTheme="minorEastAsia" w:cstheme="minorEastAsia"/>
          <w:kern w:val="0"/>
          <w:sz w:val="24"/>
        </w:rPr>
      </w:pPr>
      <w:r>
        <w:rPr>
          <w:rFonts w:hint="eastAsia" w:asciiTheme="minorEastAsia" w:hAnsiTheme="minorEastAsia" w:eastAsiaTheme="minorEastAsia" w:cstheme="minorEastAsia"/>
          <w:kern w:val="0"/>
          <w:sz w:val="24"/>
        </w:rPr>
        <w:t xml:space="preserve"> 为了使学生在第五学期实训的内容得到更深入的应用，体系结构教研室准备在第五学期的基础上，在大四上学期进行为期8周的工程综合实训。实训集中在专业实训实验室，3至6人一组，由专业老师进行命题，3组做同一个题目，这让后期的成果答辩有个参考。在实训中有突出表现的学生，实训选题可以作为毕业设计选题参考。实训着重培养团队协调能力，更注重培养学生独立完成任务的能力，让与企业要求有差距的学生可以更好地完成就业，提高毕业生的就业素质。</w:t>
      </w:r>
    </w:p>
    <w:p>
      <w:pPr>
        <w:spacing w:line="360" w:lineRule="auto"/>
        <w:rPr>
          <w:rFonts w:asciiTheme="minorEastAsia" w:hAnsiTheme="minorEastAsia" w:eastAsiaTheme="minorEastAsia" w:cstheme="minorEastAsia"/>
          <w:sz w:val="24"/>
        </w:rPr>
      </w:pPr>
      <w:r>
        <w:rPr>
          <w:rFonts w:hint="eastAsia" w:asciiTheme="minorEastAsia" w:hAnsiTheme="minorEastAsia" w:eastAsiaTheme="minorEastAsia" w:cstheme="minorEastAsia"/>
          <w:sz w:val="24"/>
        </w:rPr>
        <w:t xml:space="preserve">    （四）开放学生创新实验室，增强学生实践能力，强化理论理解，提升实践技能。</w:t>
      </w:r>
    </w:p>
    <w:p>
      <w:pPr>
        <w:spacing w:line="360" w:lineRule="auto"/>
        <w:ind w:firstLine="480" w:firstLineChars="200"/>
        <w:rPr>
          <w:rFonts w:asciiTheme="minorEastAsia" w:hAnsiTheme="minorEastAsia"/>
          <w:sz w:val="24"/>
        </w:rPr>
      </w:pPr>
      <w:r>
        <w:rPr>
          <w:rFonts w:hint="eastAsia" w:asciiTheme="minorEastAsia" w:hAnsiTheme="minorEastAsia" w:eastAsiaTheme="minorEastAsia" w:cstheme="minorEastAsia"/>
          <w:sz w:val="24"/>
        </w:rPr>
        <w:t>为提高学生的创新能力，加强学生对课堂理论知识的理解，增强学生的实践能力，全面提升学生的科技创新能力，我院积极组织搭建了创新实验室、卓越IT工程师俱乐部及创新实验室供学生课余对所兴趣的专业方向进行自主学习和团队学习，每个创新实验室包含几个学术性研究小组和方向，比如Robocup、物联网、移动端游戏开发、网络安全、ACM、仿人机器人等供学生根据兴趣爱好以及所需选择，俱乐部负责管理着人工智能与大数据学院的创新实验室。创新实验室共开设四个方向：机器人、web应用系统、嵌入式、物</w:t>
      </w:r>
      <w:r>
        <w:rPr>
          <w:rFonts w:hint="eastAsia" w:asciiTheme="minorEastAsia" w:hAnsiTheme="minorEastAsia" w:eastAsiaTheme="minorEastAsia" w:cstheme="minorEastAsia"/>
          <w:bCs/>
          <w:sz w:val="24"/>
        </w:rPr>
        <w:t>联网，并安排专门的指导老师，积极组织各年级学生参加各类科技创新创业比赛，在实战中提高能力，取得了不错的成绩，某些小组在全国乃至世界范围内都获得过很多奖项，极大的提高了学生的科技创新能力和实践能力，充分的锻炼了学生的创新思维，开阔了学生的学习范围和眼界，使学生积累了大量的计算机实战操作经验，对参赛学生以后的学习乃至工作入职都有着很大的帮助。创新实验室多年来创新环境的影响和以技能应用为主的体系构建下的培养，强调以应用技能实战操作的培养为主，着重培养学生的创新精神，激发学生的创新意识，训练学生的创新思维，培养学生的创新技巧，提高学生的创新能力，为社会输送了一批又一批具备高级技术高端水平高等素质的应用技能型人才。</w:t>
      </w:r>
    </w:p>
    <w:p>
      <w:pPr>
        <w:pStyle w:val="3"/>
        <w:spacing w:line="360" w:lineRule="auto"/>
        <w:ind w:firstLine="480" w:firstLineChars="200"/>
        <w:rPr>
          <w:rFonts w:asciiTheme="minorEastAsia" w:hAnsiTheme="minorEastAsia" w:eastAsiaTheme="minorEastAsia" w:cstheme="minorEastAsia"/>
          <w:bCs/>
          <w:sz w:val="24"/>
        </w:rPr>
      </w:pPr>
      <w:r>
        <w:rPr>
          <w:rFonts w:hint="eastAsia" w:asciiTheme="minorEastAsia" w:hAnsiTheme="minorEastAsia" w:eastAsiaTheme="minorEastAsia" w:cstheme="minorEastAsia"/>
          <w:bCs/>
          <w:sz w:val="24"/>
        </w:rPr>
        <w:t>创新实验室项目自2014年正式启动开始，目前创新实验室共有7个，每个科研方向均成立项目小组分布在各个实验室中。防溺水自动救生衣、Robocup机器人足球、软件建模、kinect等项目由实验室内20个团队具体负责，有些项目已经取得较大进展。</w:t>
      </w:r>
      <w:r>
        <w:rPr>
          <w:rFonts w:hint="eastAsia" w:asciiTheme="minorEastAsia" w:hAnsiTheme="minorEastAsia" w:eastAsiaTheme="minorEastAsia" w:cstheme="minorEastAsia"/>
          <w:sz w:val="24"/>
        </w:rPr>
        <w:t>为了加强各项目小组之间的交流</w:t>
      </w:r>
      <w:r>
        <w:rPr>
          <w:rFonts w:hint="eastAsia" w:asciiTheme="minorEastAsia" w:hAnsiTheme="minorEastAsia" w:eastAsiaTheme="minorEastAsia" w:cstheme="minorEastAsia"/>
          <w:kern w:val="0"/>
          <w:sz w:val="24"/>
        </w:rPr>
        <w:t>，我院卓越IT工程师俱乐部创新实验室14个在研项目组会定期、不定期的进行小组项目的交流汇报，汇报是以演示文档+实物演示的形式，由各个项目派代表，来阐述各自项目的进展以及发展前景。</w:t>
      </w:r>
      <w:r>
        <w:rPr>
          <w:rFonts w:hint="eastAsia" w:asciiTheme="minorEastAsia" w:hAnsiTheme="minorEastAsia" w:eastAsiaTheme="minorEastAsia" w:cstheme="minorEastAsia"/>
          <w:sz w:val="24"/>
        </w:rPr>
        <w:t>我院创新实验室会根据情况进行招新，</w:t>
      </w:r>
      <w:r>
        <w:rPr>
          <w:rFonts w:hint="eastAsia" w:asciiTheme="minorEastAsia" w:hAnsiTheme="minorEastAsia" w:eastAsiaTheme="minorEastAsia" w:cstheme="minorEastAsia"/>
          <w:kern w:val="0"/>
          <w:sz w:val="24"/>
        </w:rPr>
        <w:t>于2022年举办了进教室宣传活动，并带领同学参观实验室，主要面向对象是刚刚入学的大一新生，一是帮助大一新生认识自己专业，让他们了解自己学习的专业可以做些什么；二是帮助她们树立自己的目标；三是让他们认清自己的学习方向，培养学习兴趣。让大一新生感受实验室的学习氛围，通过各小组成员细致的作品展示及耐心的解惑，以此来达到本次实验室开放日的目的。</w:t>
      </w:r>
    </w:p>
    <w:p>
      <w:pPr>
        <w:spacing w:line="360" w:lineRule="auto"/>
        <w:ind w:firstLine="480" w:firstLineChars="200"/>
        <w:rPr>
          <w:rFonts w:asciiTheme="minorEastAsia" w:hAnsiTheme="minorEastAsia" w:eastAsiaTheme="minorEastAsia" w:cstheme="minorEastAsia"/>
          <w:color w:val="000000"/>
          <w:sz w:val="24"/>
        </w:rPr>
      </w:pPr>
      <w:r>
        <w:rPr>
          <w:rFonts w:hint="eastAsia" w:asciiTheme="minorEastAsia" w:hAnsiTheme="minorEastAsia" w:eastAsiaTheme="minorEastAsia" w:cstheme="minorEastAsia"/>
          <w:sz w:val="24"/>
        </w:rPr>
        <w:t>（五）</w:t>
      </w:r>
      <w:r>
        <w:rPr>
          <w:rFonts w:hint="eastAsia" w:asciiTheme="minorEastAsia" w:hAnsiTheme="minorEastAsia" w:eastAsiaTheme="minorEastAsia" w:cstheme="minorEastAsia"/>
          <w:color w:val="000000"/>
          <w:sz w:val="24"/>
        </w:rPr>
        <w:t>积极开展科技创新为主要内容的第二课堂活动，培养和提高学生创新创业意识和能力</w:t>
      </w:r>
    </w:p>
    <w:p>
      <w:pPr>
        <w:spacing w:line="360" w:lineRule="auto"/>
        <w:ind w:firstLine="720" w:firstLineChars="300"/>
        <w:rPr>
          <w:rFonts w:ascii="宋体" w:hAnsi="宋体" w:cs="宋体"/>
          <w:color w:val="FF0000"/>
          <w:sz w:val="24"/>
        </w:rPr>
      </w:pPr>
      <w:r>
        <w:rPr>
          <w:rFonts w:hint="eastAsia" w:asciiTheme="minorEastAsia" w:hAnsiTheme="minorEastAsia"/>
          <w:color w:val="000000" w:themeColor="text1"/>
          <w:sz w:val="24"/>
          <w14:textFill>
            <w14:solidFill>
              <w14:schemeClr w14:val="tx1"/>
            </w14:solidFill>
          </w14:textFill>
        </w:rPr>
        <w:t>为</w:t>
      </w:r>
      <w:r>
        <w:rPr>
          <w:rFonts w:asciiTheme="minorEastAsia" w:hAnsiTheme="minorEastAsia"/>
          <w:color w:val="000000" w:themeColor="text1"/>
          <w:sz w:val="24"/>
          <w14:textFill>
            <w14:solidFill>
              <w14:schemeClr w14:val="tx1"/>
            </w14:solidFill>
          </w14:textFill>
        </w:rPr>
        <w:t>培养和提高学生</w:t>
      </w:r>
      <w:r>
        <w:rPr>
          <w:rFonts w:hint="eastAsia" w:asciiTheme="minorEastAsia" w:hAnsiTheme="minorEastAsia"/>
          <w:color w:val="000000" w:themeColor="text1"/>
          <w:sz w:val="24"/>
          <w14:textFill>
            <w14:solidFill>
              <w14:schemeClr w14:val="tx1"/>
            </w14:solidFill>
          </w14:textFill>
        </w:rPr>
        <w:t>创新创业的意识和能力，我院积极开展科技创新为主要内容的第二课堂活动，具体形式</w:t>
      </w:r>
      <w:r>
        <w:rPr>
          <w:rFonts w:asciiTheme="minorEastAsia" w:hAnsiTheme="minorEastAsia"/>
          <w:color w:val="000000" w:themeColor="text1"/>
          <w:sz w:val="24"/>
          <w14:textFill>
            <w14:solidFill>
              <w14:schemeClr w14:val="tx1"/>
            </w14:solidFill>
          </w14:textFill>
        </w:rPr>
        <w:t>为鼓励学生</w:t>
      </w:r>
      <w:r>
        <w:rPr>
          <w:rFonts w:hint="eastAsia" w:asciiTheme="minorEastAsia" w:hAnsiTheme="minorEastAsia"/>
          <w:color w:val="000000" w:themeColor="text1"/>
          <w:sz w:val="24"/>
          <w14:textFill>
            <w14:solidFill>
              <w14:schemeClr w14:val="tx1"/>
            </w14:solidFill>
          </w14:textFill>
        </w:rPr>
        <w:t>参加各级科技创新应用技能比赛，积极组织各年级学生参加各类科技创新创业比赛，在实战中提高能力，为</w:t>
      </w:r>
      <w:r>
        <w:rPr>
          <w:rFonts w:asciiTheme="minorEastAsia" w:hAnsiTheme="minorEastAsia"/>
          <w:color w:val="000000" w:themeColor="text1"/>
          <w:sz w:val="24"/>
          <w14:textFill>
            <w14:solidFill>
              <w14:schemeClr w14:val="tx1"/>
            </w14:solidFill>
          </w14:textFill>
        </w:rPr>
        <w:t>学生以后的学习和工作积累相关的经验</w:t>
      </w:r>
      <w:r>
        <w:rPr>
          <w:rFonts w:hint="eastAsia" w:asciiTheme="minorEastAsia" w:hAnsiTheme="minorEastAsia"/>
          <w:color w:val="000000" w:themeColor="text1"/>
          <w:sz w:val="24"/>
          <w14:textFill>
            <w14:solidFill>
              <w14:schemeClr w14:val="tx1"/>
            </w14:solidFill>
          </w14:textFill>
        </w:rPr>
        <w:t>。第二课堂活动对提高学生的创新意识，加强其知识应用能力和实践动手能力具有重要作用。是为实现应用型人才培养目标，鼓励和倡导学生积极参加第二课堂活动而开展。</w:t>
      </w:r>
      <w:r>
        <w:rPr>
          <w:rFonts w:hint="eastAsia" w:ascii="宋体" w:hAnsi="宋体" w:cs="宋体"/>
          <w:sz w:val="24"/>
        </w:rPr>
        <w:t>在20</w:t>
      </w:r>
      <w:r>
        <w:rPr>
          <w:rFonts w:ascii="宋体" w:hAnsi="宋体" w:cs="宋体"/>
          <w:sz w:val="24"/>
        </w:rPr>
        <w:t>2</w:t>
      </w:r>
      <w:r>
        <w:rPr>
          <w:rFonts w:hint="eastAsia" w:ascii="宋体" w:hAnsi="宋体" w:cs="宋体"/>
          <w:sz w:val="24"/>
        </w:rPr>
        <w:t>1年下半年至2022年上半年，我院在全国大学生数学建模竞赛（安徽赛区）中，有三组获得省三等奖，有五组获得省二等奖，有十组获得省二等奖，有一组获得国家二等奖；全国软件和信息技术专业人才大赛中，我院有一组获得省一等奖，九组获得省二等奖，三组获得省三等奖；安徽省大学生服务外包创新创业大赛中，我院有一组获得省一等奖，有九组获得省二等奖；全国大学生市场调查与分析大赛安徽省赛中，我院有二组获得了省级一等奖，我院有二组获得了省级二等奖，有四组获得了省级三等奖；2021年安徽省机器人大赛，我院有一组获得了省级二等将，有五组获得了省级三等奖；安徽省人工智能与大数据应用竞赛中，我院有二组获得了省级一等奖，我院有二组获得了省级二等奖，有二组获得了省级三等奖；第45届ICPC国际大学生程序设计大赛亚洲区域赛，我院有一组获得了国际级二等奖；安徽省互联网+大学生创新创业大赛中，我院有二组获得了省级银奖，有二组获得了省级铜奖；安徽省大学生统计建模大赛，我院有二组获得省级二等奖，有一组获得省级三等奖；2022年第三届“华数杯”全国大学生数学建模竞赛中，有一组获得国家级二等奖，有一组获得国家级三等奖，有六组获得国家级优秀奖；第八届安徽省“互联网+”创新创业大赛中，我院有二组获得了省级金奖，有一组获得了省级二等奖；2022（第八届）全国大学生统计建模大赛中，我院有一组获得省级二等奖。</w:t>
      </w:r>
    </w:p>
    <w:p>
      <w:pPr>
        <w:spacing w:line="360" w:lineRule="auto"/>
        <w:ind w:firstLine="480" w:firstLineChars="200"/>
        <w:rPr>
          <w:rFonts w:asciiTheme="minorEastAsia" w:hAnsiTheme="minorEastAsia"/>
          <w:sz w:val="24"/>
        </w:rPr>
      </w:pPr>
      <w:r>
        <w:rPr>
          <w:rFonts w:hint="eastAsia" w:asciiTheme="minorEastAsia" w:hAnsiTheme="minorEastAsia"/>
          <w:sz w:val="24"/>
        </w:rPr>
        <w:t>通过</w:t>
      </w:r>
      <w:r>
        <w:rPr>
          <w:rFonts w:asciiTheme="minorEastAsia" w:hAnsiTheme="minorEastAsia"/>
          <w:sz w:val="24"/>
        </w:rPr>
        <w:t>积极组织学生参加</w:t>
      </w:r>
      <w:r>
        <w:rPr>
          <w:rFonts w:hint="eastAsia" w:asciiTheme="minorEastAsia" w:hAnsiTheme="minorEastAsia"/>
          <w:sz w:val="24"/>
        </w:rPr>
        <w:t>这些</w:t>
      </w:r>
      <w:r>
        <w:rPr>
          <w:rFonts w:asciiTheme="minorEastAsia" w:hAnsiTheme="minorEastAsia"/>
          <w:sz w:val="24"/>
        </w:rPr>
        <w:t>科技创新类型的竞赛</w:t>
      </w:r>
      <w:r>
        <w:rPr>
          <w:rFonts w:hint="eastAsia" w:asciiTheme="minorEastAsia" w:hAnsiTheme="minorEastAsia"/>
          <w:sz w:val="24"/>
        </w:rPr>
        <w:t>，</w:t>
      </w:r>
      <w:r>
        <w:rPr>
          <w:rFonts w:hint="eastAsia" w:asciiTheme="minorEastAsia" w:hAnsiTheme="minorEastAsia"/>
          <w:color w:val="000000" w:themeColor="text1"/>
          <w:sz w:val="24"/>
          <w14:textFill>
            <w14:solidFill>
              <w14:schemeClr w14:val="tx1"/>
            </w14:solidFill>
          </w14:textFill>
        </w:rPr>
        <w:t>丰富了学生的课余生活，极大</w:t>
      </w:r>
      <w:r>
        <w:rPr>
          <w:rFonts w:asciiTheme="minorEastAsia" w:hAnsiTheme="minorEastAsia"/>
          <w:color w:val="000000" w:themeColor="text1"/>
          <w:sz w:val="24"/>
          <w14:textFill>
            <w14:solidFill>
              <w14:schemeClr w14:val="tx1"/>
            </w14:solidFill>
          </w14:textFill>
        </w:rPr>
        <w:t>的</w:t>
      </w:r>
      <w:r>
        <w:rPr>
          <w:rFonts w:hint="eastAsia" w:asciiTheme="minorEastAsia" w:hAnsiTheme="minorEastAsia"/>
          <w:color w:val="000000" w:themeColor="text1"/>
          <w:sz w:val="24"/>
          <w14:textFill>
            <w14:solidFill>
              <w14:schemeClr w14:val="tx1"/>
            </w14:solidFill>
          </w14:textFill>
        </w:rPr>
        <w:t>培养了学生的创新意识，锻炼了学生的实践能力和创新思维能力</w:t>
      </w:r>
      <w:r>
        <w:rPr>
          <w:rFonts w:hint="eastAsia" w:asciiTheme="minorEastAsia" w:hAnsiTheme="minorEastAsia"/>
          <w:sz w:val="24"/>
        </w:rPr>
        <w:t>，也通过比赛</w:t>
      </w:r>
      <w:r>
        <w:rPr>
          <w:rFonts w:asciiTheme="minorEastAsia" w:hAnsiTheme="minorEastAsia"/>
          <w:sz w:val="24"/>
        </w:rPr>
        <w:t>培养了学生的创新创业的能力</w:t>
      </w:r>
      <w:r>
        <w:rPr>
          <w:rFonts w:hint="eastAsia" w:asciiTheme="minorEastAsia" w:hAnsiTheme="minorEastAsia"/>
          <w:sz w:val="24"/>
        </w:rPr>
        <w:t>，</w:t>
      </w:r>
      <w:r>
        <w:rPr>
          <w:rFonts w:asciiTheme="minorEastAsia" w:hAnsiTheme="minorEastAsia"/>
          <w:sz w:val="24"/>
        </w:rPr>
        <w:t>开阔了学生的眼界</w:t>
      </w:r>
      <w:r>
        <w:rPr>
          <w:rFonts w:hint="eastAsia" w:asciiTheme="minorEastAsia" w:hAnsiTheme="minorEastAsia"/>
          <w:sz w:val="24"/>
        </w:rPr>
        <w:t>，</w:t>
      </w:r>
      <w:r>
        <w:rPr>
          <w:rFonts w:asciiTheme="minorEastAsia" w:hAnsiTheme="minorEastAsia"/>
          <w:sz w:val="24"/>
        </w:rPr>
        <w:t>使学生接触到了更多的应用型知识技能</w:t>
      </w:r>
      <w:r>
        <w:rPr>
          <w:rFonts w:hint="eastAsia" w:asciiTheme="minorEastAsia" w:hAnsiTheme="minorEastAsia"/>
          <w:sz w:val="24"/>
        </w:rPr>
        <w:t>，</w:t>
      </w:r>
      <w:r>
        <w:rPr>
          <w:rFonts w:asciiTheme="minorEastAsia" w:hAnsiTheme="minorEastAsia"/>
          <w:sz w:val="24"/>
        </w:rPr>
        <w:t>为以后的学习乃至工作都提供了一些清晰的路线和方向</w:t>
      </w:r>
      <w:r>
        <w:rPr>
          <w:rFonts w:hint="eastAsia" w:asciiTheme="minorEastAsia" w:hAnsiTheme="minorEastAsia"/>
          <w:sz w:val="24"/>
        </w:rPr>
        <w:t>。</w:t>
      </w:r>
    </w:p>
    <w:p>
      <w:pPr>
        <w:spacing w:line="360" w:lineRule="auto"/>
        <w:ind w:firstLine="480" w:firstLineChars="200"/>
        <w:rPr>
          <w:rFonts w:asciiTheme="minorEastAsia" w:hAnsiTheme="minorEastAsia" w:eastAsiaTheme="minorEastAsia" w:cstheme="minorEastAsia"/>
          <w:color w:val="000000"/>
          <w:sz w:val="24"/>
        </w:rPr>
      </w:pPr>
      <w:r>
        <w:rPr>
          <w:rFonts w:hint="eastAsia" w:asciiTheme="minorEastAsia" w:hAnsiTheme="minorEastAsia" w:eastAsiaTheme="minorEastAsia" w:cstheme="minorEastAsia"/>
          <w:sz w:val="24"/>
        </w:rPr>
        <w:t>为了加强学生对课堂理论知识的理解，全面提升学生的科技创新能力，我院积极搭建了创新实验室、卓越IT工程师俱乐部，并安排专门的指导老师，积极组织各年级学生参加各类科技创新创业比赛，在实战中提高能力，取</w:t>
      </w:r>
      <w:r>
        <w:rPr>
          <w:rFonts w:hint="eastAsia" w:asciiTheme="minorEastAsia" w:hAnsiTheme="minorEastAsia" w:eastAsiaTheme="minorEastAsia" w:cstheme="minorEastAsia"/>
          <w:color w:val="000000"/>
          <w:sz w:val="24"/>
        </w:rPr>
        <w:t>得了不错的成绩。</w:t>
      </w:r>
      <w:r>
        <w:rPr>
          <w:rFonts w:hint="eastAsia" w:asciiTheme="minorEastAsia" w:hAnsiTheme="minorEastAsia" w:eastAsiaTheme="minorEastAsia" w:cstheme="minorEastAsia"/>
          <w:sz w:val="24"/>
        </w:rPr>
        <w:t>这些特色活动和竞赛的开展，极大地丰富了我院学生的课余生活，培育了学生的专业兴趣，锻炼了学生的实际动手能力、逻辑思维能力、开拓创新能力，进一步增强了学生的团队意识和合作精神。</w:t>
      </w:r>
    </w:p>
    <w:p>
      <w:pPr>
        <w:spacing w:line="360" w:lineRule="auto"/>
        <w:ind w:firstLine="480" w:firstLineChars="200"/>
        <w:rPr>
          <w:rFonts w:asciiTheme="minorEastAsia" w:hAnsiTheme="minorEastAsia" w:eastAsiaTheme="minorEastAsia" w:cstheme="minorEastAsia"/>
          <w:sz w:val="24"/>
        </w:rPr>
      </w:pPr>
      <w:r>
        <w:rPr>
          <w:rFonts w:hint="eastAsia" w:asciiTheme="minorEastAsia" w:hAnsiTheme="minorEastAsia" w:eastAsiaTheme="minorEastAsia" w:cstheme="minorEastAsia"/>
          <w:sz w:val="24"/>
        </w:rPr>
        <w:t>（六）继续</w:t>
      </w:r>
      <w:r>
        <w:rPr>
          <w:rFonts w:hint="eastAsia" w:asciiTheme="minorEastAsia" w:hAnsiTheme="minorEastAsia" w:eastAsiaTheme="minorEastAsia" w:cstheme="minorEastAsia"/>
          <w:color w:val="000000"/>
          <w:sz w:val="24"/>
        </w:rPr>
        <w:t>积极探索与企业进行课程置换模式</w:t>
      </w:r>
      <w:r>
        <w:rPr>
          <w:rFonts w:hint="eastAsia" w:asciiTheme="minorEastAsia" w:hAnsiTheme="minorEastAsia" w:eastAsiaTheme="minorEastAsia" w:cstheme="minorEastAsia"/>
          <w:sz w:val="24"/>
        </w:rPr>
        <w:t>。</w:t>
      </w:r>
    </w:p>
    <w:p>
      <w:pPr>
        <w:spacing w:line="360" w:lineRule="auto"/>
        <w:ind w:firstLine="480" w:firstLineChars="200"/>
        <w:rPr>
          <w:rFonts w:asciiTheme="minorEastAsia" w:hAnsiTheme="minorEastAsia" w:eastAsiaTheme="minorEastAsia" w:cstheme="minorEastAsia"/>
          <w:sz w:val="24"/>
        </w:rPr>
      </w:pPr>
      <w:r>
        <w:rPr>
          <w:rFonts w:hint="eastAsia" w:asciiTheme="minorEastAsia" w:hAnsiTheme="minorEastAsia" w:eastAsiaTheme="minorEastAsia" w:cstheme="minorEastAsia"/>
          <w:sz w:val="24"/>
        </w:rPr>
        <w:t>自2010年首批获得教育部卓越工程师项目以后，我院对3+1人才培养模式进行了积极、有效的探索。从2007级学生开始，经我院教学委员会研究并已上报教务处批准，采取企业课程学分置换校内课程学分的方式，使部分学生大四整个一学年的教学过程由企业来完成，通过七年的实践，取得不错的效果。</w:t>
      </w:r>
      <w:r>
        <w:rPr>
          <w:rFonts w:hint="eastAsia" w:asciiTheme="minorEastAsia" w:hAnsiTheme="minorEastAsia" w:eastAsiaTheme="minorEastAsia" w:cstheme="minorEastAsia"/>
          <w:kern w:val="0"/>
          <w:sz w:val="24"/>
        </w:rPr>
        <w:t>20</w:t>
      </w:r>
      <w:r>
        <w:rPr>
          <w:rFonts w:asciiTheme="minorEastAsia" w:hAnsiTheme="minorEastAsia" w:eastAsiaTheme="minorEastAsia" w:cstheme="minorEastAsia"/>
          <w:kern w:val="0"/>
          <w:sz w:val="24"/>
        </w:rPr>
        <w:t>2</w:t>
      </w:r>
      <w:r>
        <w:rPr>
          <w:rFonts w:hint="eastAsia" w:asciiTheme="minorEastAsia" w:hAnsiTheme="minorEastAsia" w:eastAsiaTheme="minorEastAsia" w:cstheme="minorEastAsia"/>
          <w:kern w:val="0"/>
          <w:sz w:val="24"/>
        </w:rPr>
        <w:t>1-2022学年，我院对软件工程和计科及网工的部分大四学生进行了课程置换，让同学们进入公司进行学习，其互动实战的教学模式深受学生的欢迎。这使得学生理论与实践相结合，更好的将所学的知识应用到实践中去。</w:t>
      </w:r>
    </w:p>
    <w:p>
      <w:pPr>
        <w:spacing w:line="360" w:lineRule="auto"/>
        <w:ind w:firstLine="480" w:firstLineChars="200"/>
        <w:rPr>
          <w:rFonts w:asciiTheme="minorEastAsia" w:hAnsiTheme="minorEastAsia" w:eastAsiaTheme="minorEastAsia" w:cstheme="minorEastAsia"/>
          <w:sz w:val="24"/>
        </w:rPr>
      </w:pPr>
      <w:r>
        <w:rPr>
          <w:rFonts w:hint="eastAsia" w:asciiTheme="minorEastAsia" w:hAnsiTheme="minorEastAsia" w:eastAsiaTheme="minorEastAsia" w:cstheme="minorEastAsia"/>
          <w:sz w:val="24"/>
        </w:rPr>
        <w:t>在企业实训中，参加课程置换的毕业生强化了在校学习的专业基础知识，锻炼了自己的实践能力和对新知识、新技术、新产品的开发能力。这批学生通过课程置换实现了早就业、优质就业，在他们就职的企业中有科大讯飞、国泰新点、科大国创等国内知名公司。这些企业给我们的反馈是，我院学生的实践能力比较强，踏实肯干，能吃苦，综合素质较高。</w:t>
      </w:r>
    </w:p>
    <w:p>
      <w:pPr>
        <w:spacing w:line="360" w:lineRule="auto"/>
        <w:ind w:firstLine="480" w:firstLineChars="200"/>
        <w:rPr>
          <w:rFonts w:asciiTheme="minorEastAsia" w:hAnsiTheme="minorEastAsia" w:eastAsiaTheme="minorEastAsia" w:cstheme="minorEastAsia"/>
          <w:color w:val="000000" w:themeColor="text1"/>
          <w:sz w:val="24"/>
          <w14:textFill>
            <w14:solidFill>
              <w14:schemeClr w14:val="tx1"/>
            </w14:solidFill>
          </w14:textFill>
        </w:rPr>
      </w:pPr>
      <w:r>
        <w:rPr>
          <w:rFonts w:hint="eastAsia" w:asciiTheme="minorEastAsia" w:hAnsiTheme="minorEastAsia" w:eastAsiaTheme="minorEastAsia" w:cstheme="minorEastAsia"/>
          <w:color w:val="000000" w:themeColor="text1"/>
          <w:kern w:val="0"/>
          <w:sz w:val="24"/>
          <w14:textFill>
            <w14:solidFill>
              <w14:schemeClr w14:val="tx1"/>
            </w14:solidFill>
          </w14:textFill>
        </w:rPr>
        <w:t>（</w:t>
      </w:r>
      <w:r>
        <w:rPr>
          <w:rFonts w:hint="eastAsia" w:asciiTheme="minorEastAsia" w:hAnsiTheme="minorEastAsia" w:eastAsiaTheme="minorEastAsia" w:cstheme="minorEastAsia"/>
          <w:color w:val="000000" w:themeColor="text1"/>
          <w:sz w:val="24"/>
          <w14:textFill>
            <w14:solidFill>
              <w14:schemeClr w14:val="tx1"/>
            </w14:solidFill>
          </w14:textFill>
        </w:rPr>
        <w:t>七）2022年学院就业工作重点</w:t>
      </w:r>
    </w:p>
    <w:p>
      <w:pPr>
        <w:spacing w:line="360" w:lineRule="auto"/>
        <w:ind w:firstLine="480" w:firstLineChars="200"/>
        <w:rPr>
          <w:rFonts w:asciiTheme="minorEastAsia" w:hAnsiTheme="minorEastAsia" w:eastAsiaTheme="minorEastAsia" w:cstheme="minorEastAsia"/>
          <w:color w:val="000000" w:themeColor="text1"/>
          <w:sz w:val="24"/>
          <w14:textFill>
            <w14:solidFill>
              <w14:schemeClr w14:val="tx1"/>
            </w14:solidFill>
          </w14:textFill>
        </w:rPr>
      </w:pPr>
      <w:bookmarkStart w:id="2" w:name="_Hlk86690339"/>
      <w:r>
        <w:rPr>
          <w:rFonts w:hint="eastAsia" w:asciiTheme="minorEastAsia" w:hAnsiTheme="minorEastAsia" w:eastAsiaTheme="minorEastAsia" w:cstheme="minorEastAsia"/>
          <w:sz w:val="24"/>
        </w:rPr>
        <w:t>受疫情和经济下行压力影响，复杂的就业形势</w:t>
      </w:r>
      <w:r>
        <w:rPr>
          <w:rFonts w:hint="eastAsia" w:asciiTheme="minorEastAsia" w:hAnsiTheme="minorEastAsia" w:eastAsiaTheme="minorEastAsia" w:cstheme="minorEastAsia"/>
          <w:color w:val="000000" w:themeColor="text1"/>
          <w:sz w:val="24"/>
          <w14:textFill>
            <w14:solidFill>
              <w14:schemeClr w14:val="tx1"/>
            </w14:solidFill>
          </w14:textFill>
        </w:rPr>
        <w:t>给做好今年就业工作带来了巨大压力，同时也是巨大挑战。为此，人工智能与大数据学院提高政治站位，坚定信心，多措并举，切实增强忧患意识，树立底线和红线思维，抓好落实国家、省、学校各项决策部署要求，最大限度降低各种复杂因素对毕业生就业的不利影响。具体举措如下：</w:t>
      </w:r>
    </w:p>
    <w:p>
      <w:pPr>
        <w:spacing w:line="360" w:lineRule="auto"/>
        <w:ind w:firstLine="480" w:firstLineChars="200"/>
        <w:rPr>
          <w:rFonts w:asciiTheme="minorEastAsia" w:hAnsiTheme="minorEastAsia" w:eastAsiaTheme="minorEastAsia" w:cstheme="minorEastAsia"/>
          <w:color w:val="000000" w:themeColor="text1"/>
          <w:sz w:val="24"/>
          <w14:textFill>
            <w14:solidFill>
              <w14:schemeClr w14:val="tx1"/>
            </w14:solidFill>
          </w14:textFill>
        </w:rPr>
      </w:pPr>
      <w:r>
        <w:rPr>
          <w:rFonts w:hint="eastAsia" w:asciiTheme="minorEastAsia" w:hAnsiTheme="minorEastAsia" w:eastAsiaTheme="minorEastAsia" w:cstheme="minorEastAsia"/>
          <w:color w:val="000000" w:themeColor="text1"/>
          <w:sz w:val="24"/>
          <w14:textFill>
            <w14:solidFill>
              <w14:schemeClr w14:val="tx1"/>
            </w14:solidFill>
          </w14:textFill>
        </w:rPr>
        <w:t>1、团结奋进，加强组织领导</w:t>
      </w:r>
    </w:p>
    <w:p>
      <w:pPr>
        <w:spacing w:line="360" w:lineRule="auto"/>
        <w:ind w:firstLine="480" w:firstLineChars="200"/>
        <w:rPr>
          <w:rFonts w:asciiTheme="minorEastAsia" w:hAnsiTheme="minorEastAsia" w:eastAsiaTheme="minorEastAsia" w:cstheme="minorEastAsia"/>
          <w:color w:val="000000" w:themeColor="text1"/>
          <w:sz w:val="24"/>
          <w14:textFill>
            <w14:solidFill>
              <w14:schemeClr w14:val="tx1"/>
            </w14:solidFill>
          </w14:textFill>
        </w:rPr>
      </w:pPr>
      <w:r>
        <w:rPr>
          <w:rFonts w:hint="eastAsia" w:asciiTheme="minorEastAsia" w:hAnsiTheme="minorEastAsia" w:eastAsiaTheme="minorEastAsia" w:cstheme="minorEastAsia"/>
          <w:color w:val="000000" w:themeColor="text1"/>
          <w:sz w:val="24"/>
          <w14:textFill>
            <w14:solidFill>
              <w14:schemeClr w14:val="tx1"/>
            </w14:solidFill>
          </w14:textFill>
        </w:rPr>
        <w:t>学院成立了2022届毕业生就业工作领导小组，由院长和书记担任组长，副书记、副院长担任副组长，各系部主任、毕业班辅导员、班主任为小组成员，做好顶层设计，统筹推进学院2022届毕业生就业工作。多次召开党委会、院务会、党政联席会议等，就毕业生就业方案审定、招聘会组织、就业基地签订、就业帮扶等进行专题研究，做好部署工作。并根据各专业就业推进情况，连续召开了三次双周就业工作推进会，有力推动了学院就业工作顺利有序开展。</w:t>
      </w:r>
    </w:p>
    <w:p>
      <w:pPr>
        <w:spacing w:line="360" w:lineRule="auto"/>
        <w:ind w:firstLine="480" w:firstLineChars="200"/>
        <w:rPr>
          <w:rFonts w:asciiTheme="minorEastAsia" w:hAnsiTheme="minorEastAsia" w:eastAsiaTheme="minorEastAsia" w:cstheme="minorEastAsia"/>
          <w:color w:val="000000" w:themeColor="text1"/>
          <w:sz w:val="24"/>
          <w14:textFill>
            <w14:solidFill>
              <w14:schemeClr w14:val="tx1"/>
            </w14:solidFill>
          </w14:textFill>
        </w:rPr>
      </w:pPr>
      <w:r>
        <w:rPr>
          <w:rFonts w:hint="eastAsia" w:asciiTheme="minorEastAsia" w:hAnsiTheme="minorEastAsia" w:eastAsiaTheme="minorEastAsia" w:cstheme="minorEastAsia"/>
          <w:color w:val="000000" w:themeColor="text1"/>
          <w:sz w:val="24"/>
          <w14:textFill>
            <w14:solidFill>
              <w14:schemeClr w14:val="tx1"/>
            </w14:solidFill>
          </w14:textFill>
        </w:rPr>
        <w:t>2、精准摸排，强化一生一策</w:t>
      </w:r>
    </w:p>
    <w:p>
      <w:pPr>
        <w:spacing w:line="360" w:lineRule="auto"/>
        <w:ind w:firstLine="480" w:firstLineChars="200"/>
        <w:rPr>
          <w:rFonts w:asciiTheme="minorEastAsia" w:hAnsiTheme="minorEastAsia" w:eastAsiaTheme="minorEastAsia" w:cstheme="minorEastAsia"/>
          <w:color w:val="000000" w:themeColor="text1"/>
          <w:sz w:val="24"/>
          <w14:textFill>
            <w14:solidFill>
              <w14:schemeClr w14:val="tx1"/>
            </w14:solidFill>
          </w14:textFill>
        </w:rPr>
      </w:pPr>
      <w:r>
        <w:rPr>
          <w:rFonts w:hint="eastAsia" w:asciiTheme="minorEastAsia" w:hAnsiTheme="minorEastAsia" w:eastAsiaTheme="minorEastAsia" w:cstheme="minorEastAsia"/>
          <w:color w:val="000000" w:themeColor="text1"/>
          <w:sz w:val="24"/>
          <w14:textFill>
            <w14:solidFill>
              <w14:schemeClr w14:val="tx1"/>
            </w14:solidFill>
          </w14:textFill>
        </w:rPr>
        <w:t>我院2022届毕业生涵盖学校所有类型，既有本科、专科，还有对口、专升本、师范、对德，种类多，需求差异大。其中对女大学生、少数民族学生、建档立卡学生、家庭经济困难学生、湖北籍毕业生、残疾学生、学业困难学生，考研复试学生、考研失利学生，考公考编学生、创业学生等特殊群体，我院严格贯彻落实“一生一策”，加强分类指导工作。在前期建立的《2022届毕业生就业情况台账》基础上，学院以宿舍为单位进行就业意向摸排，建立《2022届毕业生分类指导工作台账》，充分发挥毕业设计指导老师、专业课教师、毕业班辅导员及学生党员学生骨干作用，准确、详实地完善未就业学生的动态数据库。对未就业的学生分小组帮扶，安排责任人，根据学生在就业情况台账中登记的拟就业意向和单位性质，有针对性地提供相关就业信息或就业信息获取渠道，并充分利用各种机会向用人单位积极推荐，不断拓宽其就业渠道。做好招聘信息的搜集、整理，通过毕业生QQ群、微信群等形式推送，确保就业信息充分及时推送给毕业生。针对考研学子，召开学院层面的专题座谈会，听取学生考研方面的意见建议，并出台《加强本科生考研工作实施方案（试行）》，全面摸底统计2022届考研学生成绩情况，学院、系主任、专业课老师、辅导员多方联动，重点关注考研学生复试准备、院校调剂需求，及时给予学生指导。开展考研失利学生一对一心理帮扶，鼓励学生调整心态、转变观念，积极关注意向企业招聘。</w:t>
      </w:r>
    </w:p>
    <w:p>
      <w:pPr>
        <w:spacing w:line="360" w:lineRule="auto"/>
        <w:ind w:firstLine="480" w:firstLineChars="200"/>
        <w:rPr>
          <w:rFonts w:asciiTheme="minorEastAsia" w:hAnsiTheme="minorEastAsia" w:eastAsiaTheme="minorEastAsia" w:cstheme="minorEastAsia"/>
          <w:color w:val="000000" w:themeColor="text1"/>
          <w:sz w:val="24"/>
          <w14:textFill>
            <w14:solidFill>
              <w14:schemeClr w14:val="tx1"/>
            </w14:solidFill>
          </w14:textFill>
        </w:rPr>
      </w:pPr>
      <w:r>
        <w:rPr>
          <w:rFonts w:hint="eastAsia" w:asciiTheme="minorEastAsia" w:hAnsiTheme="minorEastAsia" w:eastAsiaTheme="minorEastAsia" w:cstheme="minorEastAsia"/>
          <w:color w:val="000000" w:themeColor="text1"/>
          <w:sz w:val="24"/>
          <w14:textFill>
            <w14:solidFill>
              <w14:schemeClr w14:val="tx1"/>
            </w14:solidFill>
          </w14:textFill>
        </w:rPr>
        <w:t>3、创新方式，抓好专场招聘</w:t>
      </w:r>
    </w:p>
    <w:p>
      <w:pPr>
        <w:spacing w:line="360" w:lineRule="auto"/>
        <w:ind w:firstLine="480" w:firstLineChars="200"/>
        <w:rPr>
          <w:rFonts w:asciiTheme="minorEastAsia" w:hAnsiTheme="minorEastAsia" w:eastAsiaTheme="minorEastAsia" w:cstheme="minorEastAsia"/>
          <w:sz w:val="24"/>
        </w:rPr>
      </w:pPr>
      <w:r>
        <w:rPr>
          <w:rFonts w:hint="eastAsia" w:asciiTheme="minorEastAsia" w:hAnsiTheme="minorEastAsia" w:eastAsiaTheme="minorEastAsia" w:cstheme="minorEastAsia"/>
          <w:sz w:val="24"/>
        </w:rPr>
        <w:t>学院充分发挥任课教师、毕业班辅导员以及校友的资源，通过线上线下混合扎实做好了就业招聘工作，实现了招聘形态“多样化”，共为2022届毕业生组织了线上线下专场招聘会累计112场。各用人单位带来了864个工作岗位，共有岗位数6155个。特别是2021年下半年由合肥市大数据行业党委和合肥学院共同主办，合肥市大数据产业战略创新联盟、安徽云畅数据科技有限公司和学生处就业指导中心、人工智能与大数据学院共同承办的数字经济招聘会，更是吸引了40多家省内外优质网络科技公司的到来，众多毕业生在招聘会中收获到了满意岗位。2022届我院毕业生571人，毕业生人数与全年进院招聘岗位数比例达到了1:11，毕业生实现了足不出校，就可以与众多优质企业进行面对面的沟通洽谈，减轻了毕业生求职负担，为学院毕业生好就业、就好业提供了坚实基础。</w:t>
      </w:r>
    </w:p>
    <w:p>
      <w:pPr>
        <w:spacing w:line="360" w:lineRule="auto"/>
        <w:ind w:firstLine="480" w:firstLineChars="200"/>
        <w:rPr>
          <w:rFonts w:asciiTheme="minorEastAsia" w:hAnsiTheme="minorEastAsia" w:eastAsiaTheme="minorEastAsia" w:cstheme="minorEastAsia"/>
          <w:color w:val="000000" w:themeColor="text1"/>
          <w:sz w:val="24"/>
          <w14:textFill>
            <w14:solidFill>
              <w14:schemeClr w14:val="tx1"/>
            </w14:solidFill>
          </w14:textFill>
        </w:rPr>
      </w:pPr>
      <w:r>
        <w:rPr>
          <w:rFonts w:hint="eastAsia" w:asciiTheme="minorEastAsia" w:hAnsiTheme="minorEastAsia" w:eastAsiaTheme="minorEastAsia" w:cstheme="minorEastAsia"/>
          <w:color w:val="000000" w:themeColor="text1"/>
          <w:sz w:val="24"/>
          <w14:textFill>
            <w14:solidFill>
              <w14:schemeClr w14:val="tx1"/>
            </w14:solidFill>
          </w14:textFill>
        </w:rPr>
        <w:t>4、强化系部协调，压实包保责任</w:t>
      </w:r>
    </w:p>
    <w:p>
      <w:pPr>
        <w:spacing w:line="360" w:lineRule="auto"/>
        <w:ind w:firstLine="480" w:firstLineChars="200"/>
        <w:rPr>
          <w:rFonts w:asciiTheme="minorEastAsia" w:hAnsiTheme="minorEastAsia" w:eastAsiaTheme="minorEastAsia" w:cstheme="minorEastAsia"/>
          <w:color w:val="000000" w:themeColor="text1"/>
          <w:sz w:val="24"/>
          <w14:textFill>
            <w14:solidFill>
              <w14:schemeClr w14:val="tx1"/>
            </w14:solidFill>
          </w14:textFill>
        </w:rPr>
      </w:pPr>
      <w:r>
        <w:rPr>
          <w:rFonts w:hint="eastAsia" w:asciiTheme="minorEastAsia" w:hAnsiTheme="minorEastAsia" w:eastAsiaTheme="minorEastAsia" w:cstheme="minorEastAsia"/>
          <w:color w:val="000000" w:themeColor="text1"/>
          <w:sz w:val="24"/>
          <w14:textFill>
            <w14:solidFill>
              <w14:schemeClr w14:val="tx1"/>
            </w14:solidFill>
          </w14:textFill>
        </w:rPr>
        <w:t>厘清各系部职责，全院形成合力，采取“全员化”策略让全院教职工承担共同促进就业的职责。充分发挥专业班主任、毕业论文指导老师的作用，发挥本科生导师制的优势，以毕业班辅导员和论文指导老师双责任人的形式，形成双线指导帮助良性循环。在双周就业推进会上，院领导及时反馈学生就业情况，并督促指导教师重视、关心学生就业，在指导论文的同时，有意识询问学生就业情况和考研复习情况，要求他们要多关注学校的招聘信息和辅导员发布的信息。每周通报各专业、各班级就业率和线上招聘会开展情况，院领导及时掌握最新就业动态，督促就业率较低的专业负负责人、班级辅导员落实落细包保责任。</w:t>
      </w:r>
    </w:p>
    <w:p>
      <w:pPr>
        <w:spacing w:line="360" w:lineRule="auto"/>
        <w:ind w:firstLine="480" w:firstLineChars="200"/>
        <w:rPr>
          <w:rFonts w:asciiTheme="minorEastAsia" w:hAnsiTheme="minorEastAsia" w:eastAsiaTheme="minorEastAsia" w:cstheme="minorEastAsia"/>
          <w:sz w:val="24"/>
        </w:rPr>
      </w:pPr>
      <w:r>
        <w:rPr>
          <w:rFonts w:hint="eastAsia" w:asciiTheme="minorEastAsia" w:hAnsiTheme="minorEastAsia" w:eastAsiaTheme="minorEastAsia" w:cstheme="minorEastAsia"/>
          <w:sz w:val="24"/>
        </w:rPr>
        <w:t>5、校企联动，搭建就业平台</w:t>
      </w:r>
    </w:p>
    <w:p>
      <w:pPr>
        <w:spacing w:line="360" w:lineRule="auto"/>
        <w:ind w:firstLine="480" w:firstLineChars="200"/>
        <w:rPr>
          <w:rFonts w:asciiTheme="minorEastAsia" w:hAnsiTheme="minorEastAsia" w:eastAsiaTheme="minorEastAsia" w:cstheme="minorEastAsia"/>
          <w:sz w:val="24"/>
        </w:rPr>
      </w:pPr>
      <w:r>
        <w:rPr>
          <w:rFonts w:hint="eastAsia" w:asciiTheme="minorEastAsia" w:hAnsiTheme="minorEastAsia" w:eastAsiaTheme="minorEastAsia" w:cstheme="minorEastAsia"/>
          <w:sz w:val="24"/>
        </w:rPr>
        <w:t>2022年，学院与科大讯飞信息科技有限公司、北京思特奇信息技术股份有限公司、肥东义和尚真中学等签订了学生就业实习基地，为做好毕业生就业实习工作奠定了良好基础。坚决贯彻党中央、国务院关于高校毕业生就业工作的决策部署，开展书记院长访企拓岗促就业工作。受疫情影响，今年就业形式严峻，学院党委按照学校要求，积极开展书记院长访企拓岗活动。4月份，校副书记刘建中带领我院与美亚光电进行了深度交流；5月份，副校长陈秀带领我院班子成员一起走进科大讯飞、科大国创，副校长卢平带领我院走进中国声谷，推进学生高质量就业，促进产学研深度合作。学院还主动联系北京思特奇、肥东尚真学校等，在封闭期间，集中送毕业生去对方单位或线上参加面试考核，为推进毕业生就业积极创造条件。学院还通过定期召开就业推进会、大学生征兵政策宣讲会、线上招聘会等推进就业工作。全年访企拓岗走访企业19家，拓展岗位175个，19家被访企业共接收我院毕业生43人。</w:t>
      </w:r>
    </w:p>
    <w:p>
      <w:pPr>
        <w:spacing w:line="360" w:lineRule="auto"/>
        <w:ind w:firstLine="480" w:firstLineChars="200"/>
        <w:rPr>
          <w:rFonts w:asciiTheme="minorEastAsia" w:hAnsiTheme="minorEastAsia" w:eastAsiaTheme="minorEastAsia" w:cstheme="minorEastAsia"/>
          <w:sz w:val="24"/>
        </w:rPr>
      </w:pPr>
      <w:r>
        <w:rPr>
          <w:rFonts w:hint="eastAsia" w:asciiTheme="minorEastAsia" w:hAnsiTheme="minorEastAsia" w:eastAsiaTheme="minorEastAsia" w:cstheme="minorEastAsia"/>
          <w:sz w:val="24"/>
        </w:rPr>
        <w:t>6、加强宣传，引导基层就业</w:t>
      </w:r>
    </w:p>
    <w:p>
      <w:pPr>
        <w:spacing w:line="360" w:lineRule="auto"/>
        <w:ind w:firstLine="480" w:firstLineChars="200"/>
        <w:rPr>
          <w:rFonts w:asciiTheme="minorEastAsia" w:hAnsiTheme="minorEastAsia" w:eastAsiaTheme="minorEastAsia" w:cstheme="minorEastAsia"/>
          <w:b/>
          <w:bCs/>
          <w:sz w:val="24"/>
        </w:rPr>
      </w:pPr>
      <w:r>
        <w:rPr>
          <w:rFonts w:hint="eastAsia" w:asciiTheme="minorEastAsia" w:hAnsiTheme="minorEastAsia" w:eastAsiaTheme="minorEastAsia" w:cstheme="minorEastAsia"/>
          <w:sz w:val="24"/>
        </w:rPr>
        <w:t>人工智能与大数据学院根据教育部、安徽省就业推进会精神，在</w:t>
      </w:r>
      <w:r>
        <w:rPr>
          <w:rFonts w:hint="eastAsia" w:asciiTheme="minorEastAsia" w:hAnsiTheme="minorEastAsia" w:eastAsiaTheme="minorEastAsia" w:cstheme="minorEastAsia"/>
          <w:color w:val="000000" w:themeColor="text1"/>
          <w:sz w:val="24"/>
          <w14:textFill>
            <w14:solidFill>
              <w14:schemeClr w14:val="tx1"/>
            </w14:solidFill>
          </w14:textFill>
        </w:rPr>
        <w:t>2022届毕业生中重点加强基层就业的政策宣传。充分发挥毕业班辅导员、历届基层就业校友的榜样示范引领作用，通过主题班会、个别谈心谈话、就业推荐等方式途径，重点宣讲特岗教师、西部计划、参军入伍、三支一扶、选调生等国家政策性岗位招聘信息。通过宣讲</w:t>
      </w:r>
      <w:r>
        <w:rPr>
          <w:rFonts w:hint="eastAsia" w:asciiTheme="minorEastAsia" w:hAnsiTheme="minorEastAsia" w:eastAsiaTheme="minorEastAsia" w:cstheme="minorEastAsia"/>
          <w:sz w:val="24"/>
        </w:rPr>
        <w:t xml:space="preserve"> ，今年我院共有7位毕业生顺利参军入伍，4位毕业生考取西部计划，1位毕业生考取基层选调生。上述学生实现了人生理想，到了祖国最需要的地方建功立业。</w:t>
      </w:r>
      <w:bookmarkEnd w:id="2"/>
    </w:p>
    <w:p>
      <w:pPr>
        <w:spacing w:line="360" w:lineRule="auto"/>
        <w:rPr>
          <w:rFonts w:asciiTheme="minorEastAsia" w:hAnsiTheme="minorEastAsia" w:eastAsiaTheme="minorEastAsia" w:cstheme="minorEastAsia"/>
          <w:b/>
          <w:bCs/>
          <w:color w:val="000000" w:themeColor="text1"/>
          <w:sz w:val="24"/>
          <w14:textFill>
            <w14:solidFill>
              <w14:schemeClr w14:val="tx1"/>
            </w14:solidFill>
          </w14:textFill>
        </w:rPr>
      </w:pPr>
      <w:r>
        <w:rPr>
          <w:rFonts w:hint="eastAsia" w:asciiTheme="minorEastAsia" w:hAnsiTheme="minorEastAsia" w:eastAsiaTheme="minorEastAsia" w:cstheme="minorEastAsia"/>
          <w:b/>
          <w:bCs/>
          <w:color w:val="000000" w:themeColor="text1"/>
          <w:sz w:val="24"/>
          <w14:textFill>
            <w14:solidFill>
              <w14:schemeClr w14:val="tx1"/>
            </w14:solidFill>
          </w14:textFill>
        </w:rPr>
        <w:t xml:space="preserve">五、对就业困难、弱势群体、特殊问题毕业生帮扶情况 </w:t>
      </w:r>
    </w:p>
    <w:p>
      <w:pPr>
        <w:spacing w:line="360" w:lineRule="auto"/>
        <w:ind w:firstLine="480" w:firstLineChars="200"/>
        <w:rPr>
          <w:rFonts w:asciiTheme="minorEastAsia" w:hAnsiTheme="minorEastAsia" w:eastAsiaTheme="minorEastAsia" w:cstheme="minorEastAsia"/>
          <w:sz w:val="24"/>
        </w:rPr>
      </w:pPr>
      <w:r>
        <w:rPr>
          <w:rFonts w:hint="eastAsia" w:asciiTheme="minorEastAsia" w:hAnsiTheme="minorEastAsia" w:eastAsiaTheme="minorEastAsia" w:cstheme="minorEastAsia"/>
          <w:sz w:val="24"/>
        </w:rPr>
        <w:t>人工智能与大数据学院根据年度就业方案，结合学院毕业生实际，对建档立卡学生、残疾学生、就业困难学生实行一对一结对帮扶。截至2022年8月底，我院所有建档立卡学生、残疾学生、就业困难学生中，有就业意愿的学生实现100%就业，且就业单位质量相较于往年更加上台阶。我院在2022届毕业生就业工作中采取以下方法与措施来帮助就业困难、弱势群体、特殊问题毕业生顺利就业：</w:t>
      </w:r>
    </w:p>
    <w:p>
      <w:pPr>
        <w:autoSpaceDE w:val="0"/>
        <w:autoSpaceDN w:val="0"/>
        <w:adjustRightInd w:val="0"/>
        <w:spacing w:line="360" w:lineRule="auto"/>
        <w:ind w:firstLine="480" w:firstLineChars="200"/>
        <w:jc w:val="left"/>
        <w:rPr>
          <w:rFonts w:asciiTheme="minorEastAsia" w:hAnsiTheme="minorEastAsia" w:eastAsiaTheme="minorEastAsia" w:cstheme="minorEastAsia"/>
          <w:sz w:val="24"/>
        </w:rPr>
      </w:pPr>
      <w:r>
        <w:rPr>
          <w:rFonts w:hint="eastAsia" w:asciiTheme="minorEastAsia" w:hAnsiTheme="minorEastAsia" w:eastAsiaTheme="minorEastAsia" w:cstheme="minorEastAsia"/>
          <w:sz w:val="24"/>
        </w:rPr>
        <w:t>1、明确就业困难、弱势群体、特殊问题毕业生就业工作的意义</w:t>
      </w:r>
    </w:p>
    <w:p>
      <w:pPr>
        <w:pStyle w:val="11"/>
        <w:spacing w:before="0" w:beforeAutospacing="0" w:after="0" w:afterAutospacing="0"/>
        <w:ind w:firstLineChars="200"/>
        <w:rPr>
          <w:rFonts w:asciiTheme="minorEastAsia" w:hAnsiTheme="minorEastAsia" w:eastAsiaTheme="minorEastAsia" w:cstheme="minorEastAsia"/>
          <w:color w:val="000000"/>
          <w:sz w:val="24"/>
          <w:szCs w:val="24"/>
        </w:rPr>
      </w:pPr>
      <w:r>
        <w:rPr>
          <w:rFonts w:hint="eastAsia" w:asciiTheme="minorEastAsia" w:hAnsiTheme="minorEastAsia" w:eastAsiaTheme="minorEastAsia" w:cstheme="minorEastAsia"/>
          <w:sz w:val="24"/>
          <w:szCs w:val="24"/>
        </w:rPr>
        <w:t>就业是大学生人生的重要转折点，当前就业形势的严峻和社会上上许许多多、或明或暗的漠视态度和歧视行为无疑给大学生带来极大的精神压力，特别是家庭经济困难的学生。他们是倾家庭所有、有的甚至是举债求学，种种压抑感、紧张感和矛盾感在面临就业时就会激烈的体现出来，如果就业解决不好，极易诱发各种社会冲突和矛盾。有些大学生在就业过程中不堪重负，选择以极端的、不理智的行为诉求，极易对个人和他人造成伤害，破坏校园和社会的稳定和正常秩序。因此，就业困难、弱势群体、特殊问题毕业生的就业以及相关问题应</w:t>
      </w:r>
      <w:r>
        <w:rPr>
          <w:rFonts w:hint="eastAsia" w:asciiTheme="minorEastAsia" w:hAnsiTheme="minorEastAsia" w:eastAsiaTheme="minorEastAsia" w:cstheme="minorEastAsia"/>
          <w:color w:val="000000"/>
          <w:sz w:val="24"/>
          <w:szCs w:val="24"/>
        </w:rPr>
        <w:t>引起我们足够的重视。</w:t>
      </w:r>
    </w:p>
    <w:p>
      <w:pPr>
        <w:pStyle w:val="11"/>
        <w:spacing w:before="0" w:beforeAutospacing="0" w:after="0" w:afterAutospacing="0"/>
        <w:ind w:firstLineChars="200"/>
        <w:rPr>
          <w:rFonts w:asciiTheme="minorEastAsia" w:hAnsiTheme="minorEastAsia" w:eastAsiaTheme="minorEastAsia" w:cstheme="minorEastAsia"/>
          <w:color w:val="000000"/>
          <w:sz w:val="24"/>
          <w:szCs w:val="24"/>
        </w:rPr>
      </w:pPr>
      <w:r>
        <w:rPr>
          <w:rFonts w:hint="eastAsia" w:asciiTheme="minorEastAsia" w:hAnsiTheme="minorEastAsia" w:eastAsiaTheme="minorEastAsia" w:cstheme="minorEastAsia"/>
          <w:color w:val="000000"/>
          <w:sz w:val="24"/>
          <w:szCs w:val="24"/>
        </w:rPr>
        <w:t>2、针对就业困难、弱势群体、特殊问题毕业生的情况，采取各种教育方式科学地开展就业指导，引导他们找到自己奋斗的目标和前进的道路。</w:t>
      </w:r>
    </w:p>
    <w:p>
      <w:pPr>
        <w:pStyle w:val="11"/>
        <w:spacing w:before="0" w:beforeAutospacing="0" w:after="0" w:afterAutospacing="0"/>
        <w:ind w:firstLineChars="200"/>
        <w:rPr>
          <w:rFonts w:asciiTheme="minorEastAsia" w:hAnsiTheme="minorEastAsia" w:eastAsiaTheme="minorEastAsia" w:cstheme="minorEastAsia"/>
          <w:color w:val="000000"/>
          <w:sz w:val="24"/>
          <w:szCs w:val="24"/>
        </w:rPr>
      </w:pPr>
      <w:r>
        <w:rPr>
          <w:rFonts w:hint="eastAsia" w:asciiTheme="minorEastAsia" w:hAnsiTheme="minorEastAsia" w:eastAsiaTheme="minorEastAsia" w:cstheme="minorEastAsia"/>
          <w:color w:val="000000"/>
          <w:sz w:val="24"/>
          <w:szCs w:val="24"/>
        </w:rPr>
        <w:t>我院主要采取以下四方面的教育方式：</w:t>
      </w:r>
    </w:p>
    <w:p>
      <w:pPr>
        <w:spacing w:line="360" w:lineRule="auto"/>
        <w:ind w:firstLine="480" w:firstLineChars="200"/>
        <w:rPr>
          <w:rFonts w:asciiTheme="minorEastAsia" w:hAnsiTheme="minorEastAsia" w:eastAsiaTheme="minorEastAsia" w:cstheme="minorEastAsia"/>
          <w:sz w:val="24"/>
        </w:rPr>
      </w:pPr>
      <w:r>
        <w:rPr>
          <w:rFonts w:hint="eastAsia" w:asciiTheme="minorEastAsia" w:hAnsiTheme="minorEastAsia" w:eastAsiaTheme="minorEastAsia" w:cstheme="minorEastAsia"/>
          <w:sz w:val="24"/>
        </w:rPr>
        <w:t>（1）职业生涯规划教育。我院开展针对不同年级学生的职业生涯规划讲座，有“大学生就业形势”、“职业生涯规划”、“职业素养”、“毕业生求职过程法律知识讲座”等。这些讲座旨在帮助同学们确立大学的生活学习目标，树立热爱学习、热爱专业、刻苦钻研的思想，指导学生制定职业规划，确立人生目标和实现途径，促进大学生进一步认识自己所学专业并规划自己的职业生涯，这也是我院“大学生科创新活动方案”内容的一部分；</w:t>
      </w:r>
    </w:p>
    <w:p>
      <w:pPr>
        <w:spacing w:line="360" w:lineRule="auto"/>
        <w:ind w:firstLine="480" w:firstLineChars="200"/>
        <w:rPr>
          <w:rFonts w:asciiTheme="minorEastAsia" w:hAnsiTheme="minorEastAsia" w:eastAsiaTheme="minorEastAsia" w:cstheme="minorEastAsia"/>
          <w:sz w:val="24"/>
        </w:rPr>
      </w:pPr>
      <w:r>
        <w:rPr>
          <w:rFonts w:hint="eastAsia" w:asciiTheme="minorEastAsia" w:hAnsiTheme="minorEastAsia" w:eastAsiaTheme="minorEastAsia" w:cstheme="minorEastAsia"/>
          <w:sz w:val="24"/>
        </w:rPr>
        <w:t>（2）</w:t>
      </w:r>
      <w:r>
        <w:rPr>
          <w:rFonts w:hint="eastAsia" w:asciiTheme="minorEastAsia" w:hAnsiTheme="minorEastAsia" w:eastAsiaTheme="minorEastAsia" w:cstheme="minorEastAsia"/>
          <w:kern w:val="0"/>
          <w:sz w:val="24"/>
        </w:rPr>
        <w:t>专业技能教育。我院开展一系列针对就业困难、弱势群体、特殊问题学生的专业技能讲座和实训</w:t>
      </w:r>
      <w:r>
        <w:rPr>
          <w:rFonts w:hint="eastAsia" w:asciiTheme="minorEastAsia" w:hAnsiTheme="minorEastAsia" w:eastAsiaTheme="minorEastAsia" w:cstheme="minorEastAsia"/>
          <w:sz w:val="24"/>
        </w:rPr>
        <w:t>，如多媒体网页设计与制作报告会、职业规划与IT知识讲座、Linux操作系统实训等，这些专业讲座和实训旨在提高大学生的专业技能，了解本专业就业现状及其发展趋势，帮助大学生了解并填补个人专业能力的缺陷和不足；</w:t>
      </w:r>
    </w:p>
    <w:p>
      <w:pPr>
        <w:spacing w:line="360" w:lineRule="auto"/>
        <w:ind w:firstLine="480" w:firstLineChars="200"/>
        <w:rPr>
          <w:rFonts w:asciiTheme="minorEastAsia" w:hAnsiTheme="minorEastAsia" w:eastAsiaTheme="minorEastAsia" w:cstheme="minorEastAsia"/>
          <w:sz w:val="24"/>
        </w:rPr>
      </w:pPr>
      <w:r>
        <w:rPr>
          <w:rFonts w:hint="eastAsia" w:asciiTheme="minorEastAsia" w:hAnsiTheme="minorEastAsia" w:eastAsiaTheme="minorEastAsia" w:cstheme="minorEastAsia"/>
          <w:sz w:val="24"/>
        </w:rPr>
        <w:t>（3）思想道德教育。我院在针对就业困难、弱势群体、特殊问题学生的教育中加大思想教育的力度，加强爱国主义教育、国情教育，增强学生的社会责任感，帮助大学生从思想上、心理上战胜自我，在增强就业信心的同时改变不切实际的就业期望值，希望就业困难学生能够放下包袱，主动争取机会就业。</w:t>
      </w:r>
    </w:p>
    <w:p>
      <w:pPr>
        <w:spacing w:line="360" w:lineRule="auto"/>
        <w:ind w:firstLine="480" w:firstLineChars="200"/>
        <w:rPr>
          <w:rFonts w:asciiTheme="minorEastAsia" w:hAnsiTheme="minorEastAsia" w:eastAsiaTheme="minorEastAsia" w:cstheme="minorEastAsia"/>
          <w:sz w:val="24"/>
        </w:rPr>
      </w:pPr>
      <w:r>
        <w:rPr>
          <w:rFonts w:hint="eastAsia" w:asciiTheme="minorEastAsia" w:hAnsiTheme="minorEastAsia" w:eastAsiaTheme="minorEastAsia" w:cstheme="minorEastAsia"/>
          <w:sz w:val="24"/>
        </w:rPr>
        <w:t>（4）就业技巧培训。大学生在校期间很难接触到真枪实弹的就业，因此我院为毕业生开展一系列提高他们在求职、面试、制作简历等方面技巧的培训。我院组织各毕业班班主任定期开展“关于加强毕业生就业过程的就业技巧”主题班会，每次班会安排若干名同学上讲台演讲，以就业过程中的“自我介绍”为主题，每位学生3分钟演讲，锻炼学生的口才和心理素质，在对就业困难、弱势群体、特殊问题学生的帮扶方面起到了很好的帮助作用。辅导员在学生大三时就组织学生参观人才招聘会，帮助学生认识市场，激发学习热情，及时发布就业信息并每周去寝室掌握毕业生的就业心态，跟踪每位毕业生，一直送到学生就业。</w:t>
      </w:r>
    </w:p>
    <w:p>
      <w:pPr>
        <w:pStyle w:val="11"/>
        <w:spacing w:before="0" w:beforeAutospacing="0" w:after="0" w:afterAutospacing="0"/>
        <w:ind w:firstLineChars="200"/>
        <w:rPr>
          <w:rFonts w:asciiTheme="minorEastAsia" w:hAnsiTheme="minorEastAsia" w:eastAsiaTheme="minorEastAsia" w:cstheme="minorEastAsia"/>
          <w:sz w:val="24"/>
          <w:szCs w:val="24"/>
        </w:rPr>
      </w:pPr>
      <w:r>
        <w:rPr>
          <w:rFonts w:hint="eastAsia" w:asciiTheme="minorEastAsia" w:hAnsiTheme="minorEastAsia" w:eastAsiaTheme="minorEastAsia" w:cstheme="minorEastAsia"/>
          <w:color w:val="000000"/>
          <w:sz w:val="24"/>
          <w:szCs w:val="24"/>
        </w:rPr>
        <w:t>3、多方联系就业实习基地，举办各种类型的招聘</w:t>
      </w:r>
      <w:r>
        <w:rPr>
          <w:rFonts w:hint="eastAsia" w:asciiTheme="minorEastAsia" w:hAnsiTheme="minorEastAsia" w:eastAsiaTheme="minorEastAsia" w:cstheme="minorEastAsia"/>
          <w:sz w:val="24"/>
          <w:szCs w:val="24"/>
        </w:rPr>
        <w:t>会。</w:t>
      </w:r>
    </w:p>
    <w:p>
      <w:pPr>
        <w:pStyle w:val="11"/>
        <w:spacing w:before="0" w:beforeAutospacing="0" w:after="0" w:afterAutospacing="0"/>
        <w:ind w:firstLineChars="200"/>
        <w:rPr>
          <w:rFonts w:asciiTheme="minorEastAsia" w:hAnsiTheme="minorEastAsia" w:eastAsiaTheme="minorEastAsia" w:cstheme="minorEastAsia"/>
          <w:color w:val="000000"/>
          <w:sz w:val="24"/>
          <w:szCs w:val="24"/>
        </w:rPr>
      </w:pPr>
      <w:r>
        <w:rPr>
          <w:rFonts w:hint="eastAsia" w:asciiTheme="minorEastAsia" w:hAnsiTheme="minorEastAsia" w:eastAsiaTheme="minorEastAsia" w:cstheme="minorEastAsia"/>
          <w:sz w:val="24"/>
          <w:szCs w:val="24"/>
        </w:rPr>
        <w:t>我院在就业工作中广泛收集就业需求信息，及时推荐毕业生就业；主动联系用人单位，适时召开规模适度、综合性与专业性结合、时间长短适中的招聘会；将毕业生实习与就业结合起来，建立就业实习基地；建立就业网站，进行网上求职指导和就业岗位信息的收集和</w:t>
      </w:r>
      <w:r>
        <w:rPr>
          <w:rFonts w:hint="eastAsia" w:asciiTheme="minorEastAsia" w:hAnsiTheme="minorEastAsia" w:eastAsiaTheme="minorEastAsia" w:cstheme="minorEastAsia"/>
          <w:color w:val="000000"/>
          <w:sz w:val="24"/>
          <w:szCs w:val="24"/>
        </w:rPr>
        <w:t>发布；督促学生把自己的信息发布到网上，进行网上求职。</w:t>
      </w:r>
    </w:p>
    <w:p>
      <w:pPr>
        <w:pStyle w:val="11"/>
        <w:spacing w:before="0" w:beforeAutospacing="0" w:after="0" w:afterAutospacing="0"/>
        <w:ind w:firstLineChars="200"/>
        <w:rPr>
          <w:rFonts w:asciiTheme="minorEastAsia" w:hAnsiTheme="minorEastAsia" w:eastAsiaTheme="minorEastAsia" w:cstheme="minorEastAsia"/>
          <w:color w:val="000000"/>
          <w:sz w:val="24"/>
          <w:szCs w:val="24"/>
        </w:rPr>
      </w:pPr>
      <w:r>
        <w:rPr>
          <w:rFonts w:hint="eastAsia" w:asciiTheme="minorEastAsia" w:hAnsiTheme="minorEastAsia" w:eastAsiaTheme="minorEastAsia" w:cstheme="minorEastAsia"/>
          <w:color w:val="000000"/>
          <w:sz w:val="24"/>
          <w:szCs w:val="24"/>
        </w:rPr>
        <w:t>4、采取各种信息媒体来向毕业生发布就业信息。</w:t>
      </w:r>
    </w:p>
    <w:p>
      <w:pPr>
        <w:pStyle w:val="11"/>
        <w:spacing w:before="0" w:beforeAutospacing="0" w:after="0" w:afterAutospacing="0"/>
        <w:ind w:firstLineChars="200"/>
        <w:rPr>
          <w:rFonts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我院安排专人从网上搜集就业信息，并通过系就业网站、系就业宣传栏、宿舍区小黑板、电子邮件、班级QQ群、飞信、微博等方式发布就业信息，并督促毕业班班主任、辅导员老师经常到班级了解学生</w:t>
      </w:r>
      <w:r>
        <w:rPr>
          <w:rFonts w:hint="eastAsia" w:asciiTheme="minorEastAsia" w:hAnsiTheme="minorEastAsia" w:eastAsiaTheme="minorEastAsia" w:cstheme="minorEastAsia"/>
          <w:color w:val="000000"/>
          <w:sz w:val="24"/>
          <w:szCs w:val="24"/>
        </w:rPr>
        <w:t>的信息掌握情况，督促学生就业。</w:t>
      </w:r>
    </w:p>
    <w:p>
      <w:pPr>
        <w:spacing w:line="360" w:lineRule="auto"/>
        <w:ind w:firstLine="480" w:firstLineChars="200"/>
        <w:rPr>
          <w:rFonts w:asciiTheme="minorEastAsia" w:hAnsiTheme="minorEastAsia" w:eastAsiaTheme="minorEastAsia" w:cstheme="minorEastAsia"/>
          <w:color w:val="000000"/>
          <w:sz w:val="24"/>
        </w:rPr>
      </w:pPr>
      <w:r>
        <w:rPr>
          <w:rFonts w:hint="eastAsia" w:asciiTheme="minorEastAsia" w:hAnsiTheme="minorEastAsia" w:eastAsiaTheme="minorEastAsia" w:cstheme="minorEastAsia"/>
          <w:color w:val="000000"/>
          <w:sz w:val="24"/>
        </w:rPr>
        <w:t>5、调动一切积极因素帮助就业困难生就业。</w:t>
      </w:r>
      <w:r>
        <w:rPr>
          <w:rFonts w:hint="eastAsia" w:asciiTheme="minorEastAsia" w:hAnsiTheme="minorEastAsia" w:eastAsiaTheme="minorEastAsia" w:cstheme="minorEastAsia"/>
          <w:color w:val="000000" w:themeColor="text1"/>
          <w:sz w:val="24"/>
          <w14:textFill>
            <w14:solidFill>
              <w14:schemeClr w14:val="tx1"/>
            </w14:solidFill>
          </w14:textFill>
        </w:rPr>
        <w:t>院领导班子率先作为，通过采用谈心谈话、心理辅导、就业岗位推荐、学业帮扶等举措，对包保的学生尽全力进行就业指导与帮扶，每周院务会上汇报包保学生就业进展情况，同时、各系部、院党委下辖党支部结合我为师生办实事主题活动，也对相关专业学业困难毕业生进行了一对一结对帮扶。</w:t>
      </w:r>
    </w:p>
    <w:p>
      <w:pPr>
        <w:spacing w:line="360" w:lineRule="auto"/>
        <w:ind w:firstLine="480" w:firstLineChars="200"/>
        <w:rPr>
          <w:rFonts w:asciiTheme="minorEastAsia" w:hAnsiTheme="minorEastAsia" w:eastAsiaTheme="minorEastAsia" w:cstheme="minorEastAsia"/>
          <w:color w:val="000000"/>
          <w:sz w:val="24"/>
        </w:rPr>
      </w:pPr>
      <w:r>
        <w:rPr>
          <w:rFonts w:hint="eastAsia" w:asciiTheme="minorEastAsia" w:hAnsiTheme="minorEastAsia" w:eastAsiaTheme="minorEastAsia" w:cstheme="minorEastAsia"/>
          <w:color w:val="000000"/>
          <w:sz w:val="24"/>
        </w:rPr>
        <w:t>6、建立双困生帮扶档案及离校未就业学生帮扶档案</w:t>
      </w:r>
    </w:p>
    <w:p>
      <w:pPr>
        <w:pStyle w:val="11"/>
        <w:spacing w:before="0" w:beforeAutospacing="0" w:after="0" w:afterAutospacing="0"/>
        <w:ind w:firstLineChars="200"/>
        <w:rPr>
          <w:rFonts w:asciiTheme="minorEastAsia" w:hAnsiTheme="minorEastAsia" w:eastAsiaTheme="minorEastAsia" w:cstheme="minorEastAsia"/>
          <w:color w:val="000000"/>
          <w:sz w:val="24"/>
          <w:szCs w:val="24"/>
        </w:rPr>
      </w:pPr>
      <w:r>
        <w:rPr>
          <w:rFonts w:hint="eastAsia" w:asciiTheme="minorEastAsia" w:hAnsiTheme="minorEastAsia" w:eastAsiaTheme="minorEastAsia" w:cstheme="minorEastAsia"/>
          <w:color w:val="000000"/>
          <w:sz w:val="24"/>
          <w:szCs w:val="24"/>
        </w:rPr>
        <w:t>每位同学的情况不同，在就业过程中，我院要求各班级对毕业生进行就业情况摸底，针对就业困难、弱势群体、特殊问题学生的情况逐一分析并动态跟踪。对双困生建立具体的帮扶档案，通过调查分析，就业困难、弱势群体、特殊问题学生一般存在有四种情况，一种情况是学生在寻找工作过程中存在一些不足之处，比如在制作简历技巧、面试技巧、对劳动法和合同法的了解、人际交往能力等方面欠缺；第二种情况是学生自信心不足，这主要是由于学生在寻找工作的过程中几次就业未遂，就对找工作不报希望，主观上逃避就业，甚至自暴自弃，放弃就业；第三种情况是由于学生性格问题，很内向封闭自己，总感觉别人都比自己好，不敢去投简历，等着公司来招你，有的甚至放弃就业；第四种情况是由于性别、经济贫困、生理残疾、心理障碍等原因而在就业市场处于不利境地。</w:t>
      </w:r>
    </w:p>
    <w:p>
      <w:pPr>
        <w:pStyle w:val="11"/>
        <w:spacing w:before="0" w:beforeAutospacing="0" w:after="0" w:afterAutospacing="0"/>
        <w:ind w:firstLineChars="200"/>
        <w:rPr>
          <w:rFonts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针对同时具备经济困难和心理困难的毕业双困生，我院通过列举具体名单进行党员教师进行一对一的专项帮扶，定期沟通谈话，针对学生本人制定有效帮扶方案，有效调整了学生的生活状态、学习情况，党员教师的帮扶措施也给予学生更多的关怀和督促。目前高校大学生就业整体形势十分严峻，对于主观上逃避就业的就业困难大学生和弱势群体大学生，通过帮扶档案积极主动地和家长取得联系，希望家长协助学校做好毕业生的思想工作，督促这类毕业生和家长要克服一切困难，积极主动地求职应聘。同时响应国家政策，鼓励同学积极申报求职补贴，获得经济上的补助，减轻生活上的附上负担和压力，院里也会根据困难情况给与困难学生一定的补助。</w:t>
      </w:r>
    </w:p>
    <w:p>
      <w:pPr>
        <w:widowControl/>
        <w:jc w:val="left"/>
        <w:rPr>
          <w:rFonts w:asciiTheme="minorEastAsia" w:hAnsiTheme="minorEastAsia" w:eastAsiaTheme="minorEastAsia" w:cstheme="minorEastAsia"/>
          <w:sz w:val="24"/>
        </w:rPr>
      </w:pPr>
      <w:r>
        <w:drawing>
          <wp:inline distT="0" distB="0" distL="0" distR="0">
            <wp:extent cx="5274310" cy="387350"/>
            <wp:effectExtent l="0" t="0" r="8890" b="635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24"/>
                    <a:stretch>
                      <a:fillRect/>
                    </a:stretch>
                  </pic:blipFill>
                  <pic:spPr>
                    <a:xfrm>
                      <a:off x="0" y="0"/>
                      <a:ext cx="5274310" cy="387637"/>
                    </a:xfrm>
                    <a:prstGeom prst="rect">
                      <a:avLst/>
                    </a:prstGeom>
                  </pic:spPr>
                </pic:pic>
              </a:graphicData>
            </a:graphic>
          </wp:inline>
        </w:drawing>
      </w:r>
    </w:p>
    <w:p>
      <w:pPr>
        <w:pStyle w:val="11"/>
        <w:spacing w:before="0" w:beforeAutospacing="0" w:after="0" w:afterAutospacing="0"/>
        <w:ind w:firstLineChars="20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对于离校未就业的学生，在建立未就业毕业生台账的基础上，持续保持与学生的沟通，摸清毕业生的学历专业、求职意向、服务需求等信息，建立离校未就业学生帮扶档案。对有就业意愿的未就业毕业生，至少提供</w:t>
      </w:r>
      <w:r>
        <w:rPr>
          <w:rFonts w:asciiTheme="minorEastAsia" w:hAnsiTheme="minorEastAsia" w:eastAsiaTheme="minorEastAsia" w:cstheme="minorEastAsia"/>
          <w:sz w:val="24"/>
          <w:szCs w:val="24"/>
        </w:rPr>
        <w:t>三次谈心谈话，三个切实岗位推荐，三个就业信息推荐</w:t>
      </w:r>
      <w:r>
        <w:rPr>
          <w:rFonts w:hint="eastAsia" w:asciiTheme="minorEastAsia" w:hAnsiTheme="minorEastAsia" w:eastAsiaTheme="minorEastAsia" w:cstheme="minorEastAsia"/>
          <w:sz w:val="24"/>
          <w:szCs w:val="24"/>
        </w:rPr>
        <w:t>，</w:t>
      </w:r>
      <w:r>
        <w:rPr>
          <w:rFonts w:asciiTheme="minorEastAsia" w:hAnsiTheme="minorEastAsia" w:eastAsiaTheme="minorEastAsia" w:cstheme="minorEastAsia"/>
          <w:sz w:val="24"/>
          <w:szCs w:val="24"/>
        </w:rPr>
        <w:t>离校后持续进行就业指导和跟踪</w:t>
      </w:r>
      <w:r>
        <w:rPr>
          <w:rFonts w:hint="eastAsia" w:asciiTheme="minorEastAsia" w:hAnsiTheme="minorEastAsia" w:eastAsiaTheme="minorEastAsia" w:cstheme="minorEastAsia"/>
          <w:sz w:val="24"/>
          <w:szCs w:val="24"/>
        </w:rPr>
        <w:t>；对暂无就业意愿的，做好状态记录，及时跟进服务。</w:t>
      </w:r>
    </w:p>
    <w:p>
      <w:pPr>
        <w:pStyle w:val="11"/>
        <w:spacing w:before="0" w:beforeAutospacing="0" w:after="0" w:afterAutospacing="0"/>
        <w:ind w:firstLine="480" w:firstLineChars="200"/>
        <w:rPr>
          <w:rFonts w:hint="eastAsia" w:asciiTheme="minorEastAsia" w:hAnsiTheme="minorEastAsia" w:eastAsiaTheme="minorEastAsia" w:cstheme="minorEastAsia"/>
          <w:sz w:val="24"/>
          <w:szCs w:val="24"/>
        </w:rPr>
      </w:pPr>
      <w:r>
        <w:drawing>
          <wp:inline distT="0" distB="0" distL="0" distR="0">
            <wp:extent cx="4448175" cy="1896110"/>
            <wp:effectExtent l="0" t="0" r="9525" b="889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25"/>
                    <a:stretch>
                      <a:fillRect/>
                    </a:stretch>
                  </pic:blipFill>
                  <pic:spPr>
                    <a:xfrm>
                      <a:off x="0" y="0"/>
                      <a:ext cx="4448961" cy="1896473"/>
                    </a:xfrm>
                    <a:prstGeom prst="rect">
                      <a:avLst/>
                    </a:prstGeom>
                  </pic:spPr>
                </pic:pic>
              </a:graphicData>
            </a:graphic>
          </wp:inline>
        </w:drawing>
      </w:r>
    </w:p>
    <w:p>
      <w:pPr>
        <w:spacing w:line="360" w:lineRule="auto"/>
        <w:ind w:left="480"/>
        <w:jc w:val="left"/>
        <w:rPr>
          <w:rFonts w:asciiTheme="minorEastAsia" w:hAnsiTheme="minorEastAsia" w:eastAsiaTheme="minorEastAsia" w:cstheme="minorEastAsia"/>
          <w:sz w:val="24"/>
        </w:rPr>
      </w:pPr>
      <w:r>
        <w:rPr>
          <w:rFonts w:hint="eastAsia" w:asciiTheme="minorEastAsia" w:hAnsiTheme="minorEastAsia" w:eastAsiaTheme="minorEastAsia" w:cstheme="minorEastAsia"/>
          <w:sz w:val="24"/>
        </w:rPr>
        <w:t>【双困生帮扶案例】</w:t>
      </w:r>
    </w:p>
    <w:p>
      <w:pPr>
        <w:spacing w:line="360" w:lineRule="auto"/>
        <w:ind w:firstLine="480" w:firstLineChars="200"/>
        <w:jc w:val="left"/>
        <w:rPr>
          <w:rFonts w:asciiTheme="minorEastAsia" w:hAnsiTheme="minorEastAsia" w:eastAsiaTheme="minorEastAsia" w:cstheme="minorEastAsia"/>
          <w:sz w:val="24"/>
        </w:rPr>
      </w:pPr>
      <w:r>
        <w:rPr>
          <w:rFonts w:ascii="宋体" w:hAnsi="宋体" w:cs="宋体"/>
          <w:sz w:val="24"/>
        </w:rPr>
        <w:t>人工智能与大数据学院201</w:t>
      </w:r>
      <w:r>
        <w:rPr>
          <w:rFonts w:hint="eastAsia" w:ascii="宋体" w:hAnsi="宋体" w:cs="宋体"/>
          <w:sz w:val="24"/>
        </w:rPr>
        <w:t>8</w:t>
      </w:r>
      <w:r>
        <w:rPr>
          <w:rFonts w:ascii="宋体" w:hAnsi="宋体" w:cs="宋体"/>
          <w:sz w:val="24"/>
        </w:rPr>
        <w:t>级</w:t>
      </w:r>
      <w:r>
        <w:rPr>
          <w:rFonts w:hint="eastAsia" w:ascii="宋体" w:hAnsi="宋体" w:cs="宋体"/>
          <w:sz w:val="24"/>
        </w:rPr>
        <w:t>数学</w:t>
      </w:r>
      <w:r>
        <w:rPr>
          <w:rFonts w:ascii="宋体" w:hAnsi="宋体" w:cs="宋体"/>
          <w:sz w:val="24"/>
        </w:rPr>
        <w:t>与应用数学专业严玲玲同学，是一名建档立卡家庭学生。该同学是单亲家庭</w:t>
      </w:r>
      <w:r>
        <w:rPr>
          <w:rFonts w:hint="eastAsia" w:ascii="宋体" w:hAnsi="宋体" w:cs="宋体"/>
          <w:sz w:val="24"/>
        </w:rPr>
        <w:t>，</w:t>
      </w:r>
      <w:r>
        <w:rPr>
          <w:rFonts w:ascii="宋体" w:hAnsi="宋体" w:cs="宋体"/>
          <w:sz w:val="24"/>
        </w:rPr>
        <w:t>家庭经济非常困难，一直是学校资助对象，虽然可以为</w:t>
      </w:r>
      <w:r>
        <w:rPr>
          <w:rFonts w:hint="eastAsia" w:ascii="宋体" w:hAnsi="宋体" w:cs="宋体"/>
          <w:sz w:val="24"/>
        </w:rPr>
        <w:t>她</w:t>
      </w:r>
      <w:r>
        <w:rPr>
          <w:rFonts w:ascii="宋体" w:hAnsi="宋体" w:cs="宋体"/>
          <w:sz w:val="24"/>
        </w:rPr>
        <w:t>减轻一定的经济负担，但是在就业过程中还是始终比较自卑，希望自己能够考上教师编制</w:t>
      </w:r>
      <w:r>
        <w:rPr>
          <w:rFonts w:hint="eastAsia" w:ascii="宋体" w:hAnsi="宋体" w:cs="宋体"/>
          <w:sz w:val="24"/>
        </w:rPr>
        <w:t>，</w:t>
      </w:r>
      <w:r>
        <w:rPr>
          <w:rFonts w:ascii="宋体" w:hAnsi="宋体" w:cs="宋体"/>
          <w:sz w:val="24"/>
        </w:rPr>
        <w:t>找到一份稳定的工作</w:t>
      </w:r>
      <w:r>
        <w:rPr>
          <w:rFonts w:hint="eastAsia" w:ascii="宋体" w:hAnsi="宋体" w:cs="宋体"/>
          <w:sz w:val="24"/>
        </w:rPr>
        <w:t>，</w:t>
      </w:r>
      <w:r>
        <w:rPr>
          <w:rFonts w:ascii="宋体" w:hAnsi="宋体" w:cs="宋体"/>
          <w:sz w:val="24"/>
        </w:rPr>
        <w:t>减轻家庭的积极负担</w:t>
      </w:r>
      <w:r>
        <w:rPr>
          <w:rFonts w:hint="eastAsia" w:ascii="宋体" w:hAnsi="宋体" w:cs="宋体"/>
          <w:sz w:val="24"/>
        </w:rPr>
        <w:t>，</w:t>
      </w:r>
      <w:r>
        <w:rPr>
          <w:rFonts w:ascii="宋体" w:hAnsi="宋体" w:cs="宋体"/>
          <w:sz w:val="24"/>
        </w:rPr>
        <w:t>不让家人担忧</w:t>
      </w:r>
      <w:r>
        <w:rPr>
          <w:rFonts w:hint="eastAsia" w:ascii="宋体" w:hAnsi="宋体" w:cs="宋体"/>
          <w:sz w:val="24"/>
        </w:rPr>
        <w:t>。</w:t>
      </w:r>
      <w:r>
        <w:rPr>
          <w:rFonts w:ascii="宋体" w:hAnsi="宋体" w:cs="宋体"/>
          <w:sz w:val="24"/>
        </w:rPr>
        <w:t>但是又觉得自己成绩不够优秀</w:t>
      </w:r>
      <w:r>
        <w:rPr>
          <w:rFonts w:hint="eastAsia" w:ascii="宋体" w:hAnsi="宋体" w:cs="宋体"/>
          <w:sz w:val="24"/>
        </w:rPr>
        <w:t>，考上的希望渺茫，对就业求职缺乏信心。</w:t>
      </w:r>
      <w:r>
        <w:rPr>
          <w:rFonts w:ascii="宋体" w:hAnsi="宋体" w:cs="宋体"/>
          <w:sz w:val="24"/>
        </w:rPr>
        <w:t>辅导员知道了这个情况后，多次找</w:t>
      </w:r>
      <w:r>
        <w:rPr>
          <w:rFonts w:hint="eastAsia" w:ascii="宋体" w:hAnsi="宋体" w:cs="宋体"/>
          <w:sz w:val="24"/>
        </w:rPr>
        <w:t>她</w:t>
      </w:r>
      <w:r>
        <w:rPr>
          <w:rFonts w:ascii="宋体" w:hAnsi="宋体" w:cs="宋体"/>
          <w:sz w:val="24"/>
        </w:rPr>
        <w:t>谈心谈话，与</w:t>
      </w:r>
      <w:r>
        <w:rPr>
          <w:rFonts w:hint="eastAsia" w:ascii="宋体" w:hAnsi="宋体" w:cs="宋体"/>
          <w:sz w:val="24"/>
        </w:rPr>
        <w:t>她</w:t>
      </w:r>
      <w:r>
        <w:rPr>
          <w:rFonts w:ascii="宋体" w:hAnsi="宋体" w:cs="宋体"/>
          <w:sz w:val="24"/>
        </w:rPr>
        <w:t>交心，在了解了</w:t>
      </w:r>
      <w:r>
        <w:rPr>
          <w:rFonts w:hint="eastAsia" w:ascii="宋体" w:hAnsi="宋体" w:cs="宋体"/>
          <w:sz w:val="24"/>
        </w:rPr>
        <w:t>她</w:t>
      </w:r>
      <w:r>
        <w:rPr>
          <w:rFonts w:ascii="宋体" w:hAnsi="宋体" w:cs="宋体"/>
          <w:sz w:val="24"/>
        </w:rPr>
        <w:t>的成长历程和原生家庭经济条件之后，辅导员也为</w:t>
      </w:r>
      <w:r>
        <w:rPr>
          <w:rFonts w:hint="eastAsia" w:ascii="宋体" w:hAnsi="宋体" w:cs="宋体"/>
          <w:sz w:val="24"/>
        </w:rPr>
        <w:t>她</w:t>
      </w:r>
      <w:r>
        <w:rPr>
          <w:rFonts w:ascii="宋体" w:hAnsi="宋体" w:cs="宋体"/>
          <w:sz w:val="24"/>
        </w:rPr>
        <w:t>不屈不饶的奋斗精神感到钦佩。随后辅导员老师开始帮</w:t>
      </w:r>
      <w:r>
        <w:rPr>
          <w:rFonts w:hint="eastAsia" w:ascii="宋体" w:hAnsi="宋体" w:cs="宋体"/>
          <w:sz w:val="24"/>
        </w:rPr>
        <w:t>她</w:t>
      </w:r>
      <w:r>
        <w:rPr>
          <w:rFonts w:ascii="宋体" w:hAnsi="宋体" w:cs="宋体"/>
          <w:sz w:val="24"/>
        </w:rPr>
        <w:t>梳理大学四年的学习、获奖情况，帮</w:t>
      </w:r>
      <w:r>
        <w:rPr>
          <w:rFonts w:hint="eastAsia" w:ascii="宋体" w:hAnsi="宋体" w:cs="宋体"/>
          <w:sz w:val="24"/>
        </w:rPr>
        <w:t>她</w:t>
      </w:r>
      <w:r>
        <w:rPr>
          <w:rFonts w:ascii="宋体" w:hAnsi="宋体" w:cs="宋体"/>
          <w:sz w:val="24"/>
        </w:rPr>
        <w:t>修改简历，并结合</w:t>
      </w:r>
      <w:r>
        <w:rPr>
          <w:rFonts w:hint="eastAsia" w:ascii="宋体" w:hAnsi="宋体" w:cs="宋体"/>
          <w:sz w:val="24"/>
        </w:rPr>
        <w:t>她</w:t>
      </w:r>
      <w:r>
        <w:rPr>
          <w:rFonts w:ascii="宋体" w:hAnsi="宋体" w:cs="宋体"/>
          <w:sz w:val="24"/>
        </w:rPr>
        <w:t>的就业意向城市、意向岗位，有针对性的为他推荐若干个私立学校的招聘</w:t>
      </w:r>
      <w:r>
        <w:rPr>
          <w:rFonts w:hint="eastAsia" w:ascii="宋体" w:hAnsi="宋体" w:cs="宋体"/>
          <w:sz w:val="24"/>
        </w:rPr>
        <w:t>，</w:t>
      </w:r>
      <w:r>
        <w:rPr>
          <w:rFonts w:ascii="宋体" w:hAnsi="宋体" w:cs="宋体"/>
          <w:sz w:val="24"/>
        </w:rPr>
        <w:t>鼓励她一边复习备考教师编制</w:t>
      </w:r>
      <w:r>
        <w:rPr>
          <w:rFonts w:hint="eastAsia" w:ascii="宋体" w:hAnsi="宋体" w:cs="宋体"/>
          <w:sz w:val="24"/>
        </w:rPr>
        <w:t>，一边进行私立学校教师岗位的求职应聘，以便为自己找到一份保底工作，积累相关工作经验提升专业能力，也减轻复习备考的压力</w:t>
      </w:r>
      <w:r>
        <w:rPr>
          <w:rFonts w:ascii="宋体" w:hAnsi="宋体" w:cs="宋体"/>
          <w:sz w:val="24"/>
        </w:rPr>
        <w:t>。最终，经过</w:t>
      </w:r>
      <w:r>
        <w:rPr>
          <w:rFonts w:hint="eastAsia" w:ascii="宋体" w:hAnsi="宋体" w:cs="宋体"/>
          <w:sz w:val="24"/>
        </w:rPr>
        <w:t>她顺利的通过西部计划的选拔，成为一名光荣的西部计划志愿者</w:t>
      </w:r>
      <w:r>
        <w:rPr>
          <w:rFonts w:ascii="宋体" w:hAnsi="宋体" w:cs="宋体"/>
          <w:sz w:val="24"/>
        </w:rPr>
        <w:t>，成为</w:t>
      </w:r>
      <w:r>
        <w:rPr>
          <w:rFonts w:hint="eastAsia" w:ascii="宋体" w:hAnsi="宋体" w:cs="宋体"/>
          <w:sz w:val="24"/>
        </w:rPr>
        <w:t>新疆阿拉尔市一名高中数学老师</w:t>
      </w:r>
      <w:r>
        <w:rPr>
          <w:rFonts w:ascii="宋体" w:hAnsi="宋体" w:cs="宋体"/>
          <w:sz w:val="24"/>
        </w:rPr>
        <w:t>。</w:t>
      </w:r>
      <w:r>
        <w:rPr>
          <w:rFonts w:hint="eastAsia" w:ascii="宋体" w:hAnsi="宋体" w:cs="宋体"/>
          <w:sz w:val="24"/>
        </w:rPr>
        <w:t>她</w:t>
      </w:r>
      <w:r>
        <w:rPr>
          <w:rFonts w:ascii="宋体" w:hAnsi="宋体" w:cs="宋体"/>
          <w:sz w:val="24"/>
        </w:rPr>
        <w:t>的成功就业，一方面离不开自身的奋斗、努力，另一方面也离不开来自学校、老师持续的就业帮扶，最终</w:t>
      </w:r>
      <w:r>
        <w:rPr>
          <w:rFonts w:hint="eastAsia" w:ascii="宋体" w:hAnsi="宋体" w:cs="宋体"/>
          <w:sz w:val="24"/>
        </w:rPr>
        <w:t>她</w:t>
      </w:r>
      <w:r>
        <w:rPr>
          <w:rFonts w:ascii="宋体" w:hAnsi="宋体" w:cs="宋体"/>
          <w:sz w:val="24"/>
        </w:rPr>
        <w:t>实现了就业梦想，撑起了一个贫困家庭的美好未来！</w:t>
      </w:r>
    </w:p>
    <w:p>
      <w:pPr>
        <w:spacing w:line="360" w:lineRule="auto"/>
        <w:rPr>
          <w:rFonts w:asciiTheme="minorEastAsia" w:hAnsiTheme="minorEastAsia" w:eastAsiaTheme="minorEastAsia" w:cstheme="minorEastAsia"/>
          <w:b/>
          <w:bCs/>
          <w:sz w:val="24"/>
        </w:rPr>
      </w:pPr>
      <w:r>
        <w:rPr>
          <w:rFonts w:hint="eastAsia" w:asciiTheme="minorEastAsia" w:hAnsiTheme="minorEastAsia" w:eastAsiaTheme="minorEastAsia" w:cstheme="minorEastAsia"/>
          <w:b/>
          <w:bCs/>
          <w:sz w:val="24"/>
        </w:rPr>
        <w:t>六、人工智能与大数据学院毕业生跟踪调查情况</w:t>
      </w:r>
    </w:p>
    <w:p>
      <w:pPr>
        <w:spacing w:line="360" w:lineRule="auto"/>
        <w:ind w:firstLine="480" w:firstLineChars="200"/>
        <w:rPr>
          <w:rFonts w:asciiTheme="minorEastAsia" w:hAnsiTheme="minorEastAsia" w:eastAsiaTheme="minorEastAsia" w:cstheme="minorEastAsia"/>
          <w:sz w:val="24"/>
        </w:rPr>
      </w:pPr>
      <w:r>
        <w:rPr>
          <w:rFonts w:hint="eastAsia" w:asciiTheme="minorEastAsia" w:hAnsiTheme="minorEastAsia" w:eastAsiaTheme="minorEastAsia" w:cstheme="minorEastAsia"/>
          <w:sz w:val="24"/>
        </w:rPr>
        <w:t>为进一步了解社会对人才的需求，了解我校毕业生在单位就业后的工作情况，以便更有针对性地进行学校的教育教学改革进一步提高学校的教学质量，促进我校的教学改革、专业建设和毕业生就业工作，加强服务意识，提升服务质量。此次我们通过院就业指导中心微信问卷跟踪调查，进行了2022届毕业生的就业情况进行跟踪调查。</w:t>
      </w:r>
    </w:p>
    <w:p>
      <w:pPr>
        <w:spacing w:line="360" w:lineRule="auto"/>
        <w:ind w:firstLine="480" w:firstLineChars="200"/>
        <w:rPr>
          <w:rFonts w:asciiTheme="minorEastAsia" w:hAnsiTheme="minorEastAsia" w:eastAsiaTheme="minorEastAsia" w:cstheme="minorEastAsia"/>
          <w:sz w:val="24"/>
        </w:rPr>
      </w:pPr>
      <w:r>
        <w:rPr>
          <w:rFonts w:hint="eastAsia" w:asciiTheme="minorEastAsia" w:hAnsiTheme="minorEastAsia" w:eastAsiaTheme="minorEastAsia" w:cstheme="minorEastAsia"/>
          <w:sz w:val="24"/>
        </w:rPr>
        <w:t>在调查采访中，毕业生们讲述了他们的求职经历、就业情况以及他们在找工作时所积累的经验并提出了许多有价值的建议。另外，从调查中我们不难看出，院领导和老师们对毕业生的就业指导工作以及为毕业生提供的就业信息给了他们很大的帮助，得到了毕业生们一致地肯定和好评。</w:t>
      </w:r>
    </w:p>
    <w:p>
      <w:pPr>
        <w:spacing w:line="360" w:lineRule="auto"/>
        <w:ind w:firstLine="480" w:firstLineChars="200"/>
        <w:rPr>
          <w:rFonts w:asciiTheme="minorEastAsia" w:hAnsiTheme="minorEastAsia" w:eastAsiaTheme="minorEastAsia" w:cstheme="minorEastAsia"/>
          <w:sz w:val="24"/>
        </w:rPr>
      </w:pPr>
      <w:r>
        <w:rPr>
          <w:rFonts w:hint="eastAsia" w:asciiTheme="minorEastAsia" w:hAnsiTheme="minorEastAsia" w:eastAsiaTheme="minorEastAsia" w:cstheme="minorEastAsia"/>
          <w:sz w:val="24"/>
        </w:rPr>
        <w:t>整个调查表明，我院本科毕业生的就业就面以本专业为主，面积覆盖到各个行业。同时我们发现，各专业毕业生在择业过程中普遍重视的因素有由高到低的顺序排列如下：1、发展前景；2、利于施展个人的才干；3、经济收入和福利待遇；4、符合自己的兴趣爱好；5、工作单位的名誉；6、工作稳定；7、工作单位的地理位置；8、工作自由；9、工作单位的规模；10、工作单位的所有制性质；11、工作舒适且劳动强度低；12、能获得权利和社会资源；13、可兼顾亲友关系。</w:t>
      </w:r>
    </w:p>
    <w:p>
      <w:pPr>
        <w:spacing w:line="360" w:lineRule="auto"/>
        <w:ind w:firstLine="480" w:firstLineChars="200"/>
        <w:rPr>
          <w:rFonts w:asciiTheme="minorEastAsia" w:hAnsiTheme="minorEastAsia" w:eastAsiaTheme="minorEastAsia" w:cstheme="minorEastAsia"/>
          <w:sz w:val="24"/>
        </w:rPr>
      </w:pPr>
      <w:r>
        <w:rPr>
          <w:rFonts w:hint="eastAsia" w:asciiTheme="minorEastAsia" w:hAnsiTheme="minorEastAsia" w:eastAsiaTheme="minorEastAsia" w:cstheme="minorEastAsia"/>
          <w:sz w:val="24"/>
        </w:rPr>
        <w:t>这次毕业生就业跟踪调查中，毕业生也提出了建议，希望学弟学妹们在就业中要保持一颗平常心，不要把工作要求定的太高。现在有许多大学生毕业后工作不顺利，部分原因就是对自己的定位太高，“高不成，低不就”。现在计算机专业的人才越来越多，我们要客观评估自己的能力，发挥自己的特点，在实践中提高自己。计算机等级证书、英语四、六级证书及其他证书在毕业生求职过程中所体现出的重要性仍不可忽视，但自身素质以及实践能力仍是企业选人所考虑的首要问题。</w:t>
      </w:r>
    </w:p>
    <w:p>
      <w:pPr>
        <w:tabs>
          <w:tab w:val="left" w:pos="5940"/>
        </w:tabs>
        <w:spacing w:line="360" w:lineRule="auto"/>
        <w:ind w:firstLine="480" w:firstLineChars="200"/>
        <w:rPr>
          <w:rFonts w:asciiTheme="minorEastAsia" w:hAnsiTheme="minorEastAsia" w:eastAsiaTheme="minorEastAsia" w:cstheme="minorEastAsia"/>
          <w:sz w:val="24"/>
        </w:rPr>
      </w:pPr>
      <w:r>
        <w:rPr>
          <w:rFonts w:hint="eastAsia" w:asciiTheme="minorEastAsia" w:hAnsiTheme="minorEastAsia" w:eastAsiaTheme="minorEastAsia" w:cstheme="minorEastAsia"/>
          <w:sz w:val="24"/>
        </w:rPr>
        <w:t xml:space="preserve">在学习上，毕业生们也给他们的学弟学妹们提了很多建议：大学学习一定要明确了自己的学习方向与目标：在大学里，学习比较轻松自由，各种各样的活动很多，但不能因此而迷失了自己的方向，学习仍然是至关重要的，应该在老师的指导下，根据自身情况，充分地利用时间不断地充实自己，完善自己除了学习之外，大学里还有许多社会和组织，我们在不影响学习的前提下应该尽可能多地参加。这些活动可以培养我们的社交能力，适应能力以及良好的心理素质，这些对我们以后的就业都有一定的帮助；我院所开设的计算机专业课如微机原理、汇编语言、C语言、C++、JAVA语言、数据库原理及应用等在以后的学习和工作都很重要，能够很好地适应现行发展的需要，我们应该努力学好；除了学好专业课以外，还应该尽自己所能地多读一些与专业相关的书籍与报刊，扩大自己的知识面，更好地完善自己的知识系统。这样我们才能在以后的竞争中处于有利地位，更好地展现自我的才能； </w:t>
      </w:r>
    </w:p>
    <w:p>
      <w:pPr>
        <w:tabs>
          <w:tab w:val="left" w:pos="5940"/>
        </w:tabs>
        <w:spacing w:line="360" w:lineRule="auto"/>
        <w:ind w:firstLine="480" w:firstLineChars="200"/>
        <w:rPr>
          <w:rFonts w:asciiTheme="minorEastAsia" w:hAnsiTheme="minorEastAsia" w:eastAsiaTheme="minorEastAsia" w:cstheme="minorEastAsia"/>
          <w:sz w:val="24"/>
        </w:rPr>
      </w:pPr>
      <w:r>
        <w:rPr>
          <w:rFonts w:hint="eastAsia" w:asciiTheme="minorEastAsia" w:hAnsiTheme="minorEastAsia" w:eastAsiaTheme="minorEastAsia" w:cstheme="minorEastAsia"/>
          <w:sz w:val="24"/>
        </w:rPr>
        <w:t>对学院的教育教学和人才培养有何建议？</w:t>
      </w:r>
    </w:p>
    <w:p>
      <w:pPr>
        <w:tabs>
          <w:tab w:val="left" w:pos="5940"/>
        </w:tabs>
        <w:spacing w:line="360" w:lineRule="auto"/>
        <w:ind w:firstLine="480" w:firstLineChars="200"/>
        <w:rPr>
          <w:rFonts w:asciiTheme="minorEastAsia" w:hAnsiTheme="minorEastAsia" w:eastAsiaTheme="minorEastAsia" w:cstheme="minorEastAsia"/>
          <w:sz w:val="24"/>
        </w:rPr>
      </w:pPr>
      <w:r>
        <w:rPr>
          <w:rFonts w:hint="eastAsia" w:asciiTheme="minorEastAsia" w:hAnsiTheme="minorEastAsia" w:eastAsiaTheme="minorEastAsia" w:cstheme="minorEastAsia"/>
          <w:sz w:val="24"/>
        </w:rPr>
        <w:t>如，多组织学生到企业实习；多培养学生的专业技能，课外活动要多参加，同时学校要多提供学生在假期期间能够到相应专业的公司去实习来增加毕业后的实习经验，拓展学生的知识面；学生应以专业为主、辅修为辅的人才培养方案；希望人工智能与大数据学院可以多引进目前IT行业比较流行的技术；针对性教学，因材施教，允许转专业。希望大四尽量少安排课程，把课程在前三年上完，大四有充足的时间实习，这样可以增强就业竞争力。多培养学生的专业技能，课外活动要多参加，同时学校要多提供学生在假期期间能够到相应专业的公司去实习来增加毕业后的实习经验，拓展学生的知识面；对专业性比较强、技术性强的专业，多提供动手实践的机会；注重理论与实践的结合。多挤出时间联系企业让我们能去实习，增加实习经历，毕竟老师教的和企业需要的有时候会脱节；大学学的课程及时与企业需求保持一致。</w:t>
      </w:r>
    </w:p>
    <w:p>
      <w:pPr>
        <w:spacing w:line="360" w:lineRule="auto"/>
        <w:ind w:firstLine="480" w:firstLineChars="200"/>
        <w:rPr>
          <w:rFonts w:cs="宋体" w:asciiTheme="majorEastAsia" w:hAnsiTheme="majorEastAsia" w:eastAsiaTheme="majorEastAsia"/>
          <w:bCs/>
          <w:color w:val="000000"/>
          <w:kern w:val="0"/>
          <w:sz w:val="24"/>
        </w:rPr>
      </w:pPr>
      <w:r>
        <w:rPr>
          <w:rFonts w:hint="eastAsia" w:cs="宋体" w:asciiTheme="majorEastAsia" w:hAnsiTheme="majorEastAsia" w:eastAsiaTheme="majorEastAsia"/>
          <w:bCs/>
          <w:color w:val="000000"/>
          <w:kern w:val="0"/>
          <w:sz w:val="24"/>
        </w:rPr>
        <w:t>对学院就业工作有何意见、建议？</w:t>
      </w:r>
    </w:p>
    <w:p>
      <w:pPr>
        <w:tabs>
          <w:tab w:val="left" w:pos="5940"/>
        </w:tabs>
        <w:spacing w:line="360" w:lineRule="auto"/>
        <w:ind w:firstLine="480" w:firstLineChars="200"/>
        <w:rPr>
          <w:rFonts w:asciiTheme="minorEastAsia" w:hAnsiTheme="minorEastAsia" w:eastAsiaTheme="minorEastAsia" w:cstheme="minorEastAsia"/>
          <w:sz w:val="24"/>
        </w:rPr>
      </w:pPr>
      <w:r>
        <w:rPr>
          <w:rFonts w:hint="eastAsia" w:asciiTheme="minorEastAsia" w:hAnsiTheme="minorEastAsia" w:eastAsiaTheme="minorEastAsia" w:cstheme="minorEastAsia"/>
          <w:sz w:val="24"/>
        </w:rPr>
        <w:t>如，多找些企业与学校合作；加强就业指导的教育强度，多提供一些对口专业的公司来帮助同学就业；希望提供更多的就业机会；对毕业生的就业信息要进行核实，防止学生上当受骗；希望学校能把课程和实习时间协调好。多联系优质企业来校招聘；加强对企业资质的审核。加强就业指导的教育强度，多提供一些对口专业的公司来帮助同学就业；多组织一些专业性较强的招聘会；招聘的岗位尽量与学校的专业对口。</w:t>
      </w:r>
    </w:p>
    <w:p>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 w:val="left" w:pos="7714"/>
        </w:tabs>
        <w:spacing w:line="360" w:lineRule="auto"/>
        <w:jc w:val="left"/>
        <w:rPr>
          <w:rFonts w:ascii="宋体" w:hAnsi="宋体" w:cs="宋体"/>
          <w:color w:val="FF0000"/>
          <w:kern w:val="0"/>
          <w:sz w:val="24"/>
        </w:rPr>
      </w:pPr>
      <w:r>
        <w:rPr>
          <w:rFonts w:hint="eastAsia" w:asciiTheme="minorEastAsia" w:hAnsiTheme="minorEastAsia" w:eastAsiaTheme="minorEastAsia" w:cstheme="minorEastAsia"/>
          <w:b/>
          <w:sz w:val="24"/>
        </w:rPr>
        <w:t>七、人工智能与大数据学院各专业毕业生当年基层就业情况</w:t>
      </w:r>
    </w:p>
    <w:p>
      <w:pPr>
        <w:spacing w:line="360" w:lineRule="auto"/>
        <w:ind w:firstLine="480" w:firstLineChars="200"/>
        <w:rPr>
          <w:rFonts w:asciiTheme="minorEastAsia" w:hAnsiTheme="minorEastAsia" w:eastAsiaTheme="minorEastAsia" w:cstheme="minorEastAsia"/>
          <w:color w:val="000000" w:themeColor="text1"/>
          <w:sz w:val="24"/>
          <w14:textFill>
            <w14:solidFill>
              <w14:schemeClr w14:val="tx1"/>
            </w14:solidFill>
          </w14:textFill>
        </w:rPr>
      </w:pPr>
      <w:r>
        <w:rPr>
          <w:rFonts w:hint="eastAsia" w:asciiTheme="minorEastAsia" w:hAnsiTheme="minorEastAsia" w:eastAsiaTheme="minorEastAsia" w:cstheme="minorEastAsia"/>
          <w:color w:val="000000" w:themeColor="text1"/>
          <w:sz w:val="24"/>
          <w14:textFill>
            <w14:solidFill>
              <w14:schemeClr w14:val="tx1"/>
            </w14:solidFill>
          </w14:textFill>
        </w:rPr>
        <w:t>今年我院2位毕业生荣幸成为国家基层项目人员</w:t>
      </w:r>
    </w:p>
    <w:tbl>
      <w:tblPr>
        <w:tblStyle w:val="13"/>
        <w:tblW w:w="8662" w:type="dxa"/>
        <w:tblInd w:w="93" w:type="dxa"/>
        <w:tblLayout w:type="autofit"/>
        <w:tblCellMar>
          <w:top w:w="0" w:type="dxa"/>
          <w:left w:w="108" w:type="dxa"/>
          <w:bottom w:w="0" w:type="dxa"/>
          <w:right w:w="108" w:type="dxa"/>
        </w:tblCellMar>
      </w:tblPr>
      <w:tblGrid>
        <w:gridCol w:w="2425"/>
        <w:gridCol w:w="1276"/>
        <w:gridCol w:w="2551"/>
        <w:gridCol w:w="2410"/>
      </w:tblGrid>
      <w:tr>
        <w:tblPrEx>
          <w:tblCellMar>
            <w:top w:w="0" w:type="dxa"/>
            <w:left w:w="108" w:type="dxa"/>
            <w:bottom w:w="0" w:type="dxa"/>
            <w:right w:w="108" w:type="dxa"/>
          </w:tblCellMar>
        </w:tblPrEx>
        <w:trPr>
          <w:trHeight w:val="495" w:hRule="atLeast"/>
        </w:trPr>
        <w:tc>
          <w:tcPr>
            <w:tcW w:w="8662" w:type="dxa"/>
            <w:gridSpan w:val="4"/>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宋体" w:hAnsi="宋体" w:cs="Arial"/>
                <w:b/>
                <w:bCs/>
                <w:kern w:val="0"/>
                <w:sz w:val="20"/>
                <w:szCs w:val="20"/>
              </w:rPr>
            </w:pPr>
            <w:r>
              <w:rPr>
                <w:rFonts w:hint="eastAsia" w:ascii="宋体" w:hAnsi="宋体" w:cs="Arial"/>
                <w:b/>
                <w:bCs/>
                <w:kern w:val="0"/>
                <w:sz w:val="20"/>
                <w:szCs w:val="20"/>
              </w:rPr>
              <w:t>人工智能与大数据学院2022年国家基层项目人员一览表</w:t>
            </w:r>
          </w:p>
        </w:tc>
      </w:tr>
      <w:tr>
        <w:tblPrEx>
          <w:tblCellMar>
            <w:top w:w="0" w:type="dxa"/>
            <w:left w:w="108" w:type="dxa"/>
            <w:bottom w:w="0" w:type="dxa"/>
            <w:right w:w="108" w:type="dxa"/>
          </w:tblCellMar>
        </w:tblPrEx>
        <w:trPr>
          <w:trHeight w:val="255" w:hRule="atLeast"/>
        </w:trPr>
        <w:tc>
          <w:tcPr>
            <w:tcW w:w="2425"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Arial" w:hAnsi="Arial" w:cs="Arial"/>
                <w:b/>
                <w:bCs/>
                <w:kern w:val="0"/>
                <w:sz w:val="20"/>
                <w:szCs w:val="20"/>
              </w:rPr>
            </w:pPr>
            <w:r>
              <w:rPr>
                <w:rFonts w:ascii="Arial" w:hAnsi="Arial" w:cs="Arial"/>
                <w:b/>
                <w:bCs/>
                <w:kern w:val="0"/>
                <w:sz w:val="20"/>
                <w:szCs w:val="20"/>
              </w:rPr>
              <w:t>班级名称</w:t>
            </w:r>
          </w:p>
        </w:tc>
        <w:tc>
          <w:tcPr>
            <w:tcW w:w="1276" w:type="dxa"/>
            <w:tcBorders>
              <w:top w:val="nil"/>
              <w:left w:val="nil"/>
              <w:bottom w:val="single" w:color="auto" w:sz="4" w:space="0"/>
              <w:right w:val="single" w:color="auto" w:sz="4" w:space="0"/>
            </w:tcBorders>
            <w:shd w:val="clear" w:color="auto" w:fill="auto"/>
            <w:noWrap/>
            <w:vAlign w:val="center"/>
          </w:tcPr>
          <w:p>
            <w:pPr>
              <w:widowControl/>
              <w:jc w:val="center"/>
              <w:rPr>
                <w:rFonts w:ascii="Arial" w:hAnsi="Arial" w:cs="Arial"/>
                <w:b/>
                <w:bCs/>
                <w:kern w:val="0"/>
                <w:sz w:val="20"/>
                <w:szCs w:val="20"/>
              </w:rPr>
            </w:pPr>
            <w:r>
              <w:rPr>
                <w:rFonts w:ascii="Arial" w:hAnsi="Arial" w:cs="Arial"/>
                <w:b/>
                <w:bCs/>
                <w:kern w:val="0"/>
                <w:sz w:val="20"/>
                <w:szCs w:val="20"/>
              </w:rPr>
              <w:t>姓名</w:t>
            </w:r>
          </w:p>
        </w:tc>
        <w:tc>
          <w:tcPr>
            <w:tcW w:w="2551" w:type="dxa"/>
            <w:tcBorders>
              <w:top w:val="nil"/>
              <w:left w:val="nil"/>
              <w:bottom w:val="single" w:color="auto" w:sz="4" w:space="0"/>
              <w:right w:val="single" w:color="auto" w:sz="4" w:space="0"/>
            </w:tcBorders>
            <w:shd w:val="clear" w:color="auto" w:fill="auto"/>
            <w:noWrap/>
            <w:vAlign w:val="center"/>
          </w:tcPr>
          <w:p>
            <w:pPr>
              <w:widowControl/>
              <w:jc w:val="center"/>
              <w:rPr>
                <w:rFonts w:ascii="Arial" w:hAnsi="Arial" w:cs="Arial"/>
                <w:b/>
                <w:bCs/>
                <w:kern w:val="0"/>
                <w:sz w:val="20"/>
                <w:szCs w:val="20"/>
              </w:rPr>
            </w:pPr>
            <w:r>
              <w:rPr>
                <w:rFonts w:ascii="Arial" w:hAnsi="Arial" w:cs="Arial"/>
                <w:b/>
                <w:bCs/>
                <w:kern w:val="0"/>
                <w:sz w:val="20"/>
                <w:szCs w:val="20"/>
              </w:rPr>
              <w:t>单位名称</w:t>
            </w:r>
          </w:p>
        </w:tc>
        <w:tc>
          <w:tcPr>
            <w:tcW w:w="2410" w:type="dxa"/>
            <w:tcBorders>
              <w:top w:val="nil"/>
              <w:left w:val="nil"/>
              <w:bottom w:val="single" w:color="auto" w:sz="4" w:space="0"/>
              <w:right w:val="single" w:color="auto" w:sz="4" w:space="0"/>
            </w:tcBorders>
            <w:shd w:val="clear" w:color="auto" w:fill="auto"/>
            <w:noWrap/>
            <w:vAlign w:val="center"/>
          </w:tcPr>
          <w:p>
            <w:pPr>
              <w:widowControl/>
              <w:jc w:val="center"/>
              <w:rPr>
                <w:rFonts w:ascii="Arial" w:hAnsi="Arial" w:cs="Arial"/>
                <w:b/>
                <w:bCs/>
                <w:kern w:val="0"/>
                <w:sz w:val="20"/>
                <w:szCs w:val="20"/>
              </w:rPr>
            </w:pPr>
            <w:r>
              <w:rPr>
                <w:rFonts w:ascii="Arial" w:hAnsi="Arial" w:cs="Arial"/>
                <w:b/>
                <w:bCs/>
                <w:kern w:val="0"/>
                <w:sz w:val="20"/>
                <w:szCs w:val="20"/>
              </w:rPr>
              <w:t>单位所在地</w:t>
            </w:r>
          </w:p>
        </w:tc>
      </w:tr>
      <w:tr>
        <w:tblPrEx>
          <w:tblCellMar>
            <w:top w:w="0" w:type="dxa"/>
            <w:left w:w="108" w:type="dxa"/>
            <w:bottom w:w="0" w:type="dxa"/>
            <w:right w:w="108" w:type="dxa"/>
          </w:tblCellMar>
        </w:tblPrEx>
        <w:trPr>
          <w:trHeight w:val="255" w:hRule="atLeast"/>
        </w:trPr>
        <w:tc>
          <w:tcPr>
            <w:tcW w:w="2425"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Arial" w:hAnsi="Arial" w:cs="Arial"/>
                <w:kern w:val="0"/>
                <w:sz w:val="20"/>
                <w:szCs w:val="20"/>
              </w:rPr>
            </w:pPr>
            <w:r>
              <w:rPr>
                <w:rFonts w:ascii="Arial" w:hAnsi="Arial" w:cs="Arial"/>
                <w:kern w:val="0"/>
                <w:sz w:val="20"/>
                <w:szCs w:val="20"/>
              </w:rPr>
              <w:t>18数学与应用数学(1)</w:t>
            </w:r>
          </w:p>
        </w:tc>
        <w:tc>
          <w:tcPr>
            <w:tcW w:w="1276" w:type="dxa"/>
            <w:tcBorders>
              <w:top w:val="nil"/>
              <w:left w:val="nil"/>
              <w:bottom w:val="single" w:color="auto" w:sz="4" w:space="0"/>
              <w:right w:val="single" w:color="auto" w:sz="4" w:space="0"/>
            </w:tcBorders>
            <w:shd w:val="clear" w:color="auto" w:fill="auto"/>
            <w:noWrap/>
            <w:vAlign w:val="center"/>
          </w:tcPr>
          <w:p>
            <w:pPr>
              <w:widowControl/>
              <w:jc w:val="center"/>
              <w:rPr>
                <w:rFonts w:ascii="Arial" w:hAnsi="Arial" w:cs="Arial"/>
                <w:kern w:val="0"/>
                <w:sz w:val="20"/>
                <w:szCs w:val="20"/>
              </w:rPr>
            </w:pPr>
            <w:r>
              <w:rPr>
                <w:rFonts w:ascii="Arial" w:hAnsi="Arial" w:cs="Arial"/>
                <w:kern w:val="0"/>
                <w:sz w:val="20"/>
                <w:szCs w:val="20"/>
              </w:rPr>
              <w:t>贺灵</w:t>
            </w:r>
          </w:p>
        </w:tc>
        <w:tc>
          <w:tcPr>
            <w:tcW w:w="2551" w:type="dxa"/>
            <w:tcBorders>
              <w:top w:val="nil"/>
              <w:left w:val="nil"/>
              <w:bottom w:val="single" w:color="auto" w:sz="4" w:space="0"/>
              <w:right w:val="single" w:color="auto" w:sz="4" w:space="0"/>
            </w:tcBorders>
            <w:shd w:val="clear" w:color="auto" w:fill="auto"/>
            <w:noWrap/>
            <w:vAlign w:val="center"/>
          </w:tcPr>
          <w:p>
            <w:pPr>
              <w:widowControl/>
              <w:jc w:val="center"/>
              <w:rPr>
                <w:rFonts w:ascii="Arial" w:hAnsi="Arial" w:cs="Arial"/>
                <w:kern w:val="0"/>
                <w:sz w:val="20"/>
                <w:szCs w:val="20"/>
              </w:rPr>
            </w:pPr>
            <w:r>
              <w:rPr>
                <w:rFonts w:ascii="Arial" w:hAnsi="Arial" w:cs="Arial"/>
                <w:kern w:val="0"/>
                <w:sz w:val="20"/>
                <w:szCs w:val="20"/>
              </w:rPr>
              <w:t>西部计划中央基层项目</w:t>
            </w:r>
          </w:p>
        </w:tc>
        <w:tc>
          <w:tcPr>
            <w:tcW w:w="2410" w:type="dxa"/>
            <w:tcBorders>
              <w:top w:val="nil"/>
              <w:left w:val="nil"/>
              <w:bottom w:val="single" w:color="auto" w:sz="4" w:space="0"/>
              <w:right w:val="single" w:color="auto" w:sz="4" w:space="0"/>
            </w:tcBorders>
            <w:shd w:val="clear" w:color="auto" w:fill="auto"/>
            <w:noWrap/>
            <w:vAlign w:val="center"/>
          </w:tcPr>
          <w:p>
            <w:pPr>
              <w:widowControl/>
              <w:jc w:val="center"/>
              <w:rPr>
                <w:rFonts w:ascii="Arial" w:hAnsi="Arial" w:cs="Arial"/>
                <w:kern w:val="0"/>
                <w:sz w:val="20"/>
                <w:szCs w:val="20"/>
              </w:rPr>
            </w:pPr>
            <w:r>
              <w:rPr>
                <w:rFonts w:ascii="Arial" w:hAnsi="Arial" w:cs="Arial"/>
                <w:kern w:val="0"/>
                <w:sz w:val="20"/>
                <w:szCs w:val="20"/>
              </w:rPr>
              <w:t>四川省广元市利州区</w:t>
            </w:r>
          </w:p>
        </w:tc>
      </w:tr>
      <w:tr>
        <w:tblPrEx>
          <w:tblCellMar>
            <w:top w:w="0" w:type="dxa"/>
            <w:left w:w="108" w:type="dxa"/>
            <w:bottom w:w="0" w:type="dxa"/>
            <w:right w:w="108" w:type="dxa"/>
          </w:tblCellMar>
        </w:tblPrEx>
        <w:trPr>
          <w:trHeight w:val="255" w:hRule="atLeast"/>
        </w:trPr>
        <w:tc>
          <w:tcPr>
            <w:tcW w:w="2425"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Arial" w:hAnsi="Arial" w:cs="Arial"/>
                <w:kern w:val="0"/>
                <w:sz w:val="20"/>
                <w:szCs w:val="20"/>
              </w:rPr>
            </w:pPr>
            <w:r>
              <w:rPr>
                <w:rFonts w:ascii="Arial" w:hAnsi="Arial" w:cs="Arial"/>
                <w:kern w:val="0"/>
                <w:sz w:val="20"/>
                <w:szCs w:val="20"/>
              </w:rPr>
              <w:t>18数学与应用数学(1)</w:t>
            </w:r>
          </w:p>
        </w:tc>
        <w:tc>
          <w:tcPr>
            <w:tcW w:w="1276" w:type="dxa"/>
            <w:tcBorders>
              <w:top w:val="nil"/>
              <w:left w:val="nil"/>
              <w:bottom w:val="single" w:color="auto" w:sz="4" w:space="0"/>
              <w:right w:val="single" w:color="auto" w:sz="4" w:space="0"/>
            </w:tcBorders>
            <w:shd w:val="clear" w:color="auto" w:fill="auto"/>
            <w:noWrap/>
            <w:vAlign w:val="center"/>
          </w:tcPr>
          <w:p>
            <w:pPr>
              <w:widowControl/>
              <w:jc w:val="center"/>
              <w:rPr>
                <w:rFonts w:ascii="Arial" w:hAnsi="Arial" w:cs="Arial"/>
                <w:kern w:val="0"/>
                <w:sz w:val="20"/>
                <w:szCs w:val="20"/>
              </w:rPr>
            </w:pPr>
            <w:r>
              <w:rPr>
                <w:rFonts w:ascii="Arial" w:hAnsi="Arial" w:cs="Arial"/>
                <w:kern w:val="0"/>
                <w:sz w:val="20"/>
                <w:szCs w:val="20"/>
              </w:rPr>
              <w:t>严玲玲</w:t>
            </w:r>
          </w:p>
        </w:tc>
        <w:tc>
          <w:tcPr>
            <w:tcW w:w="2551" w:type="dxa"/>
            <w:tcBorders>
              <w:top w:val="nil"/>
              <w:left w:val="nil"/>
              <w:bottom w:val="single" w:color="auto" w:sz="4" w:space="0"/>
              <w:right w:val="single" w:color="auto" w:sz="4" w:space="0"/>
            </w:tcBorders>
            <w:shd w:val="clear" w:color="auto" w:fill="auto"/>
            <w:noWrap/>
            <w:vAlign w:val="center"/>
          </w:tcPr>
          <w:p>
            <w:pPr>
              <w:widowControl/>
              <w:jc w:val="center"/>
              <w:rPr>
                <w:rFonts w:ascii="Arial" w:hAnsi="Arial" w:cs="Arial"/>
                <w:kern w:val="0"/>
                <w:sz w:val="20"/>
                <w:szCs w:val="20"/>
              </w:rPr>
            </w:pPr>
            <w:r>
              <w:rPr>
                <w:rFonts w:ascii="Arial" w:hAnsi="Arial" w:cs="Arial"/>
                <w:kern w:val="0"/>
                <w:sz w:val="20"/>
                <w:szCs w:val="20"/>
              </w:rPr>
              <w:t>西部计划中央基层项目</w:t>
            </w:r>
          </w:p>
        </w:tc>
        <w:tc>
          <w:tcPr>
            <w:tcW w:w="2410" w:type="dxa"/>
            <w:tcBorders>
              <w:top w:val="nil"/>
              <w:left w:val="nil"/>
              <w:bottom w:val="single" w:color="auto" w:sz="4" w:space="0"/>
              <w:right w:val="single" w:color="auto" w:sz="4" w:space="0"/>
            </w:tcBorders>
            <w:shd w:val="clear" w:color="auto" w:fill="auto"/>
            <w:noWrap/>
            <w:vAlign w:val="center"/>
          </w:tcPr>
          <w:p>
            <w:pPr>
              <w:widowControl/>
              <w:jc w:val="center"/>
              <w:rPr>
                <w:rFonts w:ascii="Arial" w:hAnsi="Arial" w:cs="Arial"/>
                <w:kern w:val="0"/>
                <w:sz w:val="20"/>
                <w:szCs w:val="20"/>
              </w:rPr>
            </w:pPr>
            <w:r>
              <w:rPr>
                <w:rFonts w:ascii="Arial" w:hAnsi="Arial" w:cs="Arial"/>
                <w:kern w:val="0"/>
                <w:sz w:val="20"/>
                <w:szCs w:val="20"/>
              </w:rPr>
              <w:t>新疆阿拉尔市</w:t>
            </w:r>
          </w:p>
        </w:tc>
      </w:tr>
      <w:tr>
        <w:tblPrEx>
          <w:tblCellMar>
            <w:top w:w="0" w:type="dxa"/>
            <w:left w:w="108" w:type="dxa"/>
            <w:bottom w:w="0" w:type="dxa"/>
            <w:right w:w="108" w:type="dxa"/>
          </w:tblCellMar>
        </w:tblPrEx>
        <w:trPr>
          <w:trHeight w:val="255" w:hRule="atLeast"/>
        </w:trPr>
        <w:tc>
          <w:tcPr>
            <w:tcW w:w="2425"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Arial" w:hAnsi="Arial" w:cs="Arial"/>
                <w:kern w:val="0"/>
                <w:sz w:val="20"/>
                <w:szCs w:val="20"/>
              </w:rPr>
            </w:pPr>
            <w:r>
              <w:rPr>
                <w:rFonts w:ascii="Arial" w:hAnsi="Arial" w:cs="Arial"/>
                <w:kern w:val="0"/>
                <w:sz w:val="20"/>
                <w:szCs w:val="20"/>
              </w:rPr>
              <w:t>18数学与应用数学(2)</w:t>
            </w:r>
          </w:p>
        </w:tc>
        <w:tc>
          <w:tcPr>
            <w:tcW w:w="1276" w:type="dxa"/>
            <w:tcBorders>
              <w:top w:val="nil"/>
              <w:left w:val="nil"/>
              <w:bottom w:val="single" w:color="auto" w:sz="4" w:space="0"/>
              <w:right w:val="single" w:color="auto" w:sz="4" w:space="0"/>
            </w:tcBorders>
            <w:shd w:val="clear" w:color="auto" w:fill="auto"/>
            <w:noWrap/>
            <w:vAlign w:val="center"/>
          </w:tcPr>
          <w:p>
            <w:pPr>
              <w:widowControl/>
              <w:jc w:val="center"/>
              <w:rPr>
                <w:rFonts w:ascii="Arial" w:hAnsi="Arial" w:cs="Arial"/>
                <w:kern w:val="0"/>
                <w:sz w:val="20"/>
                <w:szCs w:val="20"/>
              </w:rPr>
            </w:pPr>
            <w:r>
              <w:rPr>
                <w:rFonts w:ascii="Arial" w:hAnsi="Arial" w:cs="Arial"/>
                <w:kern w:val="0"/>
                <w:sz w:val="20"/>
                <w:szCs w:val="20"/>
              </w:rPr>
              <w:t>叱干文强</w:t>
            </w:r>
          </w:p>
        </w:tc>
        <w:tc>
          <w:tcPr>
            <w:tcW w:w="2551" w:type="dxa"/>
            <w:tcBorders>
              <w:top w:val="nil"/>
              <w:left w:val="nil"/>
              <w:bottom w:val="single" w:color="auto" w:sz="4" w:space="0"/>
              <w:right w:val="single" w:color="auto" w:sz="4" w:space="0"/>
            </w:tcBorders>
            <w:shd w:val="clear" w:color="auto" w:fill="auto"/>
            <w:noWrap/>
            <w:vAlign w:val="center"/>
          </w:tcPr>
          <w:p>
            <w:pPr>
              <w:widowControl/>
              <w:jc w:val="center"/>
              <w:rPr>
                <w:rFonts w:ascii="Arial" w:hAnsi="Arial" w:cs="Arial"/>
                <w:kern w:val="0"/>
                <w:sz w:val="20"/>
                <w:szCs w:val="20"/>
              </w:rPr>
            </w:pPr>
            <w:r>
              <w:rPr>
                <w:rFonts w:ascii="Arial" w:hAnsi="Arial" w:cs="Arial"/>
                <w:kern w:val="0"/>
                <w:sz w:val="20"/>
                <w:szCs w:val="20"/>
              </w:rPr>
              <w:t>西部计划中央基层项目</w:t>
            </w:r>
          </w:p>
        </w:tc>
        <w:tc>
          <w:tcPr>
            <w:tcW w:w="2410" w:type="dxa"/>
            <w:tcBorders>
              <w:top w:val="nil"/>
              <w:left w:val="nil"/>
              <w:bottom w:val="single" w:color="auto" w:sz="4" w:space="0"/>
              <w:right w:val="single" w:color="auto" w:sz="4" w:space="0"/>
            </w:tcBorders>
            <w:shd w:val="clear" w:color="auto" w:fill="auto"/>
            <w:noWrap/>
            <w:vAlign w:val="center"/>
          </w:tcPr>
          <w:p>
            <w:pPr>
              <w:widowControl/>
              <w:jc w:val="center"/>
              <w:rPr>
                <w:rFonts w:ascii="Arial" w:hAnsi="Arial" w:cs="Arial"/>
                <w:kern w:val="0"/>
                <w:sz w:val="20"/>
                <w:szCs w:val="20"/>
              </w:rPr>
            </w:pPr>
            <w:r>
              <w:rPr>
                <w:rFonts w:ascii="Arial" w:hAnsi="Arial" w:cs="Arial"/>
                <w:kern w:val="0"/>
                <w:sz w:val="20"/>
                <w:szCs w:val="20"/>
              </w:rPr>
              <w:t>新疆洛浦县</w:t>
            </w:r>
          </w:p>
        </w:tc>
      </w:tr>
      <w:tr>
        <w:tblPrEx>
          <w:tblCellMar>
            <w:top w:w="0" w:type="dxa"/>
            <w:left w:w="108" w:type="dxa"/>
            <w:bottom w:w="0" w:type="dxa"/>
            <w:right w:w="108" w:type="dxa"/>
          </w:tblCellMar>
        </w:tblPrEx>
        <w:trPr>
          <w:trHeight w:val="255" w:hRule="atLeast"/>
        </w:trPr>
        <w:tc>
          <w:tcPr>
            <w:tcW w:w="2425"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Arial" w:hAnsi="Arial" w:cs="Arial"/>
                <w:kern w:val="0"/>
                <w:sz w:val="20"/>
                <w:szCs w:val="20"/>
              </w:rPr>
            </w:pPr>
            <w:r>
              <w:rPr>
                <w:rFonts w:ascii="Arial" w:hAnsi="Arial" w:cs="Arial"/>
                <w:kern w:val="0"/>
                <w:sz w:val="20"/>
                <w:szCs w:val="20"/>
              </w:rPr>
              <w:t>18信管(对口1)</w:t>
            </w:r>
          </w:p>
        </w:tc>
        <w:tc>
          <w:tcPr>
            <w:tcW w:w="1276" w:type="dxa"/>
            <w:tcBorders>
              <w:top w:val="nil"/>
              <w:left w:val="nil"/>
              <w:bottom w:val="single" w:color="auto" w:sz="4" w:space="0"/>
              <w:right w:val="single" w:color="auto" w:sz="4" w:space="0"/>
            </w:tcBorders>
            <w:shd w:val="clear" w:color="auto" w:fill="auto"/>
            <w:noWrap/>
            <w:vAlign w:val="center"/>
          </w:tcPr>
          <w:p>
            <w:pPr>
              <w:widowControl/>
              <w:jc w:val="center"/>
              <w:rPr>
                <w:rFonts w:ascii="Arial" w:hAnsi="Arial" w:cs="Arial"/>
                <w:kern w:val="0"/>
                <w:sz w:val="20"/>
                <w:szCs w:val="20"/>
              </w:rPr>
            </w:pPr>
            <w:r>
              <w:rPr>
                <w:rFonts w:ascii="Arial" w:hAnsi="Arial" w:cs="Arial"/>
                <w:kern w:val="0"/>
                <w:sz w:val="20"/>
                <w:szCs w:val="20"/>
              </w:rPr>
              <w:t>李晶晶</w:t>
            </w:r>
          </w:p>
        </w:tc>
        <w:tc>
          <w:tcPr>
            <w:tcW w:w="2551" w:type="dxa"/>
            <w:tcBorders>
              <w:top w:val="nil"/>
              <w:left w:val="nil"/>
              <w:bottom w:val="single" w:color="auto" w:sz="4" w:space="0"/>
              <w:right w:val="single" w:color="auto" w:sz="4" w:space="0"/>
            </w:tcBorders>
            <w:shd w:val="clear" w:color="auto" w:fill="auto"/>
            <w:noWrap/>
            <w:vAlign w:val="center"/>
          </w:tcPr>
          <w:p>
            <w:pPr>
              <w:widowControl/>
              <w:jc w:val="center"/>
              <w:rPr>
                <w:rFonts w:ascii="Arial" w:hAnsi="Arial" w:cs="Arial"/>
                <w:kern w:val="0"/>
                <w:sz w:val="20"/>
                <w:szCs w:val="20"/>
              </w:rPr>
            </w:pPr>
            <w:r>
              <w:rPr>
                <w:rFonts w:ascii="Arial" w:hAnsi="Arial" w:cs="Arial"/>
                <w:kern w:val="0"/>
                <w:sz w:val="20"/>
                <w:szCs w:val="20"/>
              </w:rPr>
              <w:t>西部计划中央基层项目</w:t>
            </w:r>
          </w:p>
        </w:tc>
        <w:tc>
          <w:tcPr>
            <w:tcW w:w="2410" w:type="dxa"/>
            <w:tcBorders>
              <w:top w:val="nil"/>
              <w:left w:val="nil"/>
              <w:bottom w:val="single" w:color="auto" w:sz="4" w:space="0"/>
              <w:right w:val="single" w:color="auto" w:sz="4" w:space="0"/>
            </w:tcBorders>
            <w:shd w:val="clear" w:color="auto" w:fill="auto"/>
            <w:noWrap/>
            <w:vAlign w:val="center"/>
          </w:tcPr>
          <w:p>
            <w:pPr>
              <w:widowControl/>
              <w:jc w:val="center"/>
              <w:rPr>
                <w:rFonts w:ascii="Arial" w:hAnsi="Arial" w:cs="Arial"/>
                <w:kern w:val="0"/>
                <w:sz w:val="20"/>
                <w:szCs w:val="20"/>
              </w:rPr>
            </w:pPr>
            <w:r>
              <w:rPr>
                <w:rFonts w:ascii="Arial" w:hAnsi="Arial" w:cs="Arial"/>
                <w:kern w:val="0"/>
                <w:sz w:val="20"/>
                <w:szCs w:val="20"/>
              </w:rPr>
              <w:t>新疆皮山县</w:t>
            </w:r>
          </w:p>
        </w:tc>
      </w:tr>
    </w:tbl>
    <w:p>
      <w:pPr>
        <w:spacing w:line="360" w:lineRule="auto"/>
        <w:ind w:firstLine="480" w:firstLineChars="200"/>
        <w:rPr>
          <w:rFonts w:asciiTheme="minorEastAsia" w:hAnsiTheme="minorEastAsia" w:eastAsiaTheme="minorEastAsia" w:cstheme="minorEastAsia"/>
          <w:color w:val="000000" w:themeColor="text1"/>
          <w:sz w:val="24"/>
          <w14:textFill>
            <w14:solidFill>
              <w14:schemeClr w14:val="tx1"/>
            </w14:solidFill>
          </w14:textFill>
        </w:rPr>
      </w:pPr>
      <w:r>
        <w:rPr>
          <w:rFonts w:hint="eastAsia" w:asciiTheme="minorEastAsia" w:hAnsiTheme="minorEastAsia" w:eastAsiaTheme="minorEastAsia" w:cstheme="minorEastAsia"/>
          <w:color w:val="000000" w:themeColor="text1"/>
          <w:sz w:val="24"/>
          <w14:textFill>
            <w14:solidFill>
              <w14:schemeClr w14:val="tx1"/>
            </w14:solidFill>
          </w14:textFill>
        </w:rPr>
        <w:t>今年我院有8位毕业生荣幸成为地方基层项目人员</w:t>
      </w:r>
    </w:p>
    <w:tbl>
      <w:tblPr>
        <w:tblStyle w:val="13"/>
        <w:tblW w:w="9087" w:type="dxa"/>
        <w:tblInd w:w="93" w:type="dxa"/>
        <w:tblLayout w:type="autofit"/>
        <w:tblCellMar>
          <w:top w:w="0" w:type="dxa"/>
          <w:left w:w="108" w:type="dxa"/>
          <w:bottom w:w="0" w:type="dxa"/>
          <w:right w:w="108" w:type="dxa"/>
        </w:tblCellMar>
      </w:tblPr>
      <w:tblGrid>
        <w:gridCol w:w="2142"/>
        <w:gridCol w:w="992"/>
        <w:gridCol w:w="1984"/>
        <w:gridCol w:w="2127"/>
        <w:gridCol w:w="1842"/>
      </w:tblGrid>
      <w:tr>
        <w:tblPrEx>
          <w:tblCellMar>
            <w:top w:w="0" w:type="dxa"/>
            <w:left w:w="108" w:type="dxa"/>
            <w:bottom w:w="0" w:type="dxa"/>
            <w:right w:w="108" w:type="dxa"/>
          </w:tblCellMar>
        </w:tblPrEx>
        <w:trPr>
          <w:trHeight w:val="495" w:hRule="atLeast"/>
        </w:trPr>
        <w:tc>
          <w:tcPr>
            <w:tcW w:w="9087" w:type="dxa"/>
            <w:gridSpan w:val="5"/>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宋体" w:hAnsi="宋体" w:cs="Arial"/>
                <w:b/>
                <w:bCs/>
                <w:kern w:val="0"/>
                <w:sz w:val="20"/>
                <w:szCs w:val="20"/>
              </w:rPr>
            </w:pPr>
            <w:r>
              <w:rPr>
                <w:rFonts w:hint="eastAsia" w:ascii="宋体" w:hAnsi="宋体" w:cs="Arial"/>
                <w:b/>
                <w:bCs/>
                <w:kern w:val="0"/>
                <w:sz w:val="20"/>
                <w:szCs w:val="20"/>
              </w:rPr>
              <w:t>人工智能与大数据学院2022年地方基层项目人员一览表</w:t>
            </w:r>
          </w:p>
        </w:tc>
      </w:tr>
      <w:tr>
        <w:tblPrEx>
          <w:tblCellMar>
            <w:top w:w="0" w:type="dxa"/>
            <w:left w:w="108" w:type="dxa"/>
            <w:bottom w:w="0" w:type="dxa"/>
            <w:right w:w="108" w:type="dxa"/>
          </w:tblCellMar>
        </w:tblPrEx>
        <w:trPr>
          <w:trHeight w:val="255" w:hRule="atLeast"/>
        </w:trPr>
        <w:tc>
          <w:tcPr>
            <w:tcW w:w="2142"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Arial" w:hAnsi="Arial" w:cs="Arial"/>
                <w:b/>
                <w:bCs/>
                <w:kern w:val="0"/>
                <w:sz w:val="20"/>
                <w:szCs w:val="20"/>
              </w:rPr>
            </w:pPr>
            <w:r>
              <w:rPr>
                <w:rFonts w:ascii="Arial" w:hAnsi="Arial" w:cs="Arial"/>
                <w:b/>
                <w:bCs/>
                <w:kern w:val="0"/>
                <w:sz w:val="20"/>
                <w:szCs w:val="20"/>
              </w:rPr>
              <w:t>班级名称</w:t>
            </w:r>
          </w:p>
        </w:tc>
        <w:tc>
          <w:tcPr>
            <w:tcW w:w="992" w:type="dxa"/>
            <w:tcBorders>
              <w:top w:val="nil"/>
              <w:left w:val="nil"/>
              <w:bottom w:val="single" w:color="auto" w:sz="4" w:space="0"/>
              <w:right w:val="single" w:color="auto" w:sz="4" w:space="0"/>
            </w:tcBorders>
            <w:shd w:val="clear" w:color="auto" w:fill="auto"/>
            <w:noWrap/>
            <w:vAlign w:val="center"/>
          </w:tcPr>
          <w:p>
            <w:pPr>
              <w:widowControl/>
              <w:jc w:val="center"/>
              <w:rPr>
                <w:rFonts w:ascii="Arial" w:hAnsi="Arial" w:cs="Arial"/>
                <w:b/>
                <w:bCs/>
                <w:kern w:val="0"/>
                <w:sz w:val="20"/>
                <w:szCs w:val="20"/>
              </w:rPr>
            </w:pPr>
            <w:r>
              <w:rPr>
                <w:rFonts w:ascii="Arial" w:hAnsi="Arial" w:cs="Arial"/>
                <w:b/>
                <w:bCs/>
                <w:kern w:val="0"/>
                <w:sz w:val="20"/>
                <w:szCs w:val="20"/>
              </w:rPr>
              <w:t>姓名</w:t>
            </w:r>
          </w:p>
        </w:tc>
        <w:tc>
          <w:tcPr>
            <w:tcW w:w="1984" w:type="dxa"/>
            <w:tcBorders>
              <w:top w:val="nil"/>
              <w:left w:val="nil"/>
              <w:bottom w:val="single" w:color="auto" w:sz="4" w:space="0"/>
              <w:right w:val="single" w:color="auto" w:sz="4" w:space="0"/>
            </w:tcBorders>
            <w:shd w:val="clear" w:color="auto" w:fill="auto"/>
            <w:noWrap/>
            <w:vAlign w:val="center"/>
          </w:tcPr>
          <w:p>
            <w:pPr>
              <w:widowControl/>
              <w:jc w:val="center"/>
              <w:rPr>
                <w:rFonts w:ascii="Arial" w:hAnsi="Arial" w:cs="Arial"/>
                <w:b/>
                <w:bCs/>
                <w:kern w:val="0"/>
                <w:sz w:val="20"/>
                <w:szCs w:val="20"/>
              </w:rPr>
            </w:pPr>
            <w:r>
              <w:rPr>
                <w:rFonts w:ascii="Arial" w:hAnsi="Arial" w:cs="Arial"/>
                <w:b/>
                <w:bCs/>
                <w:kern w:val="0"/>
                <w:sz w:val="20"/>
                <w:szCs w:val="20"/>
              </w:rPr>
              <w:t>单位名称</w:t>
            </w:r>
          </w:p>
        </w:tc>
        <w:tc>
          <w:tcPr>
            <w:tcW w:w="2127" w:type="dxa"/>
            <w:tcBorders>
              <w:top w:val="nil"/>
              <w:left w:val="nil"/>
              <w:bottom w:val="single" w:color="auto" w:sz="4" w:space="0"/>
              <w:right w:val="single" w:color="auto" w:sz="4" w:space="0"/>
            </w:tcBorders>
            <w:shd w:val="clear" w:color="auto" w:fill="auto"/>
            <w:noWrap/>
            <w:vAlign w:val="center"/>
          </w:tcPr>
          <w:p>
            <w:pPr>
              <w:widowControl/>
              <w:jc w:val="center"/>
              <w:rPr>
                <w:rFonts w:ascii="Arial" w:hAnsi="Arial" w:cs="Arial"/>
                <w:b/>
                <w:bCs/>
                <w:kern w:val="0"/>
                <w:sz w:val="20"/>
                <w:szCs w:val="20"/>
              </w:rPr>
            </w:pPr>
            <w:r>
              <w:rPr>
                <w:rFonts w:ascii="Arial" w:hAnsi="Arial" w:cs="Arial"/>
                <w:b/>
                <w:bCs/>
                <w:kern w:val="0"/>
                <w:sz w:val="20"/>
                <w:szCs w:val="20"/>
              </w:rPr>
              <w:t>单位所在地</w:t>
            </w:r>
          </w:p>
        </w:tc>
        <w:tc>
          <w:tcPr>
            <w:tcW w:w="1842" w:type="dxa"/>
            <w:tcBorders>
              <w:top w:val="nil"/>
              <w:left w:val="nil"/>
              <w:bottom w:val="single" w:color="auto" w:sz="4" w:space="0"/>
              <w:right w:val="single" w:color="auto" w:sz="4" w:space="0"/>
            </w:tcBorders>
            <w:shd w:val="clear" w:color="auto" w:fill="auto"/>
            <w:noWrap/>
            <w:vAlign w:val="center"/>
          </w:tcPr>
          <w:p>
            <w:pPr>
              <w:widowControl/>
              <w:jc w:val="center"/>
              <w:rPr>
                <w:rFonts w:ascii="Arial" w:hAnsi="Arial" w:cs="Arial"/>
                <w:b/>
                <w:bCs/>
                <w:kern w:val="0"/>
                <w:sz w:val="20"/>
                <w:szCs w:val="20"/>
              </w:rPr>
            </w:pPr>
            <w:r>
              <w:rPr>
                <w:rFonts w:ascii="Arial" w:hAnsi="Arial" w:cs="Arial"/>
                <w:b/>
                <w:bCs/>
                <w:kern w:val="0"/>
                <w:sz w:val="20"/>
                <w:szCs w:val="20"/>
              </w:rPr>
              <w:t>单位备注</w:t>
            </w:r>
          </w:p>
        </w:tc>
      </w:tr>
      <w:tr>
        <w:tblPrEx>
          <w:tblCellMar>
            <w:top w:w="0" w:type="dxa"/>
            <w:left w:w="108" w:type="dxa"/>
            <w:bottom w:w="0" w:type="dxa"/>
            <w:right w:w="108" w:type="dxa"/>
          </w:tblCellMar>
        </w:tblPrEx>
        <w:trPr>
          <w:trHeight w:val="255" w:hRule="atLeast"/>
        </w:trPr>
        <w:tc>
          <w:tcPr>
            <w:tcW w:w="2142"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Arial" w:hAnsi="Arial" w:cs="Arial"/>
                <w:kern w:val="0"/>
                <w:sz w:val="20"/>
                <w:szCs w:val="20"/>
              </w:rPr>
            </w:pPr>
            <w:r>
              <w:rPr>
                <w:rFonts w:ascii="Arial" w:hAnsi="Arial" w:cs="Arial"/>
                <w:kern w:val="0"/>
                <w:sz w:val="20"/>
                <w:szCs w:val="20"/>
              </w:rPr>
              <w:t>18数学与应用数学(1)</w:t>
            </w:r>
          </w:p>
        </w:tc>
        <w:tc>
          <w:tcPr>
            <w:tcW w:w="992" w:type="dxa"/>
            <w:tcBorders>
              <w:top w:val="nil"/>
              <w:left w:val="nil"/>
              <w:bottom w:val="single" w:color="auto" w:sz="4" w:space="0"/>
              <w:right w:val="single" w:color="auto" w:sz="4" w:space="0"/>
            </w:tcBorders>
            <w:shd w:val="clear" w:color="auto" w:fill="auto"/>
            <w:noWrap/>
            <w:vAlign w:val="center"/>
          </w:tcPr>
          <w:p>
            <w:pPr>
              <w:widowControl/>
              <w:jc w:val="center"/>
              <w:rPr>
                <w:rFonts w:ascii="Arial" w:hAnsi="Arial" w:cs="Arial"/>
                <w:kern w:val="0"/>
                <w:sz w:val="20"/>
                <w:szCs w:val="20"/>
              </w:rPr>
            </w:pPr>
            <w:r>
              <w:rPr>
                <w:rFonts w:ascii="Arial" w:hAnsi="Arial" w:cs="Arial"/>
                <w:kern w:val="0"/>
                <w:sz w:val="20"/>
                <w:szCs w:val="20"/>
              </w:rPr>
              <w:t>许雨辰</w:t>
            </w:r>
          </w:p>
        </w:tc>
        <w:tc>
          <w:tcPr>
            <w:tcW w:w="1984" w:type="dxa"/>
            <w:tcBorders>
              <w:top w:val="nil"/>
              <w:left w:val="nil"/>
              <w:bottom w:val="single" w:color="auto" w:sz="4" w:space="0"/>
              <w:right w:val="single" w:color="auto" w:sz="4" w:space="0"/>
            </w:tcBorders>
            <w:shd w:val="clear" w:color="auto" w:fill="auto"/>
            <w:noWrap/>
            <w:vAlign w:val="center"/>
          </w:tcPr>
          <w:p>
            <w:pPr>
              <w:widowControl/>
              <w:jc w:val="center"/>
              <w:rPr>
                <w:rFonts w:ascii="Arial" w:hAnsi="Arial" w:cs="Arial"/>
                <w:kern w:val="0"/>
                <w:sz w:val="20"/>
                <w:szCs w:val="20"/>
              </w:rPr>
            </w:pPr>
            <w:r>
              <w:rPr>
                <w:rFonts w:ascii="Arial" w:hAnsi="Arial" w:cs="Arial"/>
                <w:kern w:val="0"/>
                <w:sz w:val="20"/>
                <w:szCs w:val="20"/>
              </w:rPr>
              <w:t>其它地方基层项目</w:t>
            </w:r>
          </w:p>
        </w:tc>
        <w:tc>
          <w:tcPr>
            <w:tcW w:w="2127" w:type="dxa"/>
            <w:tcBorders>
              <w:top w:val="nil"/>
              <w:left w:val="nil"/>
              <w:bottom w:val="single" w:color="auto" w:sz="4" w:space="0"/>
              <w:right w:val="single" w:color="auto" w:sz="4" w:space="0"/>
            </w:tcBorders>
            <w:shd w:val="clear" w:color="auto" w:fill="auto"/>
            <w:noWrap/>
            <w:vAlign w:val="center"/>
          </w:tcPr>
          <w:p>
            <w:pPr>
              <w:widowControl/>
              <w:jc w:val="center"/>
              <w:rPr>
                <w:rFonts w:ascii="Arial" w:hAnsi="Arial" w:cs="Arial"/>
                <w:kern w:val="0"/>
                <w:sz w:val="20"/>
                <w:szCs w:val="20"/>
              </w:rPr>
            </w:pPr>
            <w:r>
              <w:rPr>
                <w:rFonts w:ascii="Arial" w:hAnsi="Arial" w:cs="Arial"/>
                <w:kern w:val="0"/>
                <w:sz w:val="20"/>
                <w:szCs w:val="20"/>
              </w:rPr>
              <w:t>安徽省合肥市包河区</w:t>
            </w:r>
          </w:p>
        </w:tc>
        <w:tc>
          <w:tcPr>
            <w:tcW w:w="1842" w:type="dxa"/>
            <w:tcBorders>
              <w:top w:val="nil"/>
              <w:left w:val="nil"/>
              <w:bottom w:val="single" w:color="auto" w:sz="4" w:space="0"/>
              <w:right w:val="single" w:color="auto" w:sz="4" w:space="0"/>
            </w:tcBorders>
            <w:shd w:val="clear" w:color="auto" w:fill="auto"/>
            <w:noWrap/>
            <w:vAlign w:val="center"/>
          </w:tcPr>
          <w:p>
            <w:pPr>
              <w:widowControl/>
              <w:jc w:val="center"/>
              <w:rPr>
                <w:rFonts w:ascii="Arial" w:hAnsi="Arial" w:cs="Arial"/>
                <w:kern w:val="0"/>
                <w:sz w:val="20"/>
                <w:szCs w:val="20"/>
              </w:rPr>
            </w:pPr>
            <w:r>
              <w:rPr>
                <w:rFonts w:ascii="Arial" w:hAnsi="Arial" w:cs="Arial"/>
                <w:kern w:val="0"/>
                <w:sz w:val="20"/>
                <w:szCs w:val="20"/>
              </w:rPr>
              <w:t>社区工作者</w:t>
            </w:r>
          </w:p>
        </w:tc>
      </w:tr>
      <w:tr>
        <w:tblPrEx>
          <w:tblCellMar>
            <w:top w:w="0" w:type="dxa"/>
            <w:left w:w="108" w:type="dxa"/>
            <w:bottom w:w="0" w:type="dxa"/>
            <w:right w:w="108" w:type="dxa"/>
          </w:tblCellMar>
        </w:tblPrEx>
        <w:trPr>
          <w:trHeight w:val="255" w:hRule="atLeast"/>
        </w:trPr>
        <w:tc>
          <w:tcPr>
            <w:tcW w:w="2142"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Arial" w:hAnsi="Arial" w:cs="Arial"/>
                <w:kern w:val="0"/>
                <w:sz w:val="20"/>
                <w:szCs w:val="20"/>
              </w:rPr>
            </w:pPr>
            <w:r>
              <w:rPr>
                <w:rFonts w:ascii="Arial" w:hAnsi="Arial" w:cs="Arial"/>
                <w:kern w:val="0"/>
                <w:sz w:val="20"/>
                <w:szCs w:val="20"/>
              </w:rPr>
              <w:t>18软件工程(1)</w:t>
            </w:r>
          </w:p>
        </w:tc>
        <w:tc>
          <w:tcPr>
            <w:tcW w:w="992" w:type="dxa"/>
            <w:tcBorders>
              <w:top w:val="nil"/>
              <w:left w:val="nil"/>
              <w:bottom w:val="single" w:color="auto" w:sz="4" w:space="0"/>
              <w:right w:val="single" w:color="auto" w:sz="4" w:space="0"/>
            </w:tcBorders>
            <w:shd w:val="clear" w:color="auto" w:fill="auto"/>
            <w:noWrap/>
            <w:vAlign w:val="center"/>
          </w:tcPr>
          <w:p>
            <w:pPr>
              <w:widowControl/>
              <w:jc w:val="center"/>
              <w:rPr>
                <w:rFonts w:ascii="Arial" w:hAnsi="Arial" w:cs="Arial"/>
                <w:kern w:val="0"/>
                <w:sz w:val="20"/>
                <w:szCs w:val="20"/>
              </w:rPr>
            </w:pPr>
            <w:r>
              <w:rPr>
                <w:rFonts w:ascii="Arial" w:hAnsi="Arial" w:cs="Arial"/>
                <w:kern w:val="0"/>
                <w:sz w:val="20"/>
                <w:szCs w:val="20"/>
              </w:rPr>
              <w:t>周靖涛</w:t>
            </w:r>
          </w:p>
        </w:tc>
        <w:tc>
          <w:tcPr>
            <w:tcW w:w="1984" w:type="dxa"/>
            <w:tcBorders>
              <w:top w:val="nil"/>
              <w:left w:val="nil"/>
              <w:bottom w:val="single" w:color="auto" w:sz="4" w:space="0"/>
              <w:right w:val="single" w:color="auto" w:sz="4" w:space="0"/>
            </w:tcBorders>
            <w:shd w:val="clear" w:color="auto" w:fill="auto"/>
            <w:noWrap/>
            <w:vAlign w:val="center"/>
          </w:tcPr>
          <w:p>
            <w:pPr>
              <w:widowControl/>
              <w:jc w:val="center"/>
              <w:rPr>
                <w:rFonts w:ascii="Arial" w:hAnsi="Arial" w:cs="Arial"/>
                <w:kern w:val="0"/>
                <w:sz w:val="20"/>
                <w:szCs w:val="20"/>
              </w:rPr>
            </w:pPr>
            <w:r>
              <w:rPr>
                <w:rFonts w:ascii="Arial" w:hAnsi="Arial" w:cs="Arial"/>
                <w:kern w:val="0"/>
                <w:sz w:val="20"/>
                <w:szCs w:val="20"/>
              </w:rPr>
              <w:t>选调生</w:t>
            </w:r>
          </w:p>
        </w:tc>
        <w:tc>
          <w:tcPr>
            <w:tcW w:w="2127" w:type="dxa"/>
            <w:tcBorders>
              <w:top w:val="nil"/>
              <w:left w:val="nil"/>
              <w:bottom w:val="single" w:color="auto" w:sz="4" w:space="0"/>
              <w:right w:val="single" w:color="auto" w:sz="4" w:space="0"/>
            </w:tcBorders>
            <w:shd w:val="clear" w:color="auto" w:fill="auto"/>
            <w:noWrap/>
            <w:vAlign w:val="center"/>
          </w:tcPr>
          <w:p>
            <w:pPr>
              <w:widowControl/>
              <w:jc w:val="center"/>
              <w:rPr>
                <w:rFonts w:ascii="Arial" w:hAnsi="Arial" w:cs="Arial"/>
                <w:kern w:val="0"/>
                <w:sz w:val="20"/>
                <w:szCs w:val="20"/>
              </w:rPr>
            </w:pPr>
            <w:r>
              <w:rPr>
                <w:rFonts w:ascii="Arial" w:hAnsi="Arial" w:cs="Arial"/>
                <w:kern w:val="0"/>
                <w:sz w:val="20"/>
                <w:szCs w:val="20"/>
              </w:rPr>
              <w:t>河南省镇平县</w:t>
            </w:r>
          </w:p>
        </w:tc>
        <w:tc>
          <w:tcPr>
            <w:tcW w:w="1842" w:type="dxa"/>
            <w:tcBorders>
              <w:top w:val="nil"/>
              <w:left w:val="nil"/>
              <w:bottom w:val="single" w:color="auto" w:sz="4" w:space="0"/>
              <w:right w:val="single" w:color="auto" w:sz="4" w:space="0"/>
            </w:tcBorders>
            <w:shd w:val="clear" w:color="auto" w:fill="auto"/>
            <w:noWrap/>
            <w:vAlign w:val="center"/>
          </w:tcPr>
          <w:p>
            <w:pPr>
              <w:widowControl/>
              <w:jc w:val="center"/>
              <w:rPr>
                <w:rFonts w:ascii="Arial" w:hAnsi="Arial" w:cs="Arial"/>
                <w:kern w:val="0"/>
                <w:sz w:val="20"/>
                <w:szCs w:val="20"/>
              </w:rPr>
            </w:pPr>
            <w:r>
              <w:rPr>
                <w:rFonts w:ascii="Arial" w:hAnsi="Arial" w:cs="Arial"/>
                <w:kern w:val="0"/>
                <w:sz w:val="20"/>
                <w:szCs w:val="20"/>
              </w:rPr>
              <w:t>　</w:t>
            </w:r>
          </w:p>
        </w:tc>
      </w:tr>
      <w:tr>
        <w:tblPrEx>
          <w:tblCellMar>
            <w:top w:w="0" w:type="dxa"/>
            <w:left w:w="108" w:type="dxa"/>
            <w:bottom w:w="0" w:type="dxa"/>
            <w:right w:w="108" w:type="dxa"/>
          </w:tblCellMar>
        </w:tblPrEx>
        <w:trPr>
          <w:trHeight w:val="255" w:hRule="atLeast"/>
        </w:trPr>
        <w:tc>
          <w:tcPr>
            <w:tcW w:w="2142"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Arial" w:hAnsi="Arial" w:cs="Arial"/>
                <w:kern w:val="0"/>
                <w:sz w:val="20"/>
                <w:szCs w:val="20"/>
              </w:rPr>
            </w:pPr>
            <w:r>
              <w:rPr>
                <w:rFonts w:ascii="Arial" w:hAnsi="Arial" w:cs="Arial"/>
                <w:kern w:val="0"/>
                <w:sz w:val="20"/>
                <w:szCs w:val="20"/>
              </w:rPr>
              <w:t>18信管(对口1)</w:t>
            </w:r>
          </w:p>
        </w:tc>
        <w:tc>
          <w:tcPr>
            <w:tcW w:w="992" w:type="dxa"/>
            <w:tcBorders>
              <w:top w:val="nil"/>
              <w:left w:val="nil"/>
              <w:bottom w:val="single" w:color="auto" w:sz="4" w:space="0"/>
              <w:right w:val="single" w:color="auto" w:sz="4" w:space="0"/>
            </w:tcBorders>
            <w:shd w:val="clear" w:color="auto" w:fill="auto"/>
            <w:noWrap/>
            <w:vAlign w:val="center"/>
          </w:tcPr>
          <w:p>
            <w:pPr>
              <w:widowControl/>
              <w:jc w:val="center"/>
              <w:rPr>
                <w:rFonts w:ascii="Arial" w:hAnsi="Arial" w:cs="Arial"/>
                <w:kern w:val="0"/>
                <w:sz w:val="20"/>
                <w:szCs w:val="20"/>
              </w:rPr>
            </w:pPr>
            <w:r>
              <w:rPr>
                <w:rFonts w:ascii="Arial" w:hAnsi="Arial" w:cs="Arial"/>
                <w:kern w:val="0"/>
                <w:sz w:val="20"/>
                <w:szCs w:val="20"/>
              </w:rPr>
              <w:t>潘小娟</w:t>
            </w:r>
          </w:p>
        </w:tc>
        <w:tc>
          <w:tcPr>
            <w:tcW w:w="1984" w:type="dxa"/>
            <w:tcBorders>
              <w:top w:val="nil"/>
              <w:left w:val="nil"/>
              <w:bottom w:val="single" w:color="auto" w:sz="4" w:space="0"/>
              <w:right w:val="single" w:color="auto" w:sz="4" w:space="0"/>
            </w:tcBorders>
            <w:shd w:val="clear" w:color="auto" w:fill="auto"/>
            <w:noWrap/>
            <w:vAlign w:val="center"/>
          </w:tcPr>
          <w:p>
            <w:pPr>
              <w:widowControl/>
              <w:jc w:val="center"/>
              <w:rPr>
                <w:rFonts w:ascii="Arial" w:hAnsi="Arial" w:cs="Arial"/>
                <w:kern w:val="0"/>
                <w:sz w:val="20"/>
                <w:szCs w:val="20"/>
              </w:rPr>
            </w:pPr>
            <w:r>
              <w:rPr>
                <w:rFonts w:ascii="Arial" w:hAnsi="Arial" w:cs="Arial"/>
                <w:kern w:val="0"/>
                <w:sz w:val="20"/>
                <w:szCs w:val="20"/>
              </w:rPr>
              <w:t>其它地方基层项目</w:t>
            </w:r>
          </w:p>
        </w:tc>
        <w:tc>
          <w:tcPr>
            <w:tcW w:w="2127" w:type="dxa"/>
            <w:tcBorders>
              <w:top w:val="nil"/>
              <w:left w:val="nil"/>
              <w:bottom w:val="single" w:color="auto" w:sz="4" w:space="0"/>
              <w:right w:val="single" w:color="auto" w:sz="4" w:space="0"/>
            </w:tcBorders>
            <w:shd w:val="clear" w:color="auto" w:fill="auto"/>
            <w:noWrap/>
            <w:vAlign w:val="center"/>
          </w:tcPr>
          <w:p>
            <w:pPr>
              <w:widowControl/>
              <w:jc w:val="center"/>
              <w:rPr>
                <w:rFonts w:ascii="Arial" w:hAnsi="Arial" w:cs="Arial"/>
                <w:kern w:val="0"/>
                <w:sz w:val="20"/>
                <w:szCs w:val="20"/>
              </w:rPr>
            </w:pPr>
            <w:r>
              <w:rPr>
                <w:rFonts w:ascii="Arial" w:hAnsi="Arial" w:cs="Arial"/>
                <w:kern w:val="0"/>
                <w:sz w:val="20"/>
                <w:szCs w:val="20"/>
              </w:rPr>
              <w:t>安徽省当涂县</w:t>
            </w:r>
          </w:p>
        </w:tc>
        <w:tc>
          <w:tcPr>
            <w:tcW w:w="1842" w:type="dxa"/>
            <w:tcBorders>
              <w:top w:val="nil"/>
              <w:left w:val="nil"/>
              <w:bottom w:val="single" w:color="auto" w:sz="4" w:space="0"/>
              <w:right w:val="single" w:color="auto" w:sz="4" w:space="0"/>
            </w:tcBorders>
            <w:shd w:val="clear" w:color="auto" w:fill="auto"/>
            <w:noWrap/>
            <w:vAlign w:val="center"/>
          </w:tcPr>
          <w:p>
            <w:pPr>
              <w:widowControl/>
              <w:jc w:val="center"/>
              <w:rPr>
                <w:rFonts w:ascii="Arial" w:hAnsi="Arial" w:cs="Arial"/>
                <w:kern w:val="0"/>
                <w:sz w:val="20"/>
                <w:szCs w:val="20"/>
              </w:rPr>
            </w:pPr>
            <w:r>
              <w:rPr>
                <w:rFonts w:ascii="Arial" w:hAnsi="Arial" w:cs="Arial"/>
                <w:kern w:val="0"/>
                <w:sz w:val="20"/>
                <w:szCs w:val="20"/>
              </w:rPr>
              <w:t>大学生科技特派员</w:t>
            </w:r>
          </w:p>
        </w:tc>
      </w:tr>
      <w:tr>
        <w:tblPrEx>
          <w:tblCellMar>
            <w:top w:w="0" w:type="dxa"/>
            <w:left w:w="108" w:type="dxa"/>
            <w:bottom w:w="0" w:type="dxa"/>
            <w:right w:w="108" w:type="dxa"/>
          </w:tblCellMar>
        </w:tblPrEx>
        <w:trPr>
          <w:trHeight w:val="255" w:hRule="atLeast"/>
        </w:trPr>
        <w:tc>
          <w:tcPr>
            <w:tcW w:w="2142"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Arial" w:hAnsi="Arial" w:cs="Arial"/>
                <w:kern w:val="0"/>
                <w:sz w:val="20"/>
                <w:szCs w:val="20"/>
              </w:rPr>
            </w:pPr>
            <w:r>
              <w:rPr>
                <w:rFonts w:ascii="Arial" w:hAnsi="Arial" w:cs="Arial"/>
                <w:kern w:val="0"/>
                <w:sz w:val="20"/>
                <w:szCs w:val="20"/>
              </w:rPr>
              <w:t>18信管(对口1)</w:t>
            </w:r>
          </w:p>
        </w:tc>
        <w:tc>
          <w:tcPr>
            <w:tcW w:w="992" w:type="dxa"/>
            <w:tcBorders>
              <w:top w:val="nil"/>
              <w:left w:val="nil"/>
              <w:bottom w:val="single" w:color="auto" w:sz="4" w:space="0"/>
              <w:right w:val="single" w:color="auto" w:sz="4" w:space="0"/>
            </w:tcBorders>
            <w:shd w:val="clear" w:color="auto" w:fill="auto"/>
            <w:noWrap/>
            <w:vAlign w:val="center"/>
          </w:tcPr>
          <w:p>
            <w:pPr>
              <w:widowControl/>
              <w:jc w:val="center"/>
              <w:rPr>
                <w:rFonts w:ascii="Arial" w:hAnsi="Arial" w:cs="Arial"/>
                <w:kern w:val="0"/>
                <w:sz w:val="20"/>
                <w:szCs w:val="20"/>
              </w:rPr>
            </w:pPr>
            <w:r>
              <w:rPr>
                <w:rFonts w:ascii="Arial" w:hAnsi="Arial" w:cs="Arial"/>
                <w:kern w:val="0"/>
                <w:sz w:val="20"/>
                <w:szCs w:val="20"/>
              </w:rPr>
              <w:t>汪欣怡</w:t>
            </w:r>
          </w:p>
        </w:tc>
        <w:tc>
          <w:tcPr>
            <w:tcW w:w="1984" w:type="dxa"/>
            <w:tcBorders>
              <w:top w:val="nil"/>
              <w:left w:val="nil"/>
              <w:bottom w:val="single" w:color="auto" w:sz="4" w:space="0"/>
              <w:right w:val="single" w:color="auto" w:sz="4" w:space="0"/>
            </w:tcBorders>
            <w:shd w:val="clear" w:color="auto" w:fill="auto"/>
            <w:noWrap/>
            <w:vAlign w:val="center"/>
          </w:tcPr>
          <w:p>
            <w:pPr>
              <w:widowControl/>
              <w:jc w:val="center"/>
              <w:rPr>
                <w:rFonts w:ascii="Arial" w:hAnsi="Arial" w:cs="Arial"/>
                <w:kern w:val="0"/>
                <w:sz w:val="20"/>
                <w:szCs w:val="20"/>
              </w:rPr>
            </w:pPr>
            <w:r>
              <w:rPr>
                <w:rFonts w:ascii="Arial" w:hAnsi="Arial" w:cs="Arial"/>
                <w:kern w:val="0"/>
                <w:sz w:val="20"/>
                <w:szCs w:val="20"/>
              </w:rPr>
              <w:t>其它地方基层项目</w:t>
            </w:r>
          </w:p>
        </w:tc>
        <w:tc>
          <w:tcPr>
            <w:tcW w:w="2127" w:type="dxa"/>
            <w:tcBorders>
              <w:top w:val="nil"/>
              <w:left w:val="nil"/>
              <w:bottom w:val="single" w:color="auto" w:sz="4" w:space="0"/>
              <w:right w:val="single" w:color="auto" w:sz="4" w:space="0"/>
            </w:tcBorders>
            <w:shd w:val="clear" w:color="auto" w:fill="auto"/>
            <w:noWrap/>
            <w:vAlign w:val="center"/>
          </w:tcPr>
          <w:p>
            <w:pPr>
              <w:widowControl/>
              <w:jc w:val="center"/>
              <w:rPr>
                <w:rFonts w:ascii="Arial" w:hAnsi="Arial" w:cs="Arial"/>
                <w:kern w:val="0"/>
                <w:sz w:val="20"/>
                <w:szCs w:val="20"/>
              </w:rPr>
            </w:pPr>
            <w:r>
              <w:rPr>
                <w:rFonts w:ascii="Arial" w:hAnsi="Arial" w:cs="Arial"/>
                <w:kern w:val="0"/>
                <w:sz w:val="20"/>
                <w:szCs w:val="20"/>
              </w:rPr>
              <w:t>安徽省泾县</w:t>
            </w:r>
          </w:p>
        </w:tc>
        <w:tc>
          <w:tcPr>
            <w:tcW w:w="1842" w:type="dxa"/>
            <w:tcBorders>
              <w:top w:val="nil"/>
              <w:left w:val="nil"/>
              <w:bottom w:val="single" w:color="auto" w:sz="4" w:space="0"/>
              <w:right w:val="single" w:color="auto" w:sz="4" w:space="0"/>
            </w:tcBorders>
            <w:shd w:val="clear" w:color="auto" w:fill="auto"/>
            <w:noWrap/>
            <w:vAlign w:val="center"/>
          </w:tcPr>
          <w:p>
            <w:pPr>
              <w:widowControl/>
              <w:jc w:val="center"/>
              <w:rPr>
                <w:rFonts w:ascii="Arial" w:hAnsi="Arial" w:cs="Arial"/>
                <w:kern w:val="0"/>
                <w:sz w:val="20"/>
                <w:szCs w:val="20"/>
              </w:rPr>
            </w:pPr>
            <w:r>
              <w:rPr>
                <w:rFonts w:ascii="Arial" w:hAnsi="Arial" w:cs="Arial"/>
                <w:kern w:val="0"/>
                <w:sz w:val="20"/>
                <w:szCs w:val="20"/>
              </w:rPr>
              <w:t>社区工作</w:t>
            </w:r>
          </w:p>
        </w:tc>
      </w:tr>
      <w:tr>
        <w:tblPrEx>
          <w:tblCellMar>
            <w:top w:w="0" w:type="dxa"/>
            <w:left w:w="108" w:type="dxa"/>
            <w:bottom w:w="0" w:type="dxa"/>
            <w:right w:w="108" w:type="dxa"/>
          </w:tblCellMar>
        </w:tblPrEx>
        <w:trPr>
          <w:trHeight w:val="255" w:hRule="atLeast"/>
        </w:trPr>
        <w:tc>
          <w:tcPr>
            <w:tcW w:w="2142"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Arial" w:hAnsi="Arial" w:cs="Arial"/>
                <w:kern w:val="0"/>
                <w:sz w:val="20"/>
                <w:szCs w:val="20"/>
              </w:rPr>
            </w:pPr>
            <w:r>
              <w:rPr>
                <w:rFonts w:ascii="Arial" w:hAnsi="Arial" w:cs="Arial"/>
                <w:kern w:val="0"/>
                <w:sz w:val="20"/>
                <w:szCs w:val="20"/>
              </w:rPr>
              <w:t>18信管(对口1)</w:t>
            </w:r>
          </w:p>
        </w:tc>
        <w:tc>
          <w:tcPr>
            <w:tcW w:w="992" w:type="dxa"/>
            <w:tcBorders>
              <w:top w:val="nil"/>
              <w:left w:val="nil"/>
              <w:bottom w:val="single" w:color="auto" w:sz="4" w:space="0"/>
              <w:right w:val="single" w:color="auto" w:sz="4" w:space="0"/>
            </w:tcBorders>
            <w:shd w:val="clear" w:color="auto" w:fill="auto"/>
            <w:noWrap/>
            <w:vAlign w:val="center"/>
          </w:tcPr>
          <w:p>
            <w:pPr>
              <w:widowControl/>
              <w:jc w:val="center"/>
              <w:rPr>
                <w:rFonts w:ascii="Arial" w:hAnsi="Arial" w:cs="Arial"/>
                <w:kern w:val="0"/>
                <w:sz w:val="20"/>
                <w:szCs w:val="20"/>
              </w:rPr>
            </w:pPr>
            <w:r>
              <w:rPr>
                <w:rFonts w:ascii="Arial" w:hAnsi="Arial" w:cs="Arial"/>
                <w:kern w:val="0"/>
                <w:sz w:val="20"/>
                <w:szCs w:val="20"/>
              </w:rPr>
              <w:t>张建侠</w:t>
            </w:r>
          </w:p>
        </w:tc>
        <w:tc>
          <w:tcPr>
            <w:tcW w:w="1984" w:type="dxa"/>
            <w:tcBorders>
              <w:top w:val="nil"/>
              <w:left w:val="nil"/>
              <w:bottom w:val="single" w:color="auto" w:sz="4" w:space="0"/>
              <w:right w:val="single" w:color="auto" w:sz="4" w:space="0"/>
            </w:tcBorders>
            <w:shd w:val="clear" w:color="auto" w:fill="auto"/>
            <w:noWrap/>
            <w:vAlign w:val="center"/>
          </w:tcPr>
          <w:p>
            <w:pPr>
              <w:widowControl/>
              <w:jc w:val="center"/>
              <w:rPr>
                <w:rFonts w:ascii="Arial" w:hAnsi="Arial" w:cs="Arial"/>
                <w:kern w:val="0"/>
                <w:sz w:val="20"/>
                <w:szCs w:val="20"/>
              </w:rPr>
            </w:pPr>
            <w:r>
              <w:rPr>
                <w:rFonts w:ascii="Arial" w:hAnsi="Arial" w:cs="Arial"/>
                <w:kern w:val="0"/>
                <w:sz w:val="20"/>
                <w:szCs w:val="20"/>
              </w:rPr>
              <w:t>其它地方基层项目</w:t>
            </w:r>
          </w:p>
        </w:tc>
        <w:tc>
          <w:tcPr>
            <w:tcW w:w="2127" w:type="dxa"/>
            <w:tcBorders>
              <w:top w:val="nil"/>
              <w:left w:val="nil"/>
              <w:bottom w:val="single" w:color="auto" w:sz="4" w:space="0"/>
              <w:right w:val="single" w:color="auto" w:sz="4" w:space="0"/>
            </w:tcBorders>
            <w:shd w:val="clear" w:color="auto" w:fill="auto"/>
            <w:noWrap/>
            <w:vAlign w:val="center"/>
          </w:tcPr>
          <w:p>
            <w:pPr>
              <w:widowControl/>
              <w:jc w:val="center"/>
              <w:rPr>
                <w:rFonts w:ascii="Arial" w:hAnsi="Arial" w:cs="Arial"/>
                <w:kern w:val="0"/>
                <w:sz w:val="20"/>
                <w:szCs w:val="20"/>
              </w:rPr>
            </w:pPr>
            <w:r>
              <w:rPr>
                <w:rFonts w:ascii="Arial" w:hAnsi="Arial" w:cs="Arial"/>
                <w:kern w:val="0"/>
                <w:sz w:val="20"/>
                <w:szCs w:val="20"/>
              </w:rPr>
              <w:t>安徽省合肥市蜀山区</w:t>
            </w:r>
          </w:p>
        </w:tc>
        <w:tc>
          <w:tcPr>
            <w:tcW w:w="1842" w:type="dxa"/>
            <w:tcBorders>
              <w:top w:val="nil"/>
              <w:left w:val="nil"/>
              <w:bottom w:val="single" w:color="auto" w:sz="4" w:space="0"/>
              <w:right w:val="single" w:color="auto" w:sz="4" w:space="0"/>
            </w:tcBorders>
            <w:shd w:val="clear" w:color="auto" w:fill="auto"/>
            <w:noWrap/>
            <w:vAlign w:val="center"/>
          </w:tcPr>
          <w:p>
            <w:pPr>
              <w:widowControl/>
              <w:jc w:val="center"/>
              <w:rPr>
                <w:rFonts w:ascii="Arial" w:hAnsi="Arial" w:cs="Arial"/>
                <w:kern w:val="0"/>
                <w:sz w:val="20"/>
                <w:szCs w:val="20"/>
              </w:rPr>
            </w:pPr>
            <w:r>
              <w:rPr>
                <w:rFonts w:ascii="Arial" w:hAnsi="Arial" w:cs="Arial"/>
                <w:kern w:val="0"/>
                <w:sz w:val="20"/>
                <w:szCs w:val="20"/>
              </w:rPr>
              <w:t>大学生科技特派员</w:t>
            </w:r>
          </w:p>
        </w:tc>
      </w:tr>
      <w:tr>
        <w:tblPrEx>
          <w:tblCellMar>
            <w:top w:w="0" w:type="dxa"/>
            <w:left w:w="108" w:type="dxa"/>
            <w:bottom w:w="0" w:type="dxa"/>
            <w:right w:w="108" w:type="dxa"/>
          </w:tblCellMar>
        </w:tblPrEx>
        <w:trPr>
          <w:trHeight w:val="255" w:hRule="atLeast"/>
        </w:trPr>
        <w:tc>
          <w:tcPr>
            <w:tcW w:w="2142"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Arial" w:hAnsi="Arial" w:cs="Arial"/>
                <w:kern w:val="0"/>
                <w:sz w:val="20"/>
                <w:szCs w:val="20"/>
              </w:rPr>
            </w:pPr>
            <w:r>
              <w:rPr>
                <w:rFonts w:ascii="Arial" w:hAnsi="Arial" w:cs="Arial"/>
                <w:kern w:val="0"/>
                <w:sz w:val="20"/>
                <w:szCs w:val="20"/>
              </w:rPr>
              <w:t>18信管(对口1)</w:t>
            </w:r>
          </w:p>
        </w:tc>
        <w:tc>
          <w:tcPr>
            <w:tcW w:w="992" w:type="dxa"/>
            <w:tcBorders>
              <w:top w:val="nil"/>
              <w:left w:val="nil"/>
              <w:bottom w:val="single" w:color="auto" w:sz="4" w:space="0"/>
              <w:right w:val="single" w:color="auto" w:sz="4" w:space="0"/>
            </w:tcBorders>
            <w:shd w:val="clear" w:color="auto" w:fill="auto"/>
            <w:noWrap/>
            <w:vAlign w:val="center"/>
          </w:tcPr>
          <w:p>
            <w:pPr>
              <w:widowControl/>
              <w:jc w:val="center"/>
              <w:rPr>
                <w:rFonts w:ascii="Arial" w:hAnsi="Arial" w:cs="Arial"/>
                <w:kern w:val="0"/>
                <w:sz w:val="20"/>
                <w:szCs w:val="20"/>
              </w:rPr>
            </w:pPr>
            <w:r>
              <w:rPr>
                <w:rFonts w:ascii="Arial" w:hAnsi="Arial" w:cs="Arial"/>
                <w:kern w:val="0"/>
                <w:sz w:val="20"/>
                <w:szCs w:val="20"/>
              </w:rPr>
              <w:t>杨毅</w:t>
            </w:r>
          </w:p>
        </w:tc>
        <w:tc>
          <w:tcPr>
            <w:tcW w:w="1984" w:type="dxa"/>
            <w:tcBorders>
              <w:top w:val="nil"/>
              <w:left w:val="nil"/>
              <w:bottom w:val="single" w:color="auto" w:sz="4" w:space="0"/>
              <w:right w:val="single" w:color="auto" w:sz="4" w:space="0"/>
            </w:tcBorders>
            <w:shd w:val="clear" w:color="auto" w:fill="auto"/>
            <w:noWrap/>
            <w:vAlign w:val="center"/>
          </w:tcPr>
          <w:p>
            <w:pPr>
              <w:widowControl/>
              <w:jc w:val="center"/>
              <w:rPr>
                <w:rFonts w:ascii="Arial" w:hAnsi="Arial" w:cs="Arial"/>
                <w:kern w:val="0"/>
                <w:sz w:val="20"/>
                <w:szCs w:val="20"/>
              </w:rPr>
            </w:pPr>
            <w:r>
              <w:rPr>
                <w:rFonts w:ascii="Arial" w:hAnsi="Arial" w:cs="Arial"/>
                <w:kern w:val="0"/>
                <w:sz w:val="20"/>
                <w:szCs w:val="20"/>
              </w:rPr>
              <w:t>其它地方基层项目</w:t>
            </w:r>
          </w:p>
        </w:tc>
        <w:tc>
          <w:tcPr>
            <w:tcW w:w="2127" w:type="dxa"/>
            <w:tcBorders>
              <w:top w:val="nil"/>
              <w:left w:val="nil"/>
              <w:bottom w:val="single" w:color="auto" w:sz="4" w:space="0"/>
              <w:right w:val="single" w:color="auto" w:sz="4" w:space="0"/>
            </w:tcBorders>
            <w:shd w:val="clear" w:color="auto" w:fill="auto"/>
            <w:noWrap/>
            <w:vAlign w:val="center"/>
          </w:tcPr>
          <w:p>
            <w:pPr>
              <w:widowControl/>
              <w:jc w:val="center"/>
              <w:rPr>
                <w:rFonts w:ascii="Arial" w:hAnsi="Arial" w:cs="Arial"/>
                <w:kern w:val="0"/>
                <w:sz w:val="20"/>
                <w:szCs w:val="20"/>
              </w:rPr>
            </w:pPr>
            <w:r>
              <w:rPr>
                <w:rFonts w:ascii="Arial" w:hAnsi="Arial" w:cs="Arial"/>
                <w:kern w:val="0"/>
                <w:sz w:val="20"/>
                <w:szCs w:val="20"/>
              </w:rPr>
              <w:t>安徽省合肥市</w:t>
            </w:r>
          </w:p>
        </w:tc>
        <w:tc>
          <w:tcPr>
            <w:tcW w:w="1842" w:type="dxa"/>
            <w:tcBorders>
              <w:top w:val="nil"/>
              <w:left w:val="nil"/>
              <w:bottom w:val="single" w:color="auto" w:sz="4" w:space="0"/>
              <w:right w:val="single" w:color="auto" w:sz="4" w:space="0"/>
            </w:tcBorders>
            <w:shd w:val="clear" w:color="auto" w:fill="auto"/>
            <w:noWrap/>
            <w:vAlign w:val="center"/>
          </w:tcPr>
          <w:p>
            <w:pPr>
              <w:widowControl/>
              <w:jc w:val="center"/>
              <w:rPr>
                <w:rFonts w:ascii="Arial" w:hAnsi="Arial" w:cs="Arial"/>
                <w:kern w:val="0"/>
                <w:sz w:val="20"/>
                <w:szCs w:val="20"/>
              </w:rPr>
            </w:pPr>
            <w:r>
              <w:rPr>
                <w:rFonts w:ascii="Arial" w:hAnsi="Arial" w:cs="Arial"/>
                <w:kern w:val="0"/>
                <w:sz w:val="20"/>
                <w:szCs w:val="20"/>
              </w:rPr>
              <w:t>辅警</w:t>
            </w:r>
          </w:p>
        </w:tc>
      </w:tr>
      <w:tr>
        <w:tblPrEx>
          <w:tblCellMar>
            <w:top w:w="0" w:type="dxa"/>
            <w:left w:w="108" w:type="dxa"/>
            <w:bottom w:w="0" w:type="dxa"/>
            <w:right w:w="108" w:type="dxa"/>
          </w:tblCellMar>
        </w:tblPrEx>
        <w:trPr>
          <w:trHeight w:val="255" w:hRule="atLeast"/>
        </w:trPr>
        <w:tc>
          <w:tcPr>
            <w:tcW w:w="2142"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Arial" w:hAnsi="Arial" w:cs="Arial"/>
                <w:kern w:val="0"/>
                <w:sz w:val="20"/>
                <w:szCs w:val="20"/>
              </w:rPr>
            </w:pPr>
            <w:r>
              <w:rPr>
                <w:rFonts w:ascii="Arial" w:hAnsi="Arial" w:cs="Arial"/>
                <w:kern w:val="0"/>
                <w:sz w:val="20"/>
                <w:szCs w:val="20"/>
              </w:rPr>
              <w:t>18信管(对口1)</w:t>
            </w:r>
          </w:p>
        </w:tc>
        <w:tc>
          <w:tcPr>
            <w:tcW w:w="992" w:type="dxa"/>
            <w:tcBorders>
              <w:top w:val="nil"/>
              <w:left w:val="nil"/>
              <w:bottom w:val="single" w:color="auto" w:sz="4" w:space="0"/>
              <w:right w:val="single" w:color="auto" w:sz="4" w:space="0"/>
            </w:tcBorders>
            <w:shd w:val="clear" w:color="auto" w:fill="auto"/>
            <w:noWrap/>
            <w:vAlign w:val="center"/>
          </w:tcPr>
          <w:p>
            <w:pPr>
              <w:widowControl/>
              <w:jc w:val="center"/>
              <w:rPr>
                <w:rFonts w:ascii="Arial" w:hAnsi="Arial" w:cs="Arial"/>
                <w:kern w:val="0"/>
                <w:sz w:val="20"/>
                <w:szCs w:val="20"/>
              </w:rPr>
            </w:pPr>
            <w:r>
              <w:rPr>
                <w:rFonts w:ascii="Arial" w:hAnsi="Arial" w:cs="Arial"/>
                <w:kern w:val="0"/>
                <w:sz w:val="20"/>
                <w:szCs w:val="20"/>
              </w:rPr>
              <w:t>吴敏</w:t>
            </w:r>
          </w:p>
        </w:tc>
        <w:tc>
          <w:tcPr>
            <w:tcW w:w="1984" w:type="dxa"/>
            <w:tcBorders>
              <w:top w:val="nil"/>
              <w:left w:val="nil"/>
              <w:bottom w:val="single" w:color="auto" w:sz="4" w:space="0"/>
              <w:right w:val="single" w:color="auto" w:sz="4" w:space="0"/>
            </w:tcBorders>
            <w:shd w:val="clear" w:color="auto" w:fill="auto"/>
            <w:noWrap/>
            <w:vAlign w:val="center"/>
          </w:tcPr>
          <w:p>
            <w:pPr>
              <w:widowControl/>
              <w:jc w:val="center"/>
              <w:rPr>
                <w:rFonts w:ascii="Arial" w:hAnsi="Arial" w:cs="Arial"/>
                <w:kern w:val="0"/>
                <w:sz w:val="20"/>
                <w:szCs w:val="20"/>
              </w:rPr>
            </w:pPr>
            <w:r>
              <w:rPr>
                <w:rFonts w:ascii="Arial" w:hAnsi="Arial" w:cs="Arial"/>
                <w:kern w:val="0"/>
                <w:sz w:val="20"/>
                <w:szCs w:val="20"/>
              </w:rPr>
              <w:t>农技特岗</w:t>
            </w:r>
          </w:p>
        </w:tc>
        <w:tc>
          <w:tcPr>
            <w:tcW w:w="2127" w:type="dxa"/>
            <w:tcBorders>
              <w:top w:val="nil"/>
              <w:left w:val="nil"/>
              <w:bottom w:val="single" w:color="auto" w:sz="4" w:space="0"/>
              <w:right w:val="single" w:color="auto" w:sz="4" w:space="0"/>
            </w:tcBorders>
            <w:shd w:val="clear" w:color="auto" w:fill="auto"/>
            <w:noWrap/>
            <w:vAlign w:val="center"/>
          </w:tcPr>
          <w:p>
            <w:pPr>
              <w:widowControl/>
              <w:jc w:val="center"/>
              <w:rPr>
                <w:rFonts w:ascii="Arial" w:hAnsi="Arial" w:cs="Arial"/>
                <w:kern w:val="0"/>
                <w:sz w:val="20"/>
                <w:szCs w:val="20"/>
              </w:rPr>
            </w:pPr>
            <w:r>
              <w:rPr>
                <w:rFonts w:ascii="Arial" w:hAnsi="Arial" w:cs="Arial"/>
                <w:kern w:val="0"/>
                <w:sz w:val="20"/>
                <w:szCs w:val="20"/>
              </w:rPr>
              <w:t>安徽省潜山市</w:t>
            </w:r>
          </w:p>
        </w:tc>
        <w:tc>
          <w:tcPr>
            <w:tcW w:w="1842" w:type="dxa"/>
            <w:tcBorders>
              <w:top w:val="nil"/>
              <w:left w:val="nil"/>
              <w:bottom w:val="single" w:color="auto" w:sz="4" w:space="0"/>
              <w:right w:val="single" w:color="auto" w:sz="4" w:space="0"/>
            </w:tcBorders>
            <w:shd w:val="clear" w:color="auto" w:fill="auto"/>
            <w:noWrap/>
            <w:vAlign w:val="center"/>
          </w:tcPr>
          <w:p>
            <w:pPr>
              <w:widowControl/>
              <w:jc w:val="center"/>
              <w:rPr>
                <w:rFonts w:ascii="Arial" w:hAnsi="Arial" w:cs="Arial"/>
                <w:kern w:val="0"/>
                <w:sz w:val="20"/>
                <w:szCs w:val="20"/>
              </w:rPr>
            </w:pPr>
            <w:r>
              <w:rPr>
                <w:rFonts w:ascii="Arial" w:hAnsi="Arial" w:cs="Arial"/>
                <w:kern w:val="0"/>
                <w:sz w:val="20"/>
                <w:szCs w:val="20"/>
              </w:rPr>
              <w:t>特岗农技员</w:t>
            </w:r>
          </w:p>
        </w:tc>
      </w:tr>
      <w:tr>
        <w:tblPrEx>
          <w:tblCellMar>
            <w:top w:w="0" w:type="dxa"/>
            <w:left w:w="108" w:type="dxa"/>
            <w:bottom w:w="0" w:type="dxa"/>
            <w:right w:w="108" w:type="dxa"/>
          </w:tblCellMar>
        </w:tblPrEx>
        <w:trPr>
          <w:trHeight w:val="255" w:hRule="atLeast"/>
        </w:trPr>
        <w:tc>
          <w:tcPr>
            <w:tcW w:w="2142"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Arial" w:hAnsi="Arial" w:cs="Arial"/>
                <w:kern w:val="0"/>
                <w:sz w:val="20"/>
                <w:szCs w:val="20"/>
              </w:rPr>
            </w:pPr>
            <w:r>
              <w:rPr>
                <w:rFonts w:ascii="Arial" w:hAnsi="Arial" w:cs="Arial"/>
                <w:kern w:val="0"/>
                <w:sz w:val="20"/>
                <w:szCs w:val="20"/>
              </w:rPr>
              <w:t>18信管(对口2)</w:t>
            </w:r>
          </w:p>
        </w:tc>
        <w:tc>
          <w:tcPr>
            <w:tcW w:w="992" w:type="dxa"/>
            <w:tcBorders>
              <w:top w:val="nil"/>
              <w:left w:val="nil"/>
              <w:bottom w:val="single" w:color="auto" w:sz="4" w:space="0"/>
              <w:right w:val="single" w:color="auto" w:sz="4" w:space="0"/>
            </w:tcBorders>
            <w:shd w:val="clear" w:color="auto" w:fill="auto"/>
            <w:noWrap/>
            <w:vAlign w:val="center"/>
          </w:tcPr>
          <w:p>
            <w:pPr>
              <w:widowControl/>
              <w:jc w:val="center"/>
              <w:rPr>
                <w:rFonts w:ascii="Arial" w:hAnsi="Arial" w:cs="Arial"/>
                <w:kern w:val="0"/>
                <w:sz w:val="20"/>
                <w:szCs w:val="20"/>
              </w:rPr>
            </w:pPr>
            <w:r>
              <w:rPr>
                <w:rFonts w:ascii="Arial" w:hAnsi="Arial" w:cs="Arial"/>
                <w:kern w:val="0"/>
                <w:sz w:val="20"/>
                <w:szCs w:val="20"/>
              </w:rPr>
              <w:t>祝金琴</w:t>
            </w:r>
          </w:p>
        </w:tc>
        <w:tc>
          <w:tcPr>
            <w:tcW w:w="1984" w:type="dxa"/>
            <w:tcBorders>
              <w:top w:val="nil"/>
              <w:left w:val="nil"/>
              <w:bottom w:val="single" w:color="auto" w:sz="4" w:space="0"/>
              <w:right w:val="single" w:color="auto" w:sz="4" w:space="0"/>
            </w:tcBorders>
            <w:shd w:val="clear" w:color="auto" w:fill="auto"/>
            <w:noWrap/>
            <w:vAlign w:val="center"/>
          </w:tcPr>
          <w:p>
            <w:pPr>
              <w:widowControl/>
              <w:jc w:val="center"/>
              <w:rPr>
                <w:rFonts w:ascii="Arial" w:hAnsi="Arial" w:cs="Arial"/>
                <w:kern w:val="0"/>
                <w:sz w:val="20"/>
                <w:szCs w:val="20"/>
              </w:rPr>
            </w:pPr>
            <w:r>
              <w:rPr>
                <w:rFonts w:ascii="Arial" w:hAnsi="Arial" w:cs="Arial"/>
                <w:kern w:val="0"/>
                <w:sz w:val="20"/>
                <w:szCs w:val="20"/>
              </w:rPr>
              <w:t>其它地方基层项目</w:t>
            </w:r>
          </w:p>
        </w:tc>
        <w:tc>
          <w:tcPr>
            <w:tcW w:w="2127" w:type="dxa"/>
            <w:tcBorders>
              <w:top w:val="nil"/>
              <w:left w:val="nil"/>
              <w:bottom w:val="single" w:color="auto" w:sz="4" w:space="0"/>
              <w:right w:val="single" w:color="auto" w:sz="4" w:space="0"/>
            </w:tcBorders>
            <w:shd w:val="clear" w:color="auto" w:fill="auto"/>
            <w:noWrap/>
            <w:vAlign w:val="center"/>
          </w:tcPr>
          <w:p>
            <w:pPr>
              <w:widowControl/>
              <w:jc w:val="center"/>
              <w:rPr>
                <w:rFonts w:ascii="Arial" w:hAnsi="Arial" w:cs="Arial"/>
                <w:kern w:val="0"/>
                <w:sz w:val="20"/>
                <w:szCs w:val="20"/>
              </w:rPr>
            </w:pPr>
            <w:r>
              <w:rPr>
                <w:rFonts w:ascii="Arial" w:hAnsi="Arial" w:cs="Arial"/>
                <w:kern w:val="0"/>
                <w:sz w:val="20"/>
                <w:szCs w:val="20"/>
              </w:rPr>
              <w:t>安徽省太湖县</w:t>
            </w:r>
          </w:p>
        </w:tc>
        <w:tc>
          <w:tcPr>
            <w:tcW w:w="1842" w:type="dxa"/>
            <w:tcBorders>
              <w:top w:val="nil"/>
              <w:left w:val="nil"/>
              <w:bottom w:val="single" w:color="auto" w:sz="4" w:space="0"/>
              <w:right w:val="single" w:color="auto" w:sz="4" w:space="0"/>
            </w:tcBorders>
            <w:shd w:val="clear" w:color="auto" w:fill="auto"/>
            <w:noWrap/>
            <w:vAlign w:val="center"/>
          </w:tcPr>
          <w:p>
            <w:pPr>
              <w:widowControl/>
              <w:jc w:val="center"/>
              <w:rPr>
                <w:rFonts w:ascii="Arial" w:hAnsi="Arial" w:cs="Arial"/>
                <w:kern w:val="0"/>
                <w:sz w:val="20"/>
                <w:szCs w:val="20"/>
              </w:rPr>
            </w:pPr>
            <w:r>
              <w:rPr>
                <w:rFonts w:ascii="Arial" w:hAnsi="Arial" w:cs="Arial"/>
                <w:kern w:val="0"/>
                <w:sz w:val="20"/>
                <w:szCs w:val="20"/>
              </w:rPr>
              <w:t>大学生科技特派员</w:t>
            </w:r>
          </w:p>
        </w:tc>
      </w:tr>
    </w:tbl>
    <w:p>
      <w:pPr>
        <w:spacing w:line="360" w:lineRule="auto"/>
        <w:ind w:firstLine="480" w:firstLineChars="200"/>
        <w:rPr>
          <w:rFonts w:asciiTheme="minorEastAsia" w:hAnsiTheme="minorEastAsia" w:eastAsiaTheme="minorEastAsia" w:cstheme="minorEastAsia"/>
          <w:color w:val="000000" w:themeColor="text1"/>
          <w:sz w:val="24"/>
          <w14:textFill>
            <w14:solidFill>
              <w14:schemeClr w14:val="tx1"/>
            </w14:solidFill>
          </w14:textFill>
        </w:rPr>
      </w:pPr>
      <w:r>
        <w:rPr>
          <w:rFonts w:hint="eastAsia" w:asciiTheme="minorEastAsia" w:hAnsiTheme="minorEastAsia" w:eastAsiaTheme="minorEastAsia" w:cstheme="minorEastAsia"/>
          <w:color w:val="000000" w:themeColor="text1"/>
          <w:sz w:val="24"/>
          <w14:textFill>
            <w14:solidFill>
              <w14:schemeClr w14:val="tx1"/>
            </w14:solidFill>
          </w14:textFill>
        </w:rPr>
        <w:t>今年我院有1位毕业生经过层层选拔成为国家公务员</w:t>
      </w:r>
    </w:p>
    <w:tbl>
      <w:tblPr>
        <w:tblStyle w:val="13"/>
        <w:tblW w:w="8740" w:type="dxa"/>
        <w:tblInd w:w="93" w:type="dxa"/>
        <w:tblLayout w:type="autofit"/>
        <w:tblCellMar>
          <w:top w:w="0" w:type="dxa"/>
          <w:left w:w="108" w:type="dxa"/>
          <w:bottom w:w="0" w:type="dxa"/>
          <w:right w:w="108" w:type="dxa"/>
        </w:tblCellMar>
      </w:tblPr>
      <w:tblGrid>
        <w:gridCol w:w="2797"/>
        <w:gridCol w:w="897"/>
        <w:gridCol w:w="5046"/>
      </w:tblGrid>
      <w:tr>
        <w:tblPrEx>
          <w:tblCellMar>
            <w:top w:w="0" w:type="dxa"/>
            <w:left w:w="108" w:type="dxa"/>
            <w:bottom w:w="0" w:type="dxa"/>
            <w:right w:w="108" w:type="dxa"/>
          </w:tblCellMar>
        </w:tblPrEx>
        <w:trPr>
          <w:trHeight w:val="495" w:hRule="atLeast"/>
        </w:trPr>
        <w:tc>
          <w:tcPr>
            <w:tcW w:w="8740" w:type="dxa"/>
            <w:gridSpan w:val="3"/>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宋体" w:hAnsi="宋体" w:cs="Arial"/>
                <w:b/>
                <w:bCs/>
                <w:kern w:val="0"/>
                <w:sz w:val="20"/>
                <w:szCs w:val="20"/>
              </w:rPr>
            </w:pPr>
            <w:r>
              <w:rPr>
                <w:rFonts w:hint="eastAsia" w:ascii="宋体" w:hAnsi="宋体" w:cs="Arial"/>
                <w:b/>
                <w:bCs/>
                <w:kern w:val="0"/>
                <w:sz w:val="20"/>
                <w:szCs w:val="20"/>
              </w:rPr>
              <w:t>人工智能与大数据学院2022年公务员一览表</w:t>
            </w:r>
          </w:p>
        </w:tc>
      </w:tr>
      <w:tr>
        <w:tblPrEx>
          <w:tblCellMar>
            <w:top w:w="0" w:type="dxa"/>
            <w:left w:w="108" w:type="dxa"/>
            <w:bottom w:w="0" w:type="dxa"/>
            <w:right w:w="108" w:type="dxa"/>
          </w:tblCellMar>
        </w:tblPrEx>
        <w:trPr>
          <w:trHeight w:val="419" w:hRule="atLeast"/>
        </w:trPr>
        <w:tc>
          <w:tcPr>
            <w:tcW w:w="2797"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Arial" w:hAnsi="Arial" w:cs="Arial"/>
                <w:b/>
                <w:bCs/>
                <w:kern w:val="0"/>
                <w:sz w:val="20"/>
                <w:szCs w:val="20"/>
              </w:rPr>
            </w:pPr>
            <w:r>
              <w:rPr>
                <w:rFonts w:ascii="Arial" w:hAnsi="Arial" w:cs="Arial"/>
                <w:b/>
                <w:bCs/>
                <w:kern w:val="0"/>
                <w:sz w:val="20"/>
                <w:szCs w:val="20"/>
              </w:rPr>
              <w:t>班级名称</w:t>
            </w:r>
          </w:p>
        </w:tc>
        <w:tc>
          <w:tcPr>
            <w:tcW w:w="897" w:type="dxa"/>
            <w:tcBorders>
              <w:top w:val="nil"/>
              <w:left w:val="nil"/>
              <w:bottom w:val="single" w:color="auto" w:sz="4" w:space="0"/>
              <w:right w:val="single" w:color="auto" w:sz="4" w:space="0"/>
            </w:tcBorders>
            <w:shd w:val="clear" w:color="auto" w:fill="auto"/>
            <w:noWrap/>
            <w:vAlign w:val="center"/>
          </w:tcPr>
          <w:p>
            <w:pPr>
              <w:widowControl/>
              <w:jc w:val="center"/>
              <w:rPr>
                <w:rFonts w:ascii="Arial" w:hAnsi="Arial" w:cs="Arial"/>
                <w:b/>
                <w:bCs/>
                <w:kern w:val="0"/>
                <w:sz w:val="20"/>
                <w:szCs w:val="20"/>
              </w:rPr>
            </w:pPr>
            <w:r>
              <w:rPr>
                <w:rFonts w:ascii="Arial" w:hAnsi="Arial" w:cs="Arial"/>
                <w:b/>
                <w:bCs/>
                <w:kern w:val="0"/>
                <w:sz w:val="20"/>
                <w:szCs w:val="20"/>
              </w:rPr>
              <w:t>姓名</w:t>
            </w:r>
          </w:p>
        </w:tc>
        <w:tc>
          <w:tcPr>
            <w:tcW w:w="5046" w:type="dxa"/>
            <w:tcBorders>
              <w:top w:val="nil"/>
              <w:left w:val="nil"/>
              <w:bottom w:val="single" w:color="auto" w:sz="4" w:space="0"/>
              <w:right w:val="single" w:color="auto" w:sz="4" w:space="0"/>
            </w:tcBorders>
            <w:shd w:val="clear" w:color="auto" w:fill="auto"/>
            <w:noWrap/>
            <w:vAlign w:val="center"/>
          </w:tcPr>
          <w:p>
            <w:pPr>
              <w:widowControl/>
              <w:jc w:val="center"/>
              <w:rPr>
                <w:rFonts w:ascii="Arial" w:hAnsi="Arial" w:cs="Arial"/>
                <w:b/>
                <w:bCs/>
                <w:kern w:val="0"/>
                <w:sz w:val="20"/>
                <w:szCs w:val="20"/>
              </w:rPr>
            </w:pPr>
            <w:r>
              <w:rPr>
                <w:rFonts w:ascii="Arial" w:hAnsi="Arial" w:cs="Arial"/>
                <w:b/>
                <w:bCs/>
                <w:kern w:val="0"/>
                <w:sz w:val="20"/>
                <w:szCs w:val="20"/>
              </w:rPr>
              <w:t>单位名称</w:t>
            </w:r>
          </w:p>
        </w:tc>
      </w:tr>
      <w:tr>
        <w:trPr>
          <w:trHeight w:val="481" w:hRule="atLeast"/>
        </w:trPr>
        <w:tc>
          <w:tcPr>
            <w:tcW w:w="2797"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Arial" w:hAnsi="Arial" w:cs="Arial"/>
                <w:kern w:val="0"/>
                <w:sz w:val="20"/>
                <w:szCs w:val="20"/>
              </w:rPr>
            </w:pPr>
            <w:r>
              <w:rPr>
                <w:rFonts w:ascii="Arial" w:hAnsi="Arial" w:cs="Arial"/>
                <w:kern w:val="0"/>
                <w:sz w:val="20"/>
                <w:szCs w:val="20"/>
              </w:rPr>
              <w:t>18网络工程(1)</w:t>
            </w:r>
          </w:p>
        </w:tc>
        <w:tc>
          <w:tcPr>
            <w:tcW w:w="897" w:type="dxa"/>
            <w:tcBorders>
              <w:top w:val="nil"/>
              <w:left w:val="nil"/>
              <w:bottom w:val="single" w:color="auto" w:sz="4" w:space="0"/>
              <w:right w:val="single" w:color="auto" w:sz="4" w:space="0"/>
            </w:tcBorders>
            <w:shd w:val="clear" w:color="auto" w:fill="auto"/>
            <w:noWrap/>
            <w:vAlign w:val="center"/>
          </w:tcPr>
          <w:p>
            <w:pPr>
              <w:widowControl/>
              <w:jc w:val="center"/>
              <w:rPr>
                <w:rFonts w:ascii="Arial" w:hAnsi="Arial" w:cs="Arial"/>
                <w:kern w:val="0"/>
                <w:sz w:val="20"/>
                <w:szCs w:val="20"/>
              </w:rPr>
            </w:pPr>
            <w:r>
              <w:rPr>
                <w:rFonts w:ascii="Arial" w:hAnsi="Arial" w:cs="Arial"/>
                <w:kern w:val="0"/>
                <w:sz w:val="20"/>
                <w:szCs w:val="20"/>
              </w:rPr>
              <w:t>唐曼</w:t>
            </w:r>
          </w:p>
        </w:tc>
        <w:tc>
          <w:tcPr>
            <w:tcW w:w="5046" w:type="dxa"/>
            <w:tcBorders>
              <w:top w:val="nil"/>
              <w:left w:val="nil"/>
              <w:bottom w:val="single" w:color="auto" w:sz="4" w:space="0"/>
              <w:right w:val="single" w:color="auto" w:sz="4" w:space="0"/>
            </w:tcBorders>
            <w:shd w:val="clear" w:color="auto" w:fill="auto"/>
            <w:noWrap/>
            <w:vAlign w:val="center"/>
          </w:tcPr>
          <w:p>
            <w:pPr>
              <w:widowControl/>
              <w:jc w:val="center"/>
              <w:rPr>
                <w:rFonts w:ascii="Arial" w:hAnsi="Arial" w:cs="Arial"/>
                <w:kern w:val="0"/>
                <w:sz w:val="20"/>
                <w:szCs w:val="20"/>
              </w:rPr>
            </w:pPr>
            <w:r>
              <w:rPr>
                <w:rFonts w:ascii="Arial" w:hAnsi="Arial" w:cs="Arial"/>
                <w:kern w:val="0"/>
                <w:sz w:val="20"/>
                <w:szCs w:val="20"/>
              </w:rPr>
              <w:t>国家税务总局当涂县税务局</w:t>
            </w:r>
          </w:p>
        </w:tc>
      </w:tr>
    </w:tbl>
    <w:p>
      <w:pPr>
        <w:spacing w:line="360" w:lineRule="auto"/>
        <w:ind w:firstLine="480" w:firstLineChars="200"/>
        <w:rPr>
          <w:rFonts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【基层就业典型1】</w:t>
      </w:r>
    </w:p>
    <w:p>
      <w:pPr>
        <w:spacing w:line="360" w:lineRule="auto"/>
        <w:ind w:firstLine="480" w:firstLineChars="200"/>
        <w:rPr>
          <w:rFonts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人工智能与大数据学院2018级软件工程1班班长周靖涛同学，考取河南省选调生，按照南阳市委组织部的分配安排，目前在南阳市宛城区金华镇政府工作，经过一段时间的锻炼，已经从刚走出校园带着满身学生气的选调新人，到逐渐摸索基层工作方法、适应基层工作节奏的年轻干部。</w:t>
      </w:r>
    </w:p>
    <w:p>
      <w:pPr>
        <w:spacing w:line="360" w:lineRule="auto"/>
        <w:ind w:firstLine="480" w:firstLineChars="200"/>
        <w:rPr>
          <w:rFonts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周靖涛同学在校期间担任班长，统筹管理整个班级，成为老师和学生之间的沟通枢纽，连续三年获得校级奖学金，连续三年获校级“优秀班干部”，连续两年获得“三好学生”，并成为一名光荣的中共党员。</w:t>
      </w:r>
    </w:p>
    <w:p>
      <w:pPr>
        <w:spacing w:line="360" w:lineRule="auto"/>
        <w:ind w:firstLine="480" w:firstLineChars="200"/>
        <w:rPr>
          <w:rFonts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到了工作岗位之后，见证了基层干部在工作中的早起贪黑、勤恳付出，也亲历了基层工作的繁杂琐碎、情况多变，同时也感受到了基层百姓的淳朴和善良。从校园走向田野，从书本走向群众，在选调之旅启程之际，深刻认识到“纸上得来终觉浅，绝知此事要躬行”。作为一名新时代的年轻干部，肩负着光荣使命，要真正地扎根在基层，不断增强解决实际问题的能力，坚定理想信念，开拓奋进，永葆赶考的清醒和坚定，在正确的道路上昂首阔步走下去，在基层烟火里书写“选调之歌”。</w:t>
      </w:r>
    </w:p>
    <w:p>
      <w:pPr>
        <w:spacing w:line="360" w:lineRule="auto"/>
        <w:ind w:firstLine="480" w:firstLineChars="200"/>
        <w:rPr>
          <w:rFonts w:asciiTheme="minorEastAsia" w:hAnsiTheme="minorEastAsia" w:eastAsiaTheme="minorEastAsia" w:cstheme="minorEastAsia"/>
          <w:color w:val="000000" w:themeColor="text1"/>
          <w:sz w:val="24"/>
          <w14:textFill>
            <w14:solidFill>
              <w14:schemeClr w14:val="tx1"/>
            </w14:solidFill>
          </w14:textFill>
        </w:rPr>
      </w:pPr>
      <w:r>
        <w:rPr>
          <w:rFonts w:hint="eastAsia" w:asciiTheme="minorEastAsia" w:hAnsiTheme="minorEastAsia" w:eastAsiaTheme="minorEastAsia" w:cstheme="minorEastAsia"/>
          <w:color w:val="000000" w:themeColor="text1"/>
          <w:sz w:val="24"/>
          <w14:textFill>
            <w14:solidFill>
              <w14:schemeClr w14:val="tx1"/>
            </w14:solidFill>
          </w14:textFill>
        </w:rPr>
        <w:t>【基层就业典型2】</w:t>
      </w:r>
    </w:p>
    <w:p>
      <w:pPr>
        <w:spacing w:line="360" w:lineRule="auto"/>
        <w:ind w:firstLine="480" w:firstLineChars="200"/>
        <w:rPr>
          <w:rFonts w:ascii="宋体" w:hAnsi="宋体" w:cs="宋体"/>
          <w:sz w:val="24"/>
        </w:rPr>
      </w:pPr>
      <w:r>
        <w:rPr>
          <w:rFonts w:hint="eastAsia" w:ascii="宋体" w:hAnsi="宋体" w:cs="宋体"/>
          <w:color w:val="000000" w:themeColor="text1"/>
          <w:sz w:val="24"/>
          <w14:textFill>
            <w14:solidFill>
              <w14:schemeClr w14:val="tx1"/>
            </w14:solidFill>
          </w14:textFill>
        </w:rPr>
        <w:t>人工智能与大数据学院2018级</w:t>
      </w:r>
      <w:r>
        <w:rPr>
          <w:rFonts w:hint="eastAsia" w:ascii="宋体" w:hAnsi="宋体" w:cs="宋体"/>
          <w:sz w:val="24"/>
        </w:rPr>
        <w:t>数学与应用数学(1)班生活委员贺灵同学，在校期间学习认真刻苦，成绩优秀，也积极参加学校的各项活动与比赛,获得各类奖项。为了积累自己的工作经验，提高办事能力，还利用暑假时间，参加学校的实践活动，在合肥市包河区方兴社区参加挂职锻炼，累积了自己的基层工作经验；</w:t>
      </w:r>
    </w:p>
    <w:p>
      <w:pPr>
        <w:widowControl/>
        <w:spacing w:line="360" w:lineRule="auto"/>
        <w:ind w:firstLine="480" w:firstLineChars="200"/>
        <w:jc w:val="left"/>
        <w:rPr>
          <w:rFonts w:ascii="宋体" w:hAnsi="宋体" w:cs="宋体"/>
          <w:sz w:val="24"/>
        </w:rPr>
      </w:pPr>
      <w:r>
        <w:rPr>
          <w:rFonts w:hint="eastAsia" w:ascii="宋体" w:hAnsi="宋体" w:cs="宋体"/>
          <w:sz w:val="24"/>
        </w:rPr>
        <w:t>毕业后成为了一名光荣的西部计划志愿者，现服务于四川省广元市利州区，于党政综合办公室工作。党政办是整个单位的中枢办公室，最终要的任务便是做好组织各项工作的上传下达，同时还积极参加由团委组织召开的各项志愿活动。在疫情期间，加班是常态，但是选择到基层就要不怕苦不怕累，西部计划志愿者的一腔热血，就是她在疫情期间三点睡五点起最大的动力。</w:t>
      </w:r>
    </w:p>
    <w:p>
      <w:pPr>
        <w:widowControl/>
        <w:spacing w:line="360" w:lineRule="auto"/>
        <w:ind w:firstLine="480" w:firstLineChars="200"/>
        <w:jc w:val="left"/>
        <w:rPr>
          <w:rFonts w:ascii="宋体" w:hAnsi="宋体" w:cs="宋体"/>
          <w:color w:val="0000FF"/>
          <w:kern w:val="0"/>
          <w:sz w:val="24"/>
        </w:rPr>
      </w:pPr>
      <w:r>
        <w:rPr>
          <w:rFonts w:hint="eastAsia" w:ascii="宋体" w:hAnsi="宋体" w:cs="宋体"/>
          <w:color w:val="000000" w:themeColor="text1"/>
          <w:kern w:val="0"/>
          <w:sz w:val="24"/>
          <w14:textFill>
            <w14:solidFill>
              <w14:schemeClr w14:val="tx1"/>
            </w14:solidFill>
          </w14:textFill>
        </w:rPr>
        <w:t>今年我院共有7位毕业生经过报名、体检、政审、役前训练考核等，顺利参军入伍，成为光荣的人民子弟兵。</w:t>
      </w:r>
    </w:p>
    <w:tbl>
      <w:tblPr>
        <w:tblStyle w:val="13"/>
        <w:tblW w:w="8520" w:type="dxa"/>
        <w:tblInd w:w="93" w:type="dxa"/>
        <w:tblLayout w:type="autofit"/>
        <w:tblCellMar>
          <w:top w:w="0" w:type="dxa"/>
          <w:left w:w="108" w:type="dxa"/>
          <w:bottom w:w="0" w:type="dxa"/>
          <w:right w:w="108" w:type="dxa"/>
        </w:tblCellMar>
      </w:tblPr>
      <w:tblGrid>
        <w:gridCol w:w="616"/>
        <w:gridCol w:w="897"/>
        <w:gridCol w:w="2330"/>
        <w:gridCol w:w="4677"/>
      </w:tblGrid>
      <w:tr>
        <w:trPr>
          <w:trHeight w:val="495" w:hRule="atLeast"/>
        </w:trPr>
        <w:tc>
          <w:tcPr>
            <w:tcW w:w="8520" w:type="dxa"/>
            <w:gridSpan w:val="4"/>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宋体" w:hAnsi="宋体" w:cs="Arial"/>
                <w:b/>
                <w:bCs/>
                <w:kern w:val="0"/>
                <w:sz w:val="20"/>
                <w:szCs w:val="20"/>
              </w:rPr>
            </w:pPr>
            <w:r>
              <w:rPr>
                <w:rFonts w:hint="eastAsia" w:ascii="宋体" w:hAnsi="宋体" w:cs="Arial"/>
                <w:b/>
                <w:bCs/>
                <w:kern w:val="0"/>
                <w:sz w:val="20"/>
                <w:szCs w:val="20"/>
              </w:rPr>
              <w:t>人工智能与大数据学院2022年应征入伍人员一览表</w:t>
            </w:r>
          </w:p>
        </w:tc>
      </w:tr>
      <w:tr>
        <w:tblPrEx>
          <w:tblCellMar>
            <w:top w:w="0" w:type="dxa"/>
            <w:left w:w="108" w:type="dxa"/>
            <w:bottom w:w="0" w:type="dxa"/>
            <w:right w:w="108" w:type="dxa"/>
          </w:tblCellMar>
        </w:tblPrEx>
        <w:trPr>
          <w:trHeight w:val="255" w:hRule="atLeast"/>
        </w:trPr>
        <w:tc>
          <w:tcPr>
            <w:tcW w:w="616"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Arial" w:hAnsi="Arial" w:cs="Arial"/>
                <w:b/>
                <w:bCs/>
                <w:kern w:val="0"/>
                <w:sz w:val="20"/>
                <w:szCs w:val="20"/>
              </w:rPr>
            </w:pPr>
            <w:r>
              <w:rPr>
                <w:rFonts w:ascii="Arial" w:hAnsi="Arial" w:cs="Arial"/>
                <w:b/>
                <w:bCs/>
                <w:kern w:val="0"/>
                <w:sz w:val="20"/>
                <w:szCs w:val="20"/>
              </w:rPr>
              <w:t>序号</w:t>
            </w:r>
          </w:p>
        </w:tc>
        <w:tc>
          <w:tcPr>
            <w:tcW w:w="897" w:type="dxa"/>
            <w:tcBorders>
              <w:top w:val="nil"/>
              <w:left w:val="nil"/>
              <w:bottom w:val="single" w:color="auto" w:sz="4" w:space="0"/>
              <w:right w:val="single" w:color="auto" w:sz="4" w:space="0"/>
            </w:tcBorders>
            <w:shd w:val="clear" w:color="auto" w:fill="auto"/>
            <w:noWrap/>
            <w:vAlign w:val="center"/>
          </w:tcPr>
          <w:p>
            <w:pPr>
              <w:widowControl/>
              <w:jc w:val="center"/>
              <w:rPr>
                <w:rFonts w:ascii="Arial" w:hAnsi="Arial" w:cs="Arial"/>
                <w:b/>
                <w:bCs/>
                <w:kern w:val="0"/>
                <w:sz w:val="20"/>
                <w:szCs w:val="20"/>
              </w:rPr>
            </w:pPr>
            <w:r>
              <w:rPr>
                <w:rFonts w:ascii="Arial" w:hAnsi="Arial" w:cs="Arial"/>
                <w:b/>
                <w:bCs/>
                <w:kern w:val="0"/>
                <w:sz w:val="20"/>
                <w:szCs w:val="20"/>
              </w:rPr>
              <w:t>姓名</w:t>
            </w:r>
          </w:p>
        </w:tc>
        <w:tc>
          <w:tcPr>
            <w:tcW w:w="2330" w:type="dxa"/>
            <w:tcBorders>
              <w:top w:val="nil"/>
              <w:left w:val="nil"/>
              <w:bottom w:val="single" w:color="auto" w:sz="4" w:space="0"/>
              <w:right w:val="single" w:color="auto" w:sz="4" w:space="0"/>
            </w:tcBorders>
            <w:shd w:val="clear" w:color="auto" w:fill="auto"/>
            <w:noWrap/>
            <w:vAlign w:val="center"/>
          </w:tcPr>
          <w:p>
            <w:pPr>
              <w:widowControl/>
              <w:jc w:val="center"/>
              <w:rPr>
                <w:rFonts w:ascii="Arial" w:hAnsi="Arial" w:cs="Arial"/>
                <w:b/>
                <w:bCs/>
                <w:kern w:val="0"/>
                <w:sz w:val="20"/>
                <w:szCs w:val="20"/>
              </w:rPr>
            </w:pPr>
            <w:r>
              <w:rPr>
                <w:rFonts w:ascii="Arial" w:hAnsi="Arial" w:cs="Arial"/>
                <w:b/>
                <w:bCs/>
                <w:kern w:val="0"/>
                <w:sz w:val="20"/>
                <w:szCs w:val="20"/>
              </w:rPr>
              <w:t>专业名称</w:t>
            </w:r>
          </w:p>
        </w:tc>
        <w:tc>
          <w:tcPr>
            <w:tcW w:w="4677" w:type="dxa"/>
            <w:tcBorders>
              <w:top w:val="nil"/>
              <w:left w:val="nil"/>
              <w:bottom w:val="single" w:color="auto" w:sz="4" w:space="0"/>
              <w:right w:val="single" w:color="auto" w:sz="4" w:space="0"/>
            </w:tcBorders>
            <w:shd w:val="clear" w:color="auto" w:fill="auto"/>
            <w:noWrap/>
            <w:vAlign w:val="center"/>
          </w:tcPr>
          <w:p>
            <w:pPr>
              <w:widowControl/>
              <w:jc w:val="center"/>
              <w:rPr>
                <w:rFonts w:ascii="Arial" w:hAnsi="Arial" w:cs="Arial"/>
                <w:b/>
                <w:bCs/>
                <w:kern w:val="0"/>
                <w:sz w:val="20"/>
                <w:szCs w:val="20"/>
              </w:rPr>
            </w:pPr>
            <w:r>
              <w:rPr>
                <w:rFonts w:ascii="Arial" w:hAnsi="Arial" w:cs="Arial"/>
                <w:b/>
                <w:bCs/>
                <w:kern w:val="0"/>
                <w:sz w:val="20"/>
                <w:szCs w:val="20"/>
              </w:rPr>
              <w:t>应征地</w:t>
            </w:r>
          </w:p>
        </w:tc>
      </w:tr>
      <w:tr>
        <w:tblPrEx>
          <w:tblCellMar>
            <w:top w:w="0" w:type="dxa"/>
            <w:left w:w="108" w:type="dxa"/>
            <w:bottom w:w="0" w:type="dxa"/>
            <w:right w:w="108" w:type="dxa"/>
          </w:tblCellMar>
        </w:tblPrEx>
        <w:trPr>
          <w:trHeight w:val="255" w:hRule="atLeast"/>
        </w:trPr>
        <w:tc>
          <w:tcPr>
            <w:tcW w:w="616"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Arial" w:hAnsi="Arial" w:cs="Arial"/>
                <w:kern w:val="0"/>
                <w:sz w:val="20"/>
                <w:szCs w:val="20"/>
              </w:rPr>
            </w:pPr>
            <w:r>
              <w:rPr>
                <w:rFonts w:ascii="Arial" w:hAnsi="Arial" w:cs="Arial"/>
                <w:kern w:val="0"/>
                <w:sz w:val="20"/>
                <w:szCs w:val="20"/>
              </w:rPr>
              <w:t>1</w:t>
            </w:r>
          </w:p>
        </w:tc>
        <w:tc>
          <w:tcPr>
            <w:tcW w:w="897" w:type="dxa"/>
            <w:tcBorders>
              <w:top w:val="nil"/>
              <w:left w:val="nil"/>
              <w:bottom w:val="single" w:color="auto" w:sz="4" w:space="0"/>
              <w:right w:val="single" w:color="auto" w:sz="4" w:space="0"/>
            </w:tcBorders>
            <w:shd w:val="clear" w:color="auto" w:fill="auto"/>
            <w:noWrap/>
            <w:vAlign w:val="center"/>
          </w:tcPr>
          <w:p>
            <w:pPr>
              <w:widowControl/>
              <w:jc w:val="center"/>
              <w:rPr>
                <w:rFonts w:ascii="Arial" w:hAnsi="Arial" w:cs="Arial"/>
                <w:kern w:val="0"/>
                <w:sz w:val="20"/>
                <w:szCs w:val="20"/>
              </w:rPr>
            </w:pPr>
            <w:r>
              <w:rPr>
                <w:rFonts w:ascii="Arial" w:hAnsi="Arial" w:cs="Arial"/>
                <w:kern w:val="0"/>
                <w:sz w:val="20"/>
                <w:szCs w:val="20"/>
              </w:rPr>
              <w:t>杨升起</w:t>
            </w:r>
          </w:p>
        </w:tc>
        <w:tc>
          <w:tcPr>
            <w:tcW w:w="2330" w:type="dxa"/>
            <w:tcBorders>
              <w:top w:val="nil"/>
              <w:left w:val="nil"/>
              <w:bottom w:val="single" w:color="auto" w:sz="4" w:space="0"/>
              <w:right w:val="single" w:color="auto" w:sz="4" w:space="0"/>
            </w:tcBorders>
            <w:shd w:val="clear" w:color="auto" w:fill="auto"/>
            <w:noWrap/>
            <w:vAlign w:val="center"/>
          </w:tcPr>
          <w:p>
            <w:pPr>
              <w:widowControl/>
              <w:jc w:val="center"/>
              <w:rPr>
                <w:rFonts w:ascii="Arial" w:hAnsi="Arial" w:cs="Arial"/>
                <w:kern w:val="0"/>
                <w:sz w:val="20"/>
                <w:szCs w:val="20"/>
              </w:rPr>
            </w:pPr>
            <w:r>
              <w:rPr>
                <w:rFonts w:ascii="Arial" w:hAnsi="Arial" w:cs="Arial"/>
                <w:kern w:val="0"/>
                <w:sz w:val="20"/>
                <w:szCs w:val="20"/>
              </w:rPr>
              <w:t>信息管理与信息系统</w:t>
            </w:r>
          </w:p>
        </w:tc>
        <w:tc>
          <w:tcPr>
            <w:tcW w:w="4677" w:type="dxa"/>
            <w:tcBorders>
              <w:top w:val="nil"/>
              <w:left w:val="nil"/>
              <w:bottom w:val="single" w:color="auto" w:sz="4" w:space="0"/>
              <w:right w:val="single" w:color="auto" w:sz="4" w:space="0"/>
            </w:tcBorders>
            <w:shd w:val="clear" w:color="auto" w:fill="auto"/>
            <w:noWrap/>
            <w:vAlign w:val="center"/>
          </w:tcPr>
          <w:p>
            <w:pPr>
              <w:widowControl/>
              <w:jc w:val="center"/>
              <w:rPr>
                <w:rFonts w:ascii="Arial" w:hAnsi="Arial" w:cs="Arial"/>
                <w:kern w:val="0"/>
                <w:sz w:val="20"/>
                <w:szCs w:val="20"/>
              </w:rPr>
            </w:pPr>
            <w:r>
              <w:rPr>
                <w:rFonts w:ascii="Arial" w:hAnsi="Arial" w:cs="Arial"/>
                <w:kern w:val="0"/>
                <w:sz w:val="20"/>
                <w:szCs w:val="20"/>
              </w:rPr>
              <w:t>安徽|阜阳|颍州区|阜阳市颍州区京九街道办事处</w:t>
            </w:r>
          </w:p>
        </w:tc>
      </w:tr>
      <w:tr>
        <w:tblPrEx>
          <w:tblCellMar>
            <w:top w:w="0" w:type="dxa"/>
            <w:left w:w="108" w:type="dxa"/>
            <w:bottom w:w="0" w:type="dxa"/>
            <w:right w:w="108" w:type="dxa"/>
          </w:tblCellMar>
        </w:tblPrEx>
        <w:trPr>
          <w:trHeight w:val="255" w:hRule="atLeast"/>
        </w:trPr>
        <w:tc>
          <w:tcPr>
            <w:tcW w:w="616"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Arial" w:hAnsi="Arial" w:cs="Arial"/>
                <w:kern w:val="0"/>
                <w:sz w:val="20"/>
                <w:szCs w:val="20"/>
              </w:rPr>
            </w:pPr>
            <w:r>
              <w:rPr>
                <w:rFonts w:ascii="Arial" w:hAnsi="Arial" w:cs="Arial"/>
                <w:kern w:val="0"/>
                <w:sz w:val="20"/>
                <w:szCs w:val="20"/>
              </w:rPr>
              <w:t>2</w:t>
            </w:r>
          </w:p>
        </w:tc>
        <w:tc>
          <w:tcPr>
            <w:tcW w:w="897" w:type="dxa"/>
            <w:tcBorders>
              <w:top w:val="nil"/>
              <w:left w:val="nil"/>
              <w:bottom w:val="single" w:color="auto" w:sz="4" w:space="0"/>
              <w:right w:val="single" w:color="auto" w:sz="4" w:space="0"/>
            </w:tcBorders>
            <w:shd w:val="clear" w:color="auto" w:fill="auto"/>
            <w:noWrap/>
            <w:vAlign w:val="center"/>
          </w:tcPr>
          <w:p>
            <w:pPr>
              <w:widowControl/>
              <w:jc w:val="center"/>
              <w:rPr>
                <w:rFonts w:ascii="Arial" w:hAnsi="Arial" w:cs="Arial"/>
                <w:kern w:val="0"/>
                <w:sz w:val="20"/>
                <w:szCs w:val="20"/>
              </w:rPr>
            </w:pPr>
            <w:r>
              <w:rPr>
                <w:rFonts w:ascii="Arial" w:hAnsi="Arial" w:cs="Arial"/>
                <w:kern w:val="0"/>
                <w:sz w:val="20"/>
                <w:szCs w:val="20"/>
              </w:rPr>
              <w:t>严生龙</w:t>
            </w:r>
          </w:p>
        </w:tc>
        <w:tc>
          <w:tcPr>
            <w:tcW w:w="2330" w:type="dxa"/>
            <w:tcBorders>
              <w:top w:val="nil"/>
              <w:left w:val="nil"/>
              <w:bottom w:val="single" w:color="auto" w:sz="4" w:space="0"/>
              <w:right w:val="single" w:color="auto" w:sz="4" w:space="0"/>
            </w:tcBorders>
            <w:shd w:val="clear" w:color="auto" w:fill="auto"/>
            <w:noWrap/>
            <w:vAlign w:val="center"/>
          </w:tcPr>
          <w:p>
            <w:pPr>
              <w:widowControl/>
              <w:jc w:val="center"/>
              <w:rPr>
                <w:rFonts w:ascii="Arial" w:hAnsi="Arial" w:cs="Arial"/>
                <w:kern w:val="0"/>
                <w:sz w:val="20"/>
                <w:szCs w:val="20"/>
              </w:rPr>
            </w:pPr>
            <w:r>
              <w:rPr>
                <w:rFonts w:ascii="Arial" w:hAnsi="Arial" w:cs="Arial"/>
                <w:kern w:val="0"/>
                <w:sz w:val="20"/>
                <w:szCs w:val="20"/>
              </w:rPr>
              <w:t>信息管理与信息系统</w:t>
            </w:r>
          </w:p>
        </w:tc>
        <w:tc>
          <w:tcPr>
            <w:tcW w:w="4677" w:type="dxa"/>
            <w:tcBorders>
              <w:top w:val="nil"/>
              <w:left w:val="nil"/>
              <w:bottom w:val="single" w:color="auto" w:sz="4" w:space="0"/>
              <w:right w:val="single" w:color="auto" w:sz="4" w:space="0"/>
            </w:tcBorders>
            <w:shd w:val="clear" w:color="auto" w:fill="auto"/>
            <w:noWrap/>
            <w:vAlign w:val="center"/>
          </w:tcPr>
          <w:p>
            <w:pPr>
              <w:widowControl/>
              <w:jc w:val="center"/>
              <w:rPr>
                <w:rFonts w:ascii="Arial" w:hAnsi="Arial" w:cs="Arial"/>
                <w:kern w:val="0"/>
                <w:sz w:val="20"/>
                <w:szCs w:val="20"/>
              </w:rPr>
            </w:pPr>
            <w:r>
              <w:rPr>
                <w:rFonts w:ascii="Arial" w:hAnsi="Arial" w:cs="Arial"/>
                <w:kern w:val="0"/>
                <w:sz w:val="20"/>
                <w:szCs w:val="20"/>
              </w:rPr>
              <w:t>安徽|宣城|广德市|桃州镇</w:t>
            </w:r>
          </w:p>
        </w:tc>
      </w:tr>
      <w:tr>
        <w:tblPrEx>
          <w:tblCellMar>
            <w:top w:w="0" w:type="dxa"/>
            <w:left w:w="108" w:type="dxa"/>
            <w:bottom w:w="0" w:type="dxa"/>
            <w:right w:w="108" w:type="dxa"/>
          </w:tblCellMar>
        </w:tblPrEx>
        <w:trPr>
          <w:trHeight w:val="255" w:hRule="atLeast"/>
        </w:trPr>
        <w:tc>
          <w:tcPr>
            <w:tcW w:w="616"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Arial" w:hAnsi="Arial" w:cs="Arial"/>
                <w:kern w:val="0"/>
                <w:sz w:val="20"/>
                <w:szCs w:val="20"/>
              </w:rPr>
            </w:pPr>
            <w:r>
              <w:rPr>
                <w:rFonts w:ascii="Arial" w:hAnsi="Arial" w:cs="Arial"/>
                <w:kern w:val="0"/>
                <w:sz w:val="20"/>
                <w:szCs w:val="20"/>
              </w:rPr>
              <w:t>4</w:t>
            </w:r>
          </w:p>
        </w:tc>
        <w:tc>
          <w:tcPr>
            <w:tcW w:w="897" w:type="dxa"/>
            <w:tcBorders>
              <w:top w:val="nil"/>
              <w:left w:val="nil"/>
              <w:bottom w:val="single" w:color="auto" w:sz="4" w:space="0"/>
              <w:right w:val="single" w:color="auto" w:sz="4" w:space="0"/>
            </w:tcBorders>
            <w:shd w:val="clear" w:color="auto" w:fill="auto"/>
            <w:noWrap/>
            <w:vAlign w:val="center"/>
          </w:tcPr>
          <w:p>
            <w:pPr>
              <w:widowControl/>
              <w:jc w:val="center"/>
              <w:rPr>
                <w:rFonts w:ascii="Arial" w:hAnsi="Arial" w:cs="Arial"/>
                <w:kern w:val="0"/>
                <w:sz w:val="20"/>
                <w:szCs w:val="20"/>
              </w:rPr>
            </w:pPr>
            <w:r>
              <w:rPr>
                <w:rFonts w:ascii="Arial" w:hAnsi="Arial" w:cs="Arial"/>
                <w:kern w:val="0"/>
                <w:sz w:val="20"/>
                <w:szCs w:val="20"/>
              </w:rPr>
              <w:t>阮邵旭</w:t>
            </w:r>
          </w:p>
        </w:tc>
        <w:tc>
          <w:tcPr>
            <w:tcW w:w="2330" w:type="dxa"/>
            <w:tcBorders>
              <w:top w:val="nil"/>
              <w:left w:val="nil"/>
              <w:bottom w:val="single" w:color="auto" w:sz="4" w:space="0"/>
              <w:right w:val="single" w:color="auto" w:sz="4" w:space="0"/>
            </w:tcBorders>
            <w:shd w:val="clear" w:color="auto" w:fill="auto"/>
            <w:noWrap/>
            <w:vAlign w:val="center"/>
          </w:tcPr>
          <w:p>
            <w:pPr>
              <w:widowControl/>
              <w:jc w:val="center"/>
              <w:rPr>
                <w:rFonts w:ascii="Arial" w:hAnsi="Arial" w:cs="Arial"/>
                <w:kern w:val="0"/>
                <w:sz w:val="20"/>
                <w:szCs w:val="20"/>
              </w:rPr>
            </w:pPr>
            <w:r>
              <w:rPr>
                <w:rFonts w:ascii="Arial" w:hAnsi="Arial" w:cs="Arial"/>
                <w:kern w:val="0"/>
                <w:sz w:val="20"/>
                <w:szCs w:val="20"/>
              </w:rPr>
              <w:t>软件工程</w:t>
            </w:r>
          </w:p>
        </w:tc>
        <w:tc>
          <w:tcPr>
            <w:tcW w:w="4677" w:type="dxa"/>
            <w:tcBorders>
              <w:top w:val="nil"/>
              <w:left w:val="nil"/>
              <w:bottom w:val="single" w:color="auto" w:sz="4" w:space="0"/>
              <w:right w:val="single" w:color="auto" w:sz="4" w:space="0"/>
            </w:tcBorders>
            <w:shd w:val="clear" w:color="auto" w:fill="auto"/>
            <w:noWrap/>
            <w:vAlign w:val="center"/>
          </w:tcPr>
          <w:p>
            <w:pPr>
              <w:widowControl/>
              <w:jc w:val="center"/>
              <w:rPr>
                <w:rFonts w:ascii="Arial" w:hAnsi="Arial" w:cs="Arial"/>
                <w:kern w:val="0"/>
                <w:sz w:val="20"/>
                <w:szCs w:val="20"/>
              </w:rPr>
            </w:pPr>
            <w:r>
              <w:rPr>
                <w:rFonts w:ascii="Arial" w:hAnsi="Arial" w:cs="Arial"/>
                <w:kern w:val="0"/>
                <w:sz w:val="20"/>
                <w:szCs w:val="20"/>
              </w:rPr>
              <w:t>安徽|合肥|长丰县|安徽省长丰县水湖镇</w:t>
            </w:r>
          </w:p>
        </w:tc>
      </w:tr>
      <w:tr>
        <w:tblPrEx>
          <w:tblCellMar>
            <w:top w:w="0" w:type="dxa"/>
            <w:left w:w="108" w:type="dxa"/>
            <w:bottom w:w="0" w:type="dxa"/>
            <w:right w:w="108" w:type="dxa"/>
          </w:tblCellMar>
        </w:tblPrEx>
        <w:trPr>
          <w:trHeight w:val="255" w:hRule="atLeast"/>
        </w:trPr>
        <w:tc>
          <w:tcPr>
            <w:tcW w:w="616"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Arial" w:hAnsi="Arial" w:cs="Arial"/>
                <w:kern w:val="0"/>
                <w:sz w:val="20"/>
                <w:szCs w:val="20"/>
              </w:rPr>
            </w:pPr>
            <w:r>
              <w:rPr>
                <w:rFonts w:ascii="Arial" w:hAnsi="Arial" w:cs="Arial"/>
                <w:kern w:val="0"/>
                <w:sz w:val="20"/>
                <w:szCs w:val="20"/>
              </w:rPr>
              <w:t>5</w:t>
            </w:r>
          </w:p>
        </w:tc>
        <w:tc>
          <w:tcPr>
            <w:tcW w:w="897" w:type="dxa"/>
            <w:tcBorders>
              <w:top w:val="nil"/>
              <w:left w:val="nil"/>
              <w:bottom w:val="single" w:color="auto" w:sz="4" w:space="0"/>
              <w:right w:val="single" w:color="auto" w:sz="4" w:space="0"/>
            </w:tcBorders>
            <w:shd w:val="clear" w:color="auto" w:fill="auto"/>
            <w:noWrap/>
            <w:vAlign w:val="center"/>
          </w:tcPr>
          <w:p>
            <w:pPr>
              <w:widowControl/>
              <w:jc w:val="center"/>
              <w:rPr>
                <w:rFonts w:ascii="Arial" w:hAnsi="Arial" w:cs="Arial"/>
                <w:kern w:val="0"/>
                <w:sz w:val="20"/>
                <w:szCs w:val="20"/>
              </w:rPr>
            </w:pPr>
            <w:r>
              <w:rPr>
                <w:rFonts w:ascii="Arial" w:hAnsi="Arial" w:cs="Arial"/>
                <w:kern w:val="0"/>
                <w:sz w:val="20"/>
                <w:szCs w:val="20"/>
              </w:rPr>
              <w:t>张志硕</w:t>
            </w:r>
          </w:p>
        </w:tc>
        <w:tc>
          <w:tcPr>
            <w:tcW w:w="2330" w:type="dxa"/>
            <w:tcBorders>
              <w:top w:val="nil"/>
              <w:left w:val="nil"/>
              <w:bottom w:val="single" w:color="auto" w:sz="4" w:space="0"/>
              <w:right w:val="single" w:color="auto" w:sz="4" w:space="0"/>
            </w:tcBorders>
            <w:shd w:val="clear" w:color="auto" w:fill="auto"/>
            <w:noWrap/>
            <w:vAlign w:val="center"/>
          </w:tcPr>
          <w:p>
            <w:pPr>
              <w:widowControl/>
              <w:jc w:val="center"/>
              <w:rPr>
                <w:rFonts w:ascii="Arial" w:hAnsi="Arial" w:cs="Arial"/>
                <w:kern w:val="0"/>
                <w:sz w:val="20"/>
                <w:szCs w:val="20"/>
              </w:rPr>
            </w:pPr>
            <w:r>
              <w:rPr>
                <w:rFonts w:ascii="Arial" w:hAnsi="Arial" w:cs="Arial"/>
                <w:kern w:val="0"/>
                <w:sz w:val="20"/>
                <w:szCs w:val="20"/>
              </w:rPr>
              <w:t>网络工程</w:t>
            </w:r>
          </w:p>
        </w:tc>
        <w:tc>
          <w:tcPr>
            <w:tcW w:w="4677" w:type="dxa"/>
            <w:tcBorders>
              <w:top w:val="nil"/>
              <w:left w:val="nil"/>
              <w:bottom w:val="single" w:color="auto" w:sz="4" w:space="0"/>
              <w:right w:val="single" w:color="auto" w:sz="4" w:space="0"/>
            </w:tcBorders>
            <w:shd w:val="clear" w:color="auto" w:fill="auto"/>
            <w:noWrap/>
            <w:vAlign w:val="center"/>
          </w:tcPr>
          <w:p>
            <w:pPr>
              <w:widowControl/>
              <w:jc w:val="center"/>
              <w:rPr>
                <w:rFonts w:ascii="Arial" w:hAnsi="Arial" w:cs="Arial"/>
                <w:kern w:val="0"/>
                <w:sz w:val="20"/>
                <w:szCs w:val="20"/>
              </w:rPr>
            </w:pPr>
            <w:r>
              <w:rPr>
                <w:rFonts w:ascii="Arial" w:hAnsi="Arial" w:cs="Arial"/>
                <w:kern w:val="0"/>
                <w:sz w:val="20"/>
                <w:szCs w:val="20"/>
              </w:rPr>
              <w:t>安徽|安庆|桐城市|唐湾镇</w:t>
            </w:r>
          </w:p>
        </w:tc>
      </w:tr>
      <w:tr>
        <w:tblPrEx>
          <w:tblCellMar>
            <w:top w:w="0" w:type="dxa"/>
            <w:left w:w="108" w:type="dxa"/>
            <w:bottom w:w="0" w:type="dxa"/>
            <w:right w:w="108" w:type="dxa"/>
          </w:tblCellMar>
        </w:tblPrEx>
        <w:trPr>
          <w:trHeight w:val="255" w:hRule="atLeast"/>
        </w:trPr>
        <w:tc>
          <w:tcPr>
            <w:tcW w:w="616"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Arial" w:hAnsi="Arial" w:cs="Arial"/>
                <w:kern w:val="0"/>
                <w:sz w:val="20"/>
                <w:szCs w:val="20"/>
              </w:rPr>
            </w:pPr>
            <w:r>
              <w:rPr>
                <w:rFonts w:ascii="Arial" w:hAnsi="Arial" w:cs="Arial"/>
                <w:kern w:val="0"/>
                <w:sz w:val="20"/>
                <w:szCs w:val="20"/>
              </w:rPr>
              <w:t>6</w:t>
            </w:r>
          </w:p>
        </w:tc>
        <w:tc>
          <w:tcPr>
            <w:tcW w:w="897" w:type="dxa"/>
            <w:tcBorders>
              <w:top w:val="nil"/>
              <w:left w:val="nil"/>
              <w:bottom w:val="single" w:color="auto" w:sz="4" w:space="0"/>
              <w:right w:val="single" w:color="auto" w:sz="4" w:space="0"/>
            </w:tcBorders>
            <w:shd w:val="clear" w:color="auto" w:fill="auto"/>
            <w:noWrap/>
            <w:vAlign w:val="center"/>
          </w:tcPr>
          <w:p>
            <w:pPr>
              <w:widowControl/>
              <w:jc w:val="center"/>
              <w:rPr>
                <w:rFonts w:ascii="Arial" w:hAnsi="Arial" w:cs="Arial"/>
                <w:kern w:val="0"/>
                <w:sz w:val="20"/>
                <w:szCs w:val="20"/>
              </w:rPr>
            </w:pPr>
            <w:r>
              <w:rPr>
                <w:rFonts w:ascii="Arial" w:hAnsi="Arial" w:cs="Arial"/>
                <w:kern w:val="0"/>
                <w:sz w:val="20"/>
                <w:szCs w:val="20"/>
              </w:rPr>
              <w:t>赵永宁</w:t>
            </w:r>
          </w:p>
        </w:tc>
        <w:tc>
          <w:tcPr>
            <w:tcW w:w="2330" w:type="dxa"/>
            <w:tcBorders>
              <w:top w:val="nil"/>
              <w:left w:val="nil"/>
              <w:bottom w:val="single" w:color="auto" w:sz="4" w:space="0"/>
              <w:right w:val="single" w:color="auto" w:sz="4" w:space="0"/>
            </w:tcBorders>
            <w:shd w:val="clear" w:color="auto" w:fill="auto"/>
            <w:noWrap/>
            <w:vAlign w:val="center"/>
          </w:tcPr>
          <w:p>
            <w:pPr>
              <w:widowControl/>
              <w:jc w:val="center"/>
              <w:rPr>
                <w:rFonts w:ascii="Arial" w:hAnsi="Arial" w:cs="Arial"/>
                <w:kern w:val="0"/>
                <w:sz w:val="20"/>
                <w:szCs w:val="20"/>
              </w:rPr>
            </w:pPr>
            <w:r>
              <w:rPr>
                <w:rFonts w:ascii="Arial" w:hAnsi="Arial" w:cs="Arial"/>
                <w:kern w:val="0"/>
                <w:sz w:val="20"/>
                <w:szCs w:val="20"/>
              </w:rPr>
              <w:t>网络工程</w:t>
            </w:r>
          </w:p>
        </w:tc>
        <w:tc>
          <w:tcPr>
            <w:tcW w:w="4677" w:type="dxa"/>
            <w:tcBorders>
              <w:top w:val="nil"/>
              <w:left w:val="nil"/>
              <w:bottom w:val="single" w:color="auto" w:sz="4" w:space="0"/>
              <w:right w:val="single" w:color="auto" w:sz="4" w:space="0"/>
            </w:tcBorders>
            <w:shd w:val="clear" w:color="auto" w:fill="auto"/>
            <w:noWrap/>
            <w:vAlign w:val="center"/>
          </w:tcPr>
          <w:p>
            <w:pPr>
              <w:widowControl/>
              <w:jc w:val="center"/>
              <w:rPr>
                <w:rFonts w:ascii="Arial" w:hAnsi="Arial" w:cs="Arial"/>
                <w:kern w:val="0"/>
                <w:sz w:val="20"/>
                <w:szCs w:val="20"/>
              </w:rPr>
            </w:pPr>
            <w:r>
              <w:rPr>
                <w:rFonts w:ascii="Arial" w:hAnsi="Arial" w:cs="Arial"/>
                <w:kern w:val="0"/>
                <w:sz w:val="20"/>
                <w:szCs w:val="20"/>
              </w:rPr>
              <w:t>安徽|滁州|天长市|新街镇</w:t>
            </w:r>
          </w:p>
        </w:tc>
      </w:tr>
      <w:tr>
        <w:tblPrEx>
          <w:tblCellMar>
            <w:top w:w="0" w:type="dxa"/>
            <w:left w:w="108" w:type="dxa"/>
            <w:bottom w:w="0" w:type="dxa"/>
            <w:right w:w="108" w:type="dxa"/>
          </w:tblCellMar>
        </w:tblPrEx>
        <w:trPr>
          <w:trHeight w:val="255" w:hRule="atLeast"/>
        </w:trPr>
        <w:tc>
          <w:tcPr>
            <w:tcW w:w="616"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Arial" w:hAnsi="Arial" w:cs="Arial"/>
                <w:kern w:val="0"/>
                <w:sz w:val="20"/>
                <w:szCs w:val="20"/>
              </w:rPr>
            </w:pPr>
            <w:r>
              <w:rPr>
                <w:rFonts w:ascii="Arial" w:hAnsi="Arial" w:cs="Arial"/>
                <w:kern w:val="0"/>
                <w:sz w:val="20"/>
                <w:szCs w:val="20"/>
              </w:rPr>
              <w:t>7</w:t>
            </w:r>
          </w:p>
        </w:tc>
        <w:tc>
          <w:tcPr>
            <w:tcW w:w="897" w:type="dxa"/>
            <w:tcBorders>
              <w:top w:val="nil"/>
              <w:left w:val="nil"/>
              <w:bottom w:val="single" w:color="auto" w:sz="4" w:space="0"/>
              <w:right w:val="single" w:color="auto" w:sz="4" w:space="0"/>
            </w:tcBorders>
            <w:shd w:val="clear" w:color="auto" w:fill="auto"/>
            <w:noWrap/>
            <w:vAlign w:val="center"/>
          </w:tcPr>
          <w:p>
            <w:pPr>
              <w:widowControl/>
              <w:jc w:val="center"/>
              <w:rPr>
                <w:rFonts w:ascii="Arial" w:hAnsi="Arial" w:cs="Arial"/>
                <w:kern w:val="0"/>
                <w:sz w:val="20"/>
                <w:szCs w:val="20"/>
              </w:rPr>
            </w:pPr>
            <w:r>
              <w:rPr>
                <w:rFonts w:ascii="Arial" w:hAnsi="Arial" w:cs="Arial"/>
                <w:kern w:val="0"/>
                <w:sz w:val="20"/>
                <w:szCs w:val="20"/>
              </w:rPr>
              <w:t>童俊杰</w:t>
            </w:r>
          </w:p>
        </w:tc>
        <w:tc>
          <w:tcPr>
            <w:tcW w:w="2330" w:type="dxa"/>
            <w:tcBorders>
              <w:top w:val="nil"/>
              <w:left w:val="nil"/>
              <w:bottom w:val="single" w:color="auto" w:sz="4" w:space="0"/>
              <w:right w:val="single" w:color="auto" w:sz="4" w:space="0"/>
            </w:tcBorders>
            <w:shd w:val="clear" w:color="auto" w:fill="auto"/>
            <w:noWrap/>
            <w:vAlign w:val="center"/>
          </w:tcPr>
          <w:p>
            <w:pPr>
              <w:widowControl/>
              <w:jc w:val="center"/>
              <w:rPr>
                <w:rFonts w:ascii="Arial" w:hAnsi="Arial" w:cs="Arial"/>
                <w:kern w:val="0"/>
                <w:sz w:val="20"/>
                <w:szCs w:val="20"/>
              </w:rPr>
            </w:pPr>
            <w:r>
              <w:rPr>
                <w:rFonts w:ascii="Arial" w:hAnsi="Arial" w:cs="Arial"/>
                <w:kern w:val="0"/>
                <w:sz w:val="20"/>
                <w:szCs w:val="20"/>
              </w:rPr>
              <w:t>信息与计算科学</w:t>
            </w:r>
          </w:p>
        </w:tc>
        <w:tc>
          <w:tcPr>
            <w:tcW w:w="4677" w:type="dxa"/>
            <w:tcBorders>
              <w:top w:val="nil"/>
              <w:left w:val="nil"/>
              <w:bottom w:val="single" w:color="auto" w:sz="4" w:space="0"/>
              <w:right w:val="single" w:color="auto" w:sz="4" w:space="0"/>
            </w:tcBorders>
            <w:shd w:val="clear" w:color="auto" w:fill="auto"/>
            <w:noWrap/>
            <w:vAlign w:val="center"/>
          </w:tcPr>
          <w:p>
            <w:pPr>
              <w:widowControl/>
              <w:jc w:val="center"/>
              <w:rPr>
                <w:rFonts w:ascii="Arial" w:hAnsi="Arial" w:cs="Arial"/>
                <w:kern w:val="0"/>
                <w:sz w:val="20"/>
                <w:szCs w:val="20"/>
              </w:rPr>
            </w:pPr>
            <w:r>
              <w:rPr>
                <w:rFonts w:ascii="Arial" w:hAnsi="Arial" w:cs="Arial"/>
                <w:kern w:val="0"/>
                <w:sz w:val="20"/>
                <w:szCs w:val="20"/>
              </w:rPr>
              <w:t>安徽|宣城|旌德县|庙首镇</w:t>
            </w:r>
          </w:p>
        </w:tc>
      </w:tr>
      <w:tr>
        <w:tblPrEx>
          <w:tblCellMar>
            <w:top w:w="0" w:type="dxa"/>
            <w:left w:w="108" w:type="dxa"/>
            <w:bottom w:w="0" w:type="dxa"/>
            <w:right w:w="108" w:type="dxa"/>
          </w:tblCellMar>
        </w:tblPrEx>
        <w:trPr>
          <w:trHeight w:val="255" w:hRule="atLeast"/>
        </w:trPr>
        <w:tc>
          <w:tcPr>
            <w:tcW w:w="616"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Arial" w:hAnsi="Arial" w:cs="Arial"/>
                <w:kern w:val="0"/>
                <w:sz w:val="20"/>
                <w:szCs w:val="20"/>
              </w:rPr>
            </w:pPr>
            <w:r>
              <w:rPr>
                <w:rFonts w:ascii="Arial" w:hAnsi="Arial" w:cs="Arial"/>
                <w:kern w:val="0"/>
                <w:sz w:val="20"/>
                <w:szCs w:val="20"/>
              </w:rPr>
              <w:t>8</w:t>
            </w:r>
          </w:p>
        </w:tc>
        <w:tc>
          <w:tcPr>
            <w:tcW w:w="897" w:type="dxa"/>
            <w:tcBorders>
              <w:top w:val="nil"/>
              <w:left w:val="nil"/>
              <w:bottom w:val="single" w:color="auto" w:sz="4" w:space="0"/>
              <w:right w:val="single" w:color="auto" w:sz="4" w:space="0"/>
            </w:tcBorders>
            <w:shd w:val="clear" w:color="auto" w:fill="auto"/>
            <w:noWrap/>
            <w:vAlign w:val="center"/>
          </w:tcPr>
          <w:p>
            <w:pPr>
              <w:widowControl/>
              <w:jc w:val="center"/>
              <w:rPr>
                <w:rFonts w:ascii="Arial" w:hAnsi="Arial" w:cs="Arial"/>
                <w:kern w:val="0"/>
                <w:sz w:val="20"/>
                <w:szCs w:val="20"/>
              </w:rPr>
            </w:pPr>
            <w:r>
              <w:rPr>
                <w:rFonts w:ascii="Arial" w:hAnsi="Arial" w:cs="Arial"/>
                <w:kern w:val="0"/>
                <w:sz w:val="20"/>
                <w:szCs w:val="20"/>
              </w:rPr>
              <w:t>潘江浩</w:t>
            </w:r>
          </w:p>
        </w:tc>
        <w:tc>
          <w:tcPr>
            <w:tcW w:w="2330" w:type="dxa"/>
            <w:tcBorders>
              <w:top w:val="nil"/>
              <w:left w:val="nil"/>
              <w:bottom w:val="single" w:color="auto" w:sz="4" w:space="0"/>
              <w:right w:val="single" w:color="auto" w:sz="4" w:space="0"/>
            </w:tcBorders>
            <w:shd w:val="clear" w:color="auto" w:fill="auto"/>
            <w:noWrap/>
            <w:vAlign w:val="center"/>
          </w:tcPr>
          <w:p>
            <w:pPr>
              <w:widowControl/>
              <w:jc w:val="center"/>
              <w:rPr>
                <w:rFonts w:ascii="Arial" w:hAnsi="Arial" w:cs="Arial"/>
                <w:kern w:val="0"/>
                <w:sz w:val="20"/>
                <w:szCs w:val="20"/>
              </w:rPr>
            </w:pPr>
            <w:r>
              <w:rPr>
                <w:rFonts w:ascii="Arial" w:hAnsi="Arial" w:cs="Arial"/>
                <w:kern w:val="0"/>
                <w:sz w:val="20"/>
                <w:szCs w:val="20"/>
              </w:rPr>
              <w:t>信息与计算科学</w:t>
            </w:r>
          </w:p>
        </w:tc>
        <w:tc>
          <w:tcPr>
            <w:tcW w:w="4677" w:type="dxa"/>
            <w:tcBorders>
              <w:top w:val="nil"/>
              <w:left w:val="nil"/>
              <w:bottom w:val="single" w:color="auto" w:sz="4" w:space="0"/>
              <w:right w:val="single" w:color="auto" w:sz="4" w:space="0"/>
            </w:tcBorders>
            <w:shd w:val="clear" w:color="auto" w:fill="auto"/>
            <w:noWrap/>
            <w:vAlign w:val="center"/>
          </w:tcPr>
          <w:p>
            <w:pPr>
              <w:widowControl/>
              <w:jc w:val="center"/>
              <w:rPr>
                <w:rFonts w:ascii="Arial" w:hAnsi="Arial" w:cs="Arial"/>
                <w:kern w:val="0"/>
                <w:sz w:val="20"/>
                <w:szCs w:val="20"/>
              </w:rPr>
            </w:pPr>
            <w:r>
              <w:rPr>
                <w:rFonts w:ascii="Arial" w:hAnsi="Arial" w:cs="Arial"/>
                <w:kern w:val="0"/>
                <w:sz w:val="20"/>
                <w:szCs w:val="20"/>
              </w:rPr>
              <w:t>安徽|合肥|蜀山区|合肥学院</w:t>
            </w:r>
          </w:p>
        </w:tc>
      </w:tr>
    </w:tbl>
    <w:p>
      <w:pPr>
        <w:spacing w:line="360" w:lineRule="auto"/>
        <w:ind w:firstLine="241" w:firstLineChars="100"/>
        <w:rPr>
          <w:rFonts w:asciiTheme="minorEastAsia" w:hAnsiTheme="minorEastAsia" w:eastAsiaTheme="minorEastAsia" w:cstheme="minorEastAsia"/>
          <w:b/>
          <w:bCs/>
          <w:color w:val="000000" w:themeColor="text1"/>
          <w:sz w:val="24"/>
          <w14:textFill>
            <w14:solidFill>
              <w14:schemeClr w14:val="tx1"/>
            </w14:solidFill>
          </w14:textFill>
        </w:rPr>
      </w:pPr>
      <w:r>
        <w:rPr>
          <w:rFonts w:hint="eastAsia" w:asciiTheme="minorEastAsia" w:hAnsiTheme="minorEastAsia" w:eastAsiaTheme="minorEastAsia" w:cstheme="minorEastAsia"/>
          <w:b/>
          <w:bCs/>
          <w:color w:val="000000" w:themeColor="text1"/>
          <w:sz w:val="24"/>
          <w14:textFill>
            <w14:solidFill>
              <w14:schemeClr w14:val="tx1"/>
            </w14:solidFill>
          </w14:textFill>
        </w:rPr>
        <w:t>八、人工智能与大数据学院毕业生创业情况及典型案例</w:t>
      </w:r>
    </w:p>
    <w:p>
      <w:pPr>
        <w:spacing w:line="360" w:lineRule="auto"/>
        <w:ind w:firstLine="480" w:firstLineChars="200"/>
        <w:rPr>
          <w:rFonts w:asciiTheme="minorEastAsia" w:hAnsiTheme="minorEastAsia" w:eastAsiaTheme="minorEastAsia" w:cstheme="minorEastAsia"/>
          <w:sz w:val="24"/>
        </w:rPr>
      </w:pPr>
      <w:r>
        <w:rPr>
          <w:rFonts w:hint="eastAsia" w:asciiTheme="minorEastAsia" w:hAnsiTheme="minorEastAsia" w:eastAsiaTheme="minorEastAsia" w:cstheme="minorEastAsia"/>
          <w:sz w:val="24"/>
        </w:rPr>
        <w:t>习近平总书记曾勉励当代学生，学生将成为实现中华民族伟大复兴的亲历者和见证者，生逢其时、重任在肩、大有可为，应充分展现新时代创新创业生力军的昂扬风貌，青春领航振兴中华。我院也深刻贯彻这一政策和习近平总书记的讲话，加大鼓励对学生创新创业的想法，</w:t>
      </w:r>
      <w:r>
        <w:rPr>
          <w:rFonts w:hint="eastAsia" w:ascii="宋体" w:hAnsi="宋体" w:cs="宋体"/>
          <w:sz w:val="24"/>
        </w:rPr>
        <w:t>2021年9</w:t>
      </w:r>
      <w:r>
        <w:rPr>
          <w:rFonts w:hint="eastAsia" w:asciiTheme="minorEastAsia" w:hAnsiTheme="minorEastAsia" w:eastAsiaTheme="minorEastAsia" w:cstheme="minorEastAsia"/>
          <w:sz w:val="24"/>
        </w:rPr>
        <w:t>月在我院就业动员会上各辅导员老师对学生创业做了专题讲座，并邀请前几届拥有创业经历毕业生分享心路历程，让学生更有勇气，更有动力，更有信心，更有目标去完成创业的梦想。</w:t>
      </w:r>
    </w:p>
    <w:p>
      <w:pPr>
        <w:spacing w:line="360" w:lineRule="auto"/>
        <w:ind w:firstLine="480" w:firstLineChars="200"/>
        <w:rPr>
          <w:rFonts w:asciiTheme="minorEastAsia" w:hAnsiTheme="minorEastAsia" w:eastAsiaTheme="minorEastAsia" w:cstheme="minorEastAsia"/>
          <w:color w:val="000000" w:themeColor="text1"/>
          <w:sz w:val="24"/>
          <w14:textFill>
            <w14:solidFill>
              <w14:schemeClr w14:val="tx1"/>
            </w14:solidFill>
          </w14:textFill>
        </w:rPr>
      </w:pPr>
      <w:r>
        <w:rPr>
          <w:rFonts w:hint="eastAsia" w:asciiTheme="minorEastAsia" w:hAnsiTheme="minorEastAsia" w:eastAsiaTheme="minorEastAsia" w:cstheme="minorEastAsia"/>
          <w:color w:val="000000" w:themeColor="text1"/>
          <w:sz w:val="24"/>
          <w14:textFill>
            <w14:solidFill>
              <w14:schemeClr w14:val="tx1"/>
            </w14:solidFill>
          </w14:textFill>
        </w:rPr>
        <w:t>人工智能与大数据学院高度重视学生创新创业能力培养，多年来学院学生在挑战杯、互联网+等比赛中，获奖较多。基于学院浓厚的创新创业氛围，学院涌现出了多位应届创业毕业生，仅2022届毕业生中就有2位学生创业成功。</w:t>
      </w:r>
    </w:p>
    <w:p>
      <w:pPr>
        <w:spacing w:line="360" w:lineRule="auto"/>
        <w:ind w:firstLine="480" w:firstLineChars="200"/>
        <w:rPr>
          <w:rFonts w:asciiTheme="minorEastAsia" w:hAnsiTheme="minorEastAsia" w:eastAsiaTheme="minorEastAsia" w:cstheme="minorEastAsia"/>
          <w:color w:val="000000" w:themeColor="text1"/>
          <w:sz w:val="24"/>
          <w14:textFill>
            <w14:solidFill>
              <w14:schemeClr w14:val="tx1"/>
            </w14:solidFill>
          </w14:textFill>
        </w:rPr>
      </w:pPr>
      <w:r>
        <w:rPr>
          <w:rFonts w:hint="eastAsia" w:asciiTheme="minorEastAsia" w:hAnsiTheme="minorEastAsia" w:eastAsiaTheme="minorEastAsia" w:cstheme="minorEastAsia"/>
          <w:color w:val="000000" w:themeColor="text1"/>
          <w:sz w:val="24"/>
          <w14:textFill>
            <w14:solidFill>
              <w14:schemeClr w14:val="tx1"/>
            </w14:solidFill>
          </w14:textFill>
        </w:rPr>
        <w:t>【创业典型一】</w:t>
      </w:r>
    </w:p>
    <w:p>
      <w:pPr>
        <w:spacing w:line="360" w:lineRule="auto"/>
        <w:ind w:firstLine="480" w:firstLineChars="200"/>
        <w:rPr>
          <w:rFonts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人工智能与大数据学院</w:t>
      </w:r>
      <w:r>
        <w:rPr>
          <w:rFonts w:ascii="宋体" w:hAnsi="宋体" w:cs="宋体"/>
          <w:color w:val="000000" w:themeColor="text1"/>
          <w:sz w:val="24"/>
          <w14:textFill>
            <w14:solidFill>
              <w14:schemeClr w14:val="tx1"/>
            </w14:solidFill>
          </w14:textFill>
        </w:rPr>
        <w:t>2018</w:t>
      </w:r>
      <w:r>
        <w:rPr>
          <w:rFonts w:hint="eastAsia" w:ascii="宋体" w:hAnsi="宋体" w:cs="宋体"/>
          <w:color w:val="000000" w:themeColor="text1"/>
          <w:sz w:val="24"/>
          <w14:textFill>
            <w14:solidFill>
              <w14:schemeClr w14:val="tx1"/>
            </w14:solidFill>
          </w14:textFill>
        </w:rPr>
        <w:t>级信息管理与信息系统</w:t>
      </w:r>
      <w:r>
        <w:rPr>
          <w:rFonts w:ascii="宋体" w:hAnsi="宋体" w:cs="宋体"/>
          <w:color w:val="000000" w:themeColor="text1"/>
          <w:sz w:val="24"/>
          <w14:textFill>
            <w14:solidFill>
              <w14:schemeClr w14:val="tx1"/>
            </w14:solidFill>
          </w14:textFill>
        </w:rPr>
        <w:t>1</w:t>
      </w:r>
      <w:r>
        <w:rPr>
          <w:rFonts w:hint="eastAsia" w:ascii="宋体" w:hAnsi="宋体" w:cs="宋体"/>
          <w:color w:val="000000" w:themeColor="text1"/>
          <w:sz w:val="24"/>
          <w14:textFill>
            <w14:solidFill>
              <w14:schemeClr w14:val="tx1"/>
            </w14:solidFill>
          </w14:textFill>
        </w:rPr>
        <w:t>班钱辰同学认为⼤学⽣创业最大的好处是能够提搞自己的能力、增长经验，以及学以致用，有益的创业活动，将会成为真正发挥自己的才华、展现创新思想和个性特点以及充分认识社会的⼀个大好机会。于是在大学毕业前夕，在老师的鼓励下，在家长的支持下以及当地政府的指导下，创办了肥东春天里家庭农场，主要从事水果的生产，包装和销售，以及水产等，目前公司整体业务正稳步推进中。</w:t>
      </w:r>
    </w:p>
    <w:p>
      <w:pPr>
        <w:spacing w:line="360" w:lineRule="auto"/>
        <w:ind w:firstLine="480" w:firstLineChars="200"/>
        <w:rPr>
          <w:rFonts w:asciiTheme="minorEastAsia" w:hAnsiTheme="minorEastAsia" w:eastAsiaTheme="minorEastAsia" w:cstheme="minorEastAsia"/>
          <w:color w:val="000000" w:themeColor="text1"/>
          <w:sz w:val="24"/>
          <w14:textFill>
            <w14:solidFill>
              <w14:schemeClr w14:val="tx1"/>
            </w14:solidFill>
          </w14:textFill>
        </w:rPr>
      </w:pPr>
      <w:r>
        <w:rPr>
          <w:rFonts w:hint="eastAsia" w:asciiTheme="minorEastAsia" w:hAnsiTheme="minorEastAsia" w:eastAsiaTheme="minorEastAsia" w:cstheme="minorEastAsia"/>
          <w:color w:val="000000" w:themeColor="text1"/>
          <w:sz w:val="24"/>
          <w14:textFill>
            <w14:solidFill>
              <w14:schemeClr w14:val="tx1"/>
            </w14:solidFill>
          </w14:textFill>
        </w:rPr>
        <w:t>【创业典型二】</w:t>
      </w:r>
    </w:p>
    <w:p>
      <w:pPr>
        <w:spacing w:line="360" w:lineRule="auto"/>
        <w:ind w:firstLine="480" w:firstLineChars="200"/>
        <w:rPr>
          <w:rFonts w:asciiTheme="minorEastAsia" w:hAnsiTheme="minorEastAsia" w:eastAsiaTheme="minorEastAsia" w:cstheme="minorEastAsia"/>
          <w:sz w:val="24"/>
        </w:rPr>
      </w:pPr>
      <w:r>
        <w:rPr>
          <w:rFonts w:ascii="宋体" w:hAnsi="宋体" w:cs="宋体"/>
          <w:color w:val="000000" w:themeColor="text1"/>
          <w:sz w:val="24"/>
          <w14:textFill>
            <w14:solidFill>
              <w14:schemeClr w14:val="tx1"/>
            </w14:solidFill>
          </w14:textFill>
        </w:rPr>
        <w:t>人工智能与大数据学院</w:t>
      </w:r>
      <w:r>
        <w:rPr>
          <w:rFonts w:hint="eastAsia" w:ascii="宋体" w:hAnsi="宋体" w:cs="宋体"/>
          <w:color w:val="000000" w:themeColor="text1"/>
          <w:sz w:val="24"/>
          <w14:textFill>
            <w14:solidFill>
              <w14:schemeClr w14:val="tx1"/>
            </w14:solidFill>
          </w14:textFill>
        </w:rPr>
        <w:t>2018级信息管理与信息系统1班的学生胡文涛，在大学期间就参加编程工作，有了相关的工作经验积累，毕业之后在老师和家长的支持下，创办了安徽纵云科技有限公司。现在公司有专兼职工作人员8人，业务发展良好。</w:t>
      </w:r>
    </w:p>
    <w:p>
      <w:pPr>
        <w:spacing w:line="360" w:lineRule="auto"/>
        <w:jc w:val="right"/>
        <w:rPr>
          <w:rFonts w:asciiTheme="minorEastAsia" w:hAnsiTheme="minorEastAsia" w:eastAsiaTheme="minorEastAsia" w:cstheme="minorEastAsia"/>
          <w:sz w:val="24"/>
        </w:rPr>
      </w:pPr>
      <w:r>
        <w:rPr>
          <w:rFonts w:hint="eastAsia" w:asciiTheme="minorEastAsia" w:hAnsiTheme="minorEastAsia" w:eastAsiaTheme="minorEastAsia" w:cstheme="minorEastAsia"/>
          <w:sz w:val="24"/>
        </w:rPr>
        <w:t xml:space="preserve"> </w:t>
      </w:r>
    </w:p>
    <w:p>
      <w:pPr>
        <w:spacing w:line="360" w:lineRule="auto"/>
        <w:jc w:val="right"/>
        <w:rPr>
          <w:rFonts w:asciiTheme="minorEastAsia" w:hAnsiTheme="minorEastAsia" w:eastAsiaTheme="minorEastAsia" w:cstheme="minorEastAsia"/>
          <w:sz w:val="24"/>
        </w:rPr>
      </w:pPr>
    </w:p>
    <w:p>
      <w:pPr>
        <w:spacing w:line="360" w:lineRule="auto"/>
        <w:jc w:val="right"/>
        <w:rPr>
          <w:rFonts w:asciiTheme="minorEastAsia" w:hAnsiTheme="minorEastAsia" w:eastAsiaTheme="minorEastAsia" w:cstheme="minorEastAsia"/>
          <w:sz w:val="24"/>
        </w:rPr>
      </w:pPr>
      <w:r>
        <w:rPr>
          <w:rFonts w:hint="eastAsia" w:asciiTheme="minorEastAsia" w:hAnsiTheme="minorEastAsia" w:eastAsiaTheme="minorEastAsia" w:cstheme="minorEastAsia"/>
          <w:sz w:val="24"/>
        </w:rPr>
        <w:t xml:space="preserve">人工智能与大数据学院 </w:t>
      </w:r>
    </w:p>
    <w:p>
      <w:pPr>
        <w:spacing w:line="360" w:lineRule="auto"/>
        <w:jc w:val="right"/>
        <w:rPr>
          <w:rFonts w:asciiTheme="minorEastAsia" w:hAnsiTheme="minorEastAsia" w:eastAsiaTheme="minorEastAsia" w:cstheme="minorEastAsia"/>
          <w:sz w:val="24"/>
        </w:rPr>
      </w:pPr>
      <w:r>
        <w:rPr>
          <w:rFonts w:hint="eastAsia" w:asciiTheme="minorEastAsia" w:hAnsiTheme="minorEastAsia" w:eastAsiaTheme="minorEastAsia" w:cstheme="minorEastAsia"/>
          <w:sz w:val="24"/>
        </w:rPr>
        <w:t>2022年12月19日</w:t>
      </w:r>
    </w:p>
    <w:p>
      <w:pPr>
        <w:spacing w:line="360" w:lineRule="auto"/>
        <w:jc w:val="right"/>
        <w:rPr>
          <w:rFonts w:asciiTheme="minorEastAsia" w:hAnsiTheme="minorEastAsia" w:cstheme="minorEastAsia"/>
          <w:sz w:val="24"/>
        </w:rPr>
      </w:pPr>
    </w:p>
    <w:p>
      <w:pPr>
        <w:widowControl/>
        <w:jc w:val="left"/>
        <w:rPr>
          <w:rFonts w:ascii="宋体" w:hAnsi="宋体"/>
          <w:b/>
          <w:sz w:val="32"/>
          <w:szCs w:val="32"/>
        </w:rPr>
      </w:pPr>
      <w:r>
        <w:rPr>
          <w:rFonts w:ascii="宋体" w:hAnsi="宋体"/>
          <w:b/>
          <w:sz w:val="32"/>
          <w:szCs w:val="32"/>
        </w:rPr>
        <w:br w:type="page"/>
      </w:r>
    </w:p>
    <w:p>
      <w:pPr>
        <w:jc w:val="center"/>
        <w:rPr>
          <w:rFonts w:hint="eastAsia" w:ascii="宋体" w:hAnsi="宋体"/>
          <w:b/>
          <w:sz w:val="32"/>
          <w:szCs w:val="32"/>
        </w:rPr>
      </w:pPr>
      <w:r>
        <w:rPr>
          <w:rFonts w:hint="eastAsia" w:ascii="宋体" w:hAnsi="宋体"/>
          <w:b/>
          <w:sz w:val="32"/>
          <w:szCs w:val="32"/>
        </w:rPr>
        <w:t>合肥学院城市建设与交通学院2022年就业评估自查报告</w:t>
      </w:r>
    </w:p>
    <w:p>
      <w:pPr>
        <w:spacing w:line="360" w:lineRule="auto"/>
        <w:ind w:firstLine="480" w:firstLineChars="200"/>
        <w:rPr>
          <w:rFonts w:hint="eastAsia" w:ascii="宋体" w:hAnsi="宋体"/>
          <w:sz w:val="24"/>
        </w:rPr>
      </w:pPr>
      <w:r>
        <w:rPr>
          <w:rFonts w:hint="eastAsia" w:ascii="宋体" w:hAnsi="宋体"/>
          <w:sz w:val="24"/>
        </w:rPr>
        <w:t>在2022届毕业生就业工作中，城市建设与交通学院专门召开了多次会议，确定了以市场为导向，以提高毕业生就业率为目标的毕业生就业工作，组建了毕业生就业工作领导小组，倡导全员参与，比较圆满的完成了2022届毕业生的就业工作。</w:t>
      </w:r>
    </w:p>
    <w:p>
      <w:pPr>
        <w:spacing w:line="360" w:lineRule="auto"/>
        <w:ind w:firstLine="482" w:firstLineChars="200"/>
        <w:rPr>
          <w:rFonts w:hint="eastAsia" w:ascii="宋体" w:hAnsi="宋体"/>
          <w:b/>
          <w:sz w:val="24"/>
        </w:rPr>
      </w:pPr>
      <w:r>
        <w:rPr>
          <w:rFonts w:hint="eastAsia" w:ascii="宋体" w:hAnsi="宋体"/>
          <w:b/>
          <w:sz w:val="24"/>
        </w:rPr>
        <w:t>一、城市建设与交通学院2022年就业基本情况</w:t>
      </w:r>
    </w:p>
    <w:p>
      <w:pPr>
        <w:spacing w:line="360" w:lineRule="auto"/>
        <w:ind w:firstLine="480" w:firstLineChars="200"/>
        <w:rPr>
          <w:rFonts w:hint="eastAsia" w:ascii="宋体" w:hAnsi="宋体"/>
          <w:sz w:val="24"/>
        </w:rPr>
      </w:pPr>
      <w:r>
        <w:rPr>
          <w:rFonts w:hint="eastAsia" w:ascii="宋体" w:hAnsi="宋体"/>
          <w:sz w:val="24"/>
        </w:rPr>
        <w:t>我院2022年共有274名毕业生，</w:t>
      </w:r>
      <w:r>
        <w:rPr>
          <w:rFonts w:ascii="宋体" w:hAnsi="宋体"/>
          <w:sz w:val="24"/>
        </w:rPr>
        <w:t>其中</w:t>
      </w:r>
      <w:r>
        <w:rPr>
          <w:rFonts w:hint="eastAsia" w:ascii="宋体" w:hAnsi="宋体"/>
          <w:sz w:val="24"/>
        </w:rPr>
        <w:t>土木工程</w:t>
      </w:r>
      <w:r>
        <w:rPr>
          <w:rFonts w:ascii="宋体" w:hAnsi="宋体"/>
          <w:sz w:val="24"/>
        </w:rPr>
        <w:t>专业</w:t>
      </w:r>
      <w:r>
        <w:rPr>
          <w:rFonts w:hint="eastAsia" w:ascii="宋体" w:hAnsi="宋体"/>
          <w:sz w:val="24"/>
        </w:rPr>
        <w:t>103</w:t>
      </w:r>
      <w:r>
        <w:rPr>
          <w:rFonts w:ascii="宋体" w:hAnsi="宋体"/>
          <w:sz w:val="24"/>
        </w:rPr>
        <w:t>人，</w:t>
      </w:r>
      <w:r>
        <w:rPr>
          <w:rFonts w:hint="eastAsia" w:ascii="宋体" w:hAnsi="宋体"/>
          <w:sz w:val="24"/>
        </w:rPr>
        <w:t>工程管理专业63人，建筑学专业32人，交通工程专业63人，土木工程2+3专业13人</w:t>
      </w:r>
      <w:r>
        <w:rPr>
          <w:rFonts w:ascii="宋体" w:hAnsi="宋体"/>
          <w:sz w:val="24"/>
        </w:rPr>
        <w:t>。</w:t>
      </w:r>
      <w:r>
        <w:rPr>
          <w:rFonts w:hint="eastAsia" w:ascii="宋体" w:hAnsi="宋体"/>
          <w:sz w:val="24"/>
        </w:rPr>
        <w:t>其中考取硕士研究生的58人，占毕业生总数的21.16%；应征入伍、考取公务员和事业单位的6人，占毕业生总数的2.2%；。截至2022年12月20，我院就业率达95.25%。</w:t>
      </w:r>
    </w:p>
    <w:p>
      <w:pPr>
        <w:spacing w:line="360" w:lineRule="auto"/>
        <w:ind w:firstLine="480" w:firstLineChars="200"/>
        <w:rPr>
          <w:rFonts w:hint="eastAsia" w:ascii="宋体" w:hAnsi="宋体"/>
          <w:sz w:val="24"/>
        </w:rPr>
      </w:pPr>
      <w:r>
        <w:rPr>
          <w:rFonts w:hint="eastAsia" w:ascii="宋体" w:hAnsi="宋体"/>
          <w:sz w:val="24"/>
        </w:rPr>
        <w:t>（一）院领导高度重视，成立就业工作小组</w:t>
      </w:r>
    </w:p>
    <w:p>
      <w:pPr>
        <w:spacing w:line="360" w:lineRule="auto"/>
        <w:ind w:firstLine="480" w:firstLineChars="200"/>
        <w:rPr>
          <w:rFonts w:hint="eastAsia" w:ascii="宋体" w:hAnsi="宋体"/>
          <w:sz w:val="24"/>
        </w:rPr>
      </w:pPr>
      <w:r>
        <w:rPr>
          <w:rFonts w:hint="eastAsia" w:ascii="宋体" w:hAnsi="宋体"/>
          <w:sz w:val="24"/>
        </w:rPr>
        <w:t>城市建设与交通学院始终把毕业生就业工作作为“一把手”工程来抓，不断加强对毕业生就业工作的组织领导。为此，我院特成立了毕业生就业工作领导小组，由城市建设与交通学院党委书记胡晓军为组长，各毕业班辅导员共同组成。</w:t>
      </w:r>
    </w:p>
    <w:p>
      <w:pPr>
        <w:spacing w:line="360" w:lineRule="auto"/>
        <w:ind w:firstLine="480" w:firstLineChars="200"/>
        <w:rPr>
          <w:rFonts w:hint="eastAsia" w:ascii="宋体" w:hAnsi="宋体"/>
          <w:sz w:val="24"/>
        </w:rPr>
      </w:pPr>
      <w:r>
        <w:rPr>
          <w:rFonts w:hint="eastAsia" w:ascii="宋体" w:hAnsi="宋体"/>
          <w:sz w:val="24"/>
        </w:rPr>
        <w:t>在2021—2022学年第一学期初，我院就多次召开了就业工作会议。会议上，一方面，对就业工作小组成员进行了明确分工。胡晓军书记负责制定就业方案并督促实施；各毕业班辅导员负责各自所带班级毕业生的就业指导及服务工作；就业联络员负责就业信息的收集及传达、用人单位的沟通交流及接待工作等。第二学期，张永军副书记（主持工作）多次在院大会和辅导员例会上动员布置就业工作。另一方面，认真分析了当前大学毕业生就业市场情况。现如今尽管全国建筑行业生产和总体就业形势较好，但我们依然要清醒的看到我院毕业生就业面临的问题和困难，早作准备积极应对。</w:t>
      </w:r>
    </w:p>
    <w:p>
      <w:pPr>
        <w:spacing w:line="360" w:lineRule="auto"/>
        <w:ind w:firstLine="480" w:firstLineChars="200"/>
        <w:rPr>
          <w:rFonts w:hint="eastAsia" w:ascii="宋体" w:hAnsi="宋体"/>
          <w:sz w:val="24"/>
        </w:rPr>
      </w:pPr>
      <w:r>
        <w:rPr>
          <w:rFonts w:hint="eastAsia" w:ascii="宋体" w:hAnsi="宋体"/>
          <w:sz w:val="24"/>
        </w:rPr>
        <w:t>毕业生就业工作小组每学期均召开就业工作专题会议，每月不少于两次，以便于根据当前就业工作推进情况及时调整方案。</w:t>
      </w:r>
    </w:p>
    <w:p>
      <w:pPr>
        <w:spacing w:line="360" w:lineRule="auto"/>
        <w:ind w:firstLine="480" w:firstLineChars="200"/>
        <w:rPr>
          <w:rFonts w:hint="eastAsia" w:ascii="宋体" w:hAnsi="宋体"/>
          <w:sz w:val="24"/>
        </w:rPr>
      </w:pPr>
      <w:r>
        <w:rPr>
          <w:rFonts w:hint="eastAsia" w:ascii="宋体" w:hAnsi="宋体"/>
          <w:sz w:val="24"/>
        </w:rPr>
        <w:t>（二）多措并举，确保就业工作顺利开展</w:t>
      </w:r>
    </w:p>
    <w:p>
      <w:pPr>
        <w:spacing w:line="360" w:lineRule="auto"/>
        <w:ind w:firstLine="480" w:firstLineChars="200"/>
        <w:rPr>
          <w:rFonts w:hint="eastAsia" w:ascii="宋体" w:hAnsi="宋体"/>
          <w:sz w:val="24"/>
        </w:rPr>
      </w:pPr>
      <w:r>
        <w:rPr>
          <w:rFonts w:hint="eastAsia" w:ascii="宋体" w:hAnsi="宋体"/>
          <w:sz w:val="24"/>
        </w:rPr>
        <w:t>1、城市建设与交通学院重视以就业为导向，于2021-2022学年初制定了本年度的就业工作方案。尤其是建立就业工作例会制度，即每周定期召开就业例会进行就业交流总结，一方面是要求各毕业班辅导员在每周的工作例会上汇报所带班级本周的就业工作进展情况以及存在的问题并提出解决方案；另一方面则是对下一周就业工作进行部署。</w:t>
      </w:r>
    </w:p>
    <w:p>
      <w:pPr>
        <w:spacing w:line="360" w:lineRule="auto"/>
        <w:ind w:firstLine="480" w:firstLineChars="200"/>
        <w:rPr>
          <w:rFonts w:hint="eastAsia" w:ascii="宋体" w:hAnsi="宋体"/>
          <w:sz w:val="24"/>
        </w:rPr>
      </w:pPr>
      <w:r>
        <w:rPr>
          <w:rFonts w:hint="eastAsia" w:ascii="宋体" w:hAnsi="宋体"/>
          <w:sz w:val="24"/>
        </w:rPr>
        <w:t>2、加强就业创业教育，做好就业准备工作。根据当今社会的就业形势，利用班会、讲座、谈话、咨询等多种形式对学生进行了就业指导教育，教育学生客观认识目前的就业形势和人才需求情况；引导学生根据自己的兴趣、爱好、能力和社会需求找到适合自己发展的方向，以得到个性化的发展。具体指导学生撰写自荐信、制作个人简历，介绍面试技巧、网上求职技巧。督促学生在知己知彼后，有目标有意识地提升自己的就业能力。对学生进行就业意向的详细调查，并按就业意向分门别类，通过就业处信息库、网上查询、专业教师为学生搜集就业信息并及时发布，有针对性地为学生推荐合适的就业岗位；组织学生积极参加校内外不同类型的招聘会，指导学生根据自身的实际情况，选择工作单位和工作岗位；组织召开择业经验交流会，引导学生在求职应聘过程中，从自己和同学身上吸取经验和教训，以积极乐观的心态面对应聘现场和应聘结果。</w:t>
      </w:r>
    </w:p>
    <w:p>
      <w:pPr>
        <w:spacing w:line="360" w:lineRule="auto"/>
        <w:ind w:firstLine="480" w:firstLineChars="200"/>
        <w:rPr>
          <w:rFonts w:hint="eastAsia" w:ascii="宋体" w:hAnsi="宋体"/>
          <w:sz w:val="24"/>
        </w:rPr>
      </w:pPr>
      <w:r>
        <w:rPr>
          <w:rFonts w:hint="eastAsia" w:ascii="宋体" w:hAnsi="宋体"/>
          <w:sz w:val="24"/>
        </w:rPr>
        <w:t>3、建立毕业生就业情况台账，动态监控学生就业进展，有针对性的开展就业工作。毕业班辅导员主动了解每一位毕业生的就业情况，将各班学生的电话号码、QQ号、电子邮箱等联系方式汇编成册，加强联院和沟通，共享就业信息。我院从始至终关注每名学生的就业情况，通过电话交流、电子邮件、QQ等途径，引导学生正确面对社会与校园的差异，面对求职中遭遇的困难，指导学生积极乐观地解决问题，增强自身的心理承受能力和沟通交际能力。指导学生要将毕业实习和就业有机结合，要明确实习目的，坚定就业信心，在毕业实习过程中展示优良文化，学会做人，学会做事，学会学习，终身实践，最终成功就业，尽快完成从学生到职业人的转变。</w:t>
      </w:r>
    </w:p>
    <w:p>
      <w:pPr>
        <w:spacing w:line="360" w:lineRule="auto"/>
        <w:ind w:firstLine="480" w:firstLineChars="200"/>
        <w:rPr>
          <w:rFonts w:hint="eastAsia" w:ascii="宋体" w:hAnsi="宋体"/>
          <w:sz w:val="24"/>
        </w:rPr>
      </w:pPr>
      <w:r>
        <w:rPr>
          <w:rFonts w:hint="eastAsia" w:ascii="宋体" w:hAnsi="宋体"/>
          <w:sz w:val="24"/>
        </w:rPr>
        <w:t>4、开拓就业市场，建设就业基地。 在这一年里，一方面我院积极联院用人单位来我院举办招聘会。据统计，我院共开展招聘会60场；对于10余家外地不方便来我院开展招聘会企业的，则采用网上投简历等方式，为学生争取更多的就业机会。另一方面，我院还对中建八局、安徽同济建设有限公司、安徽水安集团等多家用人单位进行调研，倾听用人单位人才发展需求，共同探讨学校创新人才的培养与输送、毕业生就业质量与评价等就业相关工作，以及建立紧密校企合作等相关事宜。</w:t>
      </w:r>
    </w:p>
    <w:p>
      <w:pPr>
        <w:spacing w:line="360" w:lineRule="auto"/>
        <w:ind w:firstLine="480" w:firstLineChars="200"/>
        <w:rPr>
          <w:rFonts w:hint="eastAsia" w:ascii="宋体" w:hAnsi="宋体"/>
          <w:sz w:val="24"/>
        </w:rPr>
      </w:pPr>
      <w:r>
        <w:rPr>
          <w:rFonts w:hint="eastAsia" w:ascii="宋体" w:hAnsi="宋体"/>
          <w:sz w:val="24"/>
        </w:rPr>
        <w:t>5、我院能够对毕业生推荐表、协议书、文书档案管路规范、严谨，就业归档材料完整、规范，按时、按质、按量完成上级主管部门交办的各项工作任务，且无差错。</w:t>
      </w:r>
    </w:p>
    <w:p>
      <w:pPr>
        <w:spacing w:line="360" w:lineRule="auto"/>
        <w:ind w:firstLine="480" w:firstLineChars="200"/>
        <w:rPr>
          <w:rFonts w:hint="eastAsia" w:ascii="宋体" w:hAnsi="宋体"/>
          <w:sz w:val="24"/>
        </w:rPr>
      </w:pPr>
      <w:r>
        <w:rPr>
          <w:rFonts w:hint="eastAsia" w:ascii="宋体" w:hAnsi="宋体"/>
          <w:sz w:val="24"/>
        </w:rPr>
        <w:t>6、积极开展对毕业生就业指导，加强对市场需求进行预测调查，积极进行就业市场调查分析，制定切实可行的毕业生就业工作具体措施，进行市场需求调查，就业结构分析和毕业生跟踪调查。</w:t>
      </w:r>
    </w:p>
    <w:p>
      <w:pPr>
        <w:spacing w:line="360" w:lineRule="auto"/>
        <w:ind w:firstLine="482" w:firstLineChars="200"/>
        <w:rPr>
          <w:rFonts w:hint="eastAsia" w:ascii="宋体" w:hAnsi="宋体"/>
          <w:b/>
          <w:sz w:val="24"/>
        </w:rPr>
      </w:pPr>
      <w:r>
        <w:rPr>
          <w:rFonts w:hint="eastAsia" w:ascii="宋体" w:hAnsi="宋体"/>
          <w:b/>
          <w:sz w:val="24"/>
        </w:rPr>
        <w:t>二、各专业就业结构分析情况</w:t>
      </w:r>
    </w:p>
    <w:p>
      <w:pPr>
        <w:spacing w:line="360" w:lineRule="auto"/>
        <w:ind w:firstLine="480" w:firstLineChars="200"/>
        <w:rPr>
          <w:rFonts w:hint="eastAsia" w:ascii="宋体" w:hAnsi="宋体"/>
          <w:sz w:val="24"/>
        </w:rPr>
      </w:pPr>
      <w:r>
        <w:rPr>
          <w:rFonts w:hint="eastAsia" w:ascii="宋体" w:hAnsi="宋体"/>
          <w:sz w:val="24"/>
        </w:rPr>
        <w:t>（一）毕业生就业去向</w:t>
      </w:r>
    </w:p>
    <w:p>
      <w:pPr>
        <w:spacing w:line="360" w:lineRule="auto"/>
        <w:ind w:firstLine="480" w:firstLineChars="200"/>
        <w:rPr>
          <w:rFonts w:hint="eastAsia" w:ascii="宋体" w:hAnsi="宋体"/>
          <w:sz w:val="24"/>
        </w:rPr>
      </w:pPr>
      <w:r>
        <w:rPr>
          <w:rFonts w:hint="eastAsia" w:ascii="宋体" w:hAnsi="宋体"/>
          <w:sz w:val="24"/>
        </w:rPr>
        <w:t>1.就业区域</w:t>
      </w:r>
    </w:p>
    <w:p>
      <w:pPr>
        <w:spacing w:line="360" w:lineRule="auto"/>
        <w:ind w:firstLine="480" w:firstLineChars="200"/>
        <w:rPr>
          <w:rFonts w:hint="eastAsia" w:ascii="宋体" w:hAnsi="宋体"/>
          <w:sz w:val="24"/>
        </w:rPr>
      </w:pPr>
      <w:r>
        <w:rPr>
          <w:rFonts w:hint="eastAsia" w:ascii="宋体" w:hAnsi="宋体"/>
          <w:sz w:val="24"/>
        </w:rPr>
        <w:drawing>
          <wp:inline distT="0" distB="0" distL="114300" distR="114300">
            <wp:extent cx="4542790" cy="2675890"/>
            <wp:effectExtent l="0" t="0" r="3810" b="3810"/>
            <wp:docPr id="9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18"/>
                    <pic:cNvPicPr>
                      <a:picLocks noChangeAspect="1"/>
                    </pic:cNvPicPr>
                  </pic:nvPicPr>
                  <pic:blipFill>
                    <a:blip r:embed="rId26"/>
                    <a:stretch>
                      <a:fillRect/>
                    </a:stretch>
                  </pic:blipFill>
                  <pic:spPr>
                    <a:xfrm>
                      <a:off x="0" y="0"/>
                      <a:ext cx="4542790" cy="2675890"/>
                    </a:xfrm>
                    <a:prstGeom prst="rect">
                      <a:avLst/>
                    </a:prstGeom>
                    <a:noFill/>
                    <a:ln>
                      <a:noFill/>
                    </a:ln>
                  </pic:spPr>
                </pic:pic>
              </a:graphicData>
            </a:graphic>
          </wp:inline>
        </w:drawing>
      </w:r>
    </w:p>
    <w:p>
      <w:pPr>
        <w:spacing w:line="360" w:lineRule="auto"/>
        <w:rPr>
          <w:rFonts w:hint="eastAsia" w:ascii="宋体" w:hAnsi="宋体"/>
          <w:sz w:val="24"/>
        </w:rPr>
      </w:pPr>
    </w:p>
    <w:p>
      <w:pPr>
        <w:spacing w:line="360" w:lineRule="auto"/>
        <w:ind w:firstLine="480" w:firstLineChars="200"/>
        <w:rPr>
          <w:rFonts w:hint="eastAsia" w:ascii="宋体" w:hAnsi="宋体"/>
          <w:sz w:val="24"/>
        </w:rPr>
      </w:pPr>
      <w:r>
        <w:rPr>
          <w:rFonts w:hint="eastAsia" w:ascii="宋体" w:hAnsi="宋体"/>
          <w:sz w:val="24"/>
        </w:rPr>
        <w:t>2.就业单位性质</w:t>
      </w:r>
    </w:p>
    <w:p>
      <w:pPr>
        <w:spacing w:line="360" w:lineRule="auto"/>
        <w:ind w:firstLine="480" w:firstLineChars="200"/>
        <w:rPr>
          <w:rFonts w:hint="eastAsia" w:ascii="宋体" w:hAnsi="宋体"/>
          <w:sz w:val="24"/>
        </w:rPr>
      </w:pPr>
      <w:r>
        <w:rPr>
          <w:rFonts w:hint="eastAsia" w:ascii="宋体" w:hAnsi="宋体"/>
          <w:sz w:val="24"/>
        </w:rPr>
        <w:drawing>
          <wp:inline distT="0" distB="0" distL="114300" distR="114300">
            <wp:extent cx="4371340" cy="2675890"/>
            <wp:effectExtent l="0" t="0" r="10160" b="3810"/>
            <wp:docPr id="9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19"/>
                    <pic:cNvPicPr>
                      <a:picLocks noChangeAspect="1"/>
                    </pic:cNvPicPr>
                  </pic:nvPicPr>
                  <pic:blipFill>
                    <a:blip r:embed="rId27"/>
                    <a:stretch>
                      <a:fillRect/>
                    </a:stretch>
                  </pic:blipFill>
                  <pic:spPr>
                    <a:xfrm>
                      <a:off x="0" y="0"/>
                      <a:ext cx="4371340" cy="2675890"/>
                    </a:xfrm>
                    <a:prstGeom prst="rect">
                      <a:avLst/>
                    </a:prstGeom>
                    <a:noFill/>
                    <a:ln>
                      <a:noFill/>
                    </a:ln>
                  </pic:spPr>
                </pic:pic>
              </a:graphicData>
            </a:graphic>
          </wp:inline>
        </w:drawing>
      </w:r>
    </w:p>
    <w:p>
      <w:pPr>
        <w:spacing w:line="360" w:lineRule="auto"/>
        <w:ind w:firstLine="480" w:firstLineChars="200"/>
        <w:rPr>
          <w:rFonts w:hint="eastAsia" w:ascii="宋体" w:hAnsi="宋体"/>
          <w:sz w:val="24"/>
        </w:rPr>
      </w:pPr>
    </w:p>
    <w:p>
      <w:pPr>
        <w:spacing w:line="360" w:lineRule="auto"/>
        <w:ind w:firstLine="480" w:firstLineChars="200"/>
        <w:rPr>
          <w:rFonts w:hint="eastAsia" w:ascii="宋体" w:hAnsi="宋体"/>
          <w:sz w:val="24"/>
        </w:rPr>
      </w:pPr>
      <w:r>
        <w:rPr>
          <w:rFonts w:hint="eastAsia" w:ascii="宋体" w:hAnsi="宋体"/>
          <w:sz w:val="24"/>
        </w:rPr>
        <w:t>（二）我院2022届年毕业生就业主要特点</w:t>
      </w:r>
    </w:p>
    <w:p>
      <w:pPr>
        <w:spacing w:line="360" w:lineRule="auto"/>
        <w:ind w:firstLine="480" w:firstLineChars="200"/>
        <w:rPr>
          <w:rFonts w:hint="eastAsia" w:ascii="宋体" w:hAnsi="宋体"/>
          <w:sz w:val="24"/>
        </w:rPr>
      </w:pPr>
      <w:r>
        <w:rPr>
          <w:rFonts w:hint="eastAsia" w:ascii="宋体" w:hAnsi="宋体"/>
          <w:sz w:val="24"/>
        </w:rPr>
        <w:t>综合就业统计数据，我院毕业生就业呈现以下特点：</w:t>
      </w:r>
    </w:p>
    <w:p>
      <w:pPr>
        <w:spacing w:line="360" w:lineRule="auto"/>
        <w:ind w:firstLine="480" w:firstLineChars="200"/>
        <w:rPr>
          <w:rFonts w:hint="eastAsia" w:ascii="宋体" w:hAnsi="宋体"/>
          <w:sz w:val="24"/>
        </w:rPr>
      </w:pPr>
      <w:r>
        <w:rPr>
          <w:rFonts w:hint="eastAsia" w:ascii="宋体" w:hAnsi="宋体"/>
          <w:sz w:val="24"/>
        </w:rPr>
        <w:t>1．省内就业占据主导。从就业地区来看，我院有176人留在安徽省就业，其中在合肥就业人数就有149人。这与我校坚持“地方性、应用型、国际化”的办学定位相符合，契合了地方对人才的需求。</w:t>
      </w:r>
    </w:p>
    <w:p>
      <w:pPr>
        <w:spacing w:line="360" w:lineRule="auto"/>
        <w:ind w:firstLine="480" w:firstLineChars="200"/>
        <w:rPr>
          <w:rFonts w:hint="eastAsia" w:ascii="宋体" w:hAnsi="宋体"/>
          <w:sz w:val="24"/>
        </w:rPr>
      </w:pPr>
      <w:r>
        <w:rPr>
          <w:rFonts w:hint="eastAsia" w:ascii="宋体" w:hAnsi="宋体"/>
          <w:sz w:val="24"/>
        </w:rPr>
        <w:t>2．毕业生的选择趋于理性。随着非公有制经济的发展，民营企业得到的快速发展，许多小微企业的就业岗位日益增多，从我们的统计数据来看，学生在就业时过半都选择了民营企业。也说明了学生逐渐的树立起了“先就业再择业”的就业观。</w:t>
      </w:r>
    </w:p>
    <w:p>
      <w:pPr>
        <w:spacing w:line="360" w:lineRule="auto"/>
        <w:ind w:firstLine="480" w:firstLineChars="200"/>
        <w:rPr>
          <w:rFonts w:hint="eastAsia" w:ascii="宋体" w:hAnsi="宋体"/>
          <w:sz w:val="24"/>
        </w:rPr>
      </w:pPr>
      <w:r>
        <w:rPr>
          <w:rFonts w:hint="eastAsia" w:ascii="宋体" w:hAnsi="宋体"/>
          <w:sz w:val="24"/>
        </w:rPr>
        <w:t>3．专业对口率较高。从数据来看，绝大多数学生都从事了与本专业相关的工作。</w:t>
      </w:r>
    </w:p>
    <w:p>
      <w:pPr>
        <w:spacing w:line="360" w:lineRule="auto"/>
        <w:ind w:firstLine="480" w:firstLineChars="200"/>
        <w:rPr>
          <w:rFonts w:hint="eastAsia" w:ascii="宋体" w:hAnsi="宋体"/>
          <w:sz w:val="24"/>
        </w:rPr>
      </w:pPr>
      <w:r>
        <w:rPr>
          <w:rFonts w:hint="eastAsia" w:ascii="宋体" w:hAnsi="宋体"/>
          <w:sz w:val="24"/>
        </w:rPr>
        <w:t>（三）存在的问题</w:t>
      </w:r>
    </w:p>
    <w:p>
      <w:pPr>
        <w:spacing w:line="360" w:lineRule="auto"/>
        <w:ind w:firstLine="480" w:firstLineChars="200"/>
        <w:rPr>
          <w:rFonts w:hint="eastAsia" w:ascii="宋体" w:hAnsi="宋体"/>
          <w:sz w:val="24"/>
        </w:rPr>
      </w:pPr>
      <w:r>
        <w:rPr>
          <w:rFonts w:hint="eastAsia" w:ascii="宋体" w:hAnsi="宋体"/>
          <w:sz w:val="24"/>
        </w:rPr>
        <w:t>1．毕业生就业观念陈旧，择业期望值过高。由于受传统就业观念的影响，依然有些学生片面追求物质待遇和地域条件，有些条件好的学生不断违约更换工作， 眼高手低现象客观存在。</w:t>
      </w:r>
    </w:p>
    <w:p>
      <w:pPr>
        <w:spacing w:line="360" w:lineRule="auto"/>
        <w:ind w:firstLine="480" w:firstLineChars="200"/>
        <w:rPr>
          <w:rFonts w:hint="eastAsia" w:ascii="宋体" w:hAnsi="宋体"/>
          <w:sz w:val="24"/>
        </w:rPr>
      </w:pPr>
      <w:r>
        <w:rPr>
          <w:rFonts w:hint="eastAsia" w:ascii="宋体" w:hAnsi="宋体"/>
          <w:sz w:val="24"/>
        </w:rPr>
        <w:t>2．毕业生综合素质不高。部分毕业生在校期间只注重平常学习书本知识或单一学科知识，对专业知识和人文社会知识掌握不够，高分低能、综合素质低的问题客观存在，可持续发展和后期可塑性不强，缺乏就业的核心竞争力。</w:t>
      </w:r>
    </w:p>
    <w:p>
      <w:pPr>
        <w:spacing w:line="360" w:lineRule="auto"/>
        <w:ind w:firstLine="480" w:firstLineChars="200"/>
        <w:rPr>
          <w:rFonts w:hint="eastAsia" w:ascii="宋体" w:hAnsi="宋体"/>
          <w:sz w:val="24"/>
        </w:rPr>
      </w:pPr>
      <w:r>
        <w:rPr>
          <w:rFonts w:hint="eastAsia" w:ascii="宋体" w:hAnsi="宋体"/>
          <w:sz w:val="24"/>
        </w:rPr>
        <w:t>3．由于我院专业特点，很少有学生参加西部计划、“三支一扶”项目。</w:t>
      </w:r>
    </w:p>
    <w:p>
      <w:pPr>
        <w:spacing w:line="360" w:lineRule="auto"/>
        <w:ind w:firstLine="480" w:firstLineChars="200"/>
        <w:rPr>
          <w:rFonts w:hint="eastAsia" w:ascii="宋体" w:hAnsi="宋体"/>
          <w:sz w:val="24"/>
        </w:rPr>
      </w:pPr>
      <w:r>
        <w:rPr>
          <w:rFonts w:hint="eastAsia" w:ascii="宋体" w:hAnsi="宋体"/>
          <w:sz w:val="24"/>
        </w:rPr>
        <w:t>（四）下一步工作设想</w:t>
      </w:r>
    </w:p>
    <w:p>
      <w:pPr>
        <w:spacing w:line="360" w:lineRule="auto"/>
        <w:ind w:firstLine="480" w:firstLineChars="200"/>
        <w:rPr>
          <w:rFonts w:hint="eastAsia" w:ascii="宋体" w:hAnsi="宋体"/>
          <w:sz w:val="24"/>
        </w:rPr>
      </w:pPr>
      <w:r>
        <w:rPr>
          <w:rFonts w:hint="eastAsia" w:ascii="宋体" w:hAnsi="宋体"/>
          <w:sz w:val="24"/>
        </w:rPr>
        <w:t>1．以人为本，引导学生树立正确的就业观。辅导员通过主题班会、谈心谈话，再结合学校开设的就业指导课等，营造良好的就业氛围，转变就业观念，树立正确的择业目标和价值观等,引导毕业生向基层、乡镇、边远地区就业。要让学生认清就业形势，主动转变择业观念，从实际出发，调整心态，降低期望值，合理定位，鼓励毕业生通过自谋职业实现就业。同时，针对当前毕业生择业过于重视个人功利价值的实际，引导他们树立健康的择业观和正确的人生观、价值观。</w:t>
      </w:r>
    </w:p>
    <w:p>
      <w:pPr>
        <w:spacing w:line="360" w:lineRule="auto"/>
        <w:ind w:firstLine="480" w:firstLineChars="200"/>
        <w:rPr>
          <w:rFonts w:hint="eastAsia" w:ascii="宋体" w:hAnsi="宋体"/>
          <w:sz w:val="24"/>
        </w:rPr>
      </w:pPr>
      <w:r>
        <w:rPr>
          <w:rFonts w:hint="eastAsia" w:ascii="宋体" w:hAnsi="宋体"/>
          <w:sz w:val="24"/>
        </w:rPr>
        <w:t>2．改革专业和课程设置，提高学生就业竞争力。根据社会经济发展要求，以就业为导向，进行专业和课程设置的改革，将培养的重点放到全面提高学生专业素质和职业能力上。引导学生立足专业实际，把专业技能学细学透，做到活学活用。</w:t>
      </w:r>
    </w:p>
    <w:p>
      <w:pPr>
        <w:spacing w:line="360" w:lineRule="auto"/>
        <w:ind w:firstLine="480" w:firstLineChars="200"/>
        <w:rPr>
          <w:rFonts w:hint="eastAsia" w:ascii="宋体" w:hAnsi="宋体"/>
          <w:sz w:val="24"/>
        </w:rPr>
      </w:pPr>
      <w:r>
        <w:rPr>
          <w:rFonts w:hint="eastAsia" w:ascii="宋体" w:hAnsi="宋体"/>
          <w:sz w:val="24"/>
        </w:rPr>
        <w:t>3．实现多种就业渠道，就业创业相结合。对有自主创办企业和从事个体劳动、个体经营想法的毕业生进行指导，并尽可能的提供相应的帮助。如对自愿到基层创业的高校毕业生，对他们进行政策宣传，国家要给予小额担保贷款支持，对从事微利项目的，贷款利息由给予贴息。另外，积极鼓励学生响应国家号召，参加西部计划、大学生村官、支教计划等。</w:t>
      </w:r>
    </w:p>
    <w:p>
      <w:pPr>
        <w:spacing w:line="360" w:lineRule="auto"/>
        <w:ind w:firstLine="482" w:firstLineChars="200"/>
        <w:rPr>
          <w:rFonts w:hint="eastAsia" w:ascii="宋体" w:hAnsi="宋体"/>
          <w:b/>
          <w:sz w:val="24"/>
        </w:rPr>
      </w:pPr>
      <w:r>
        <w:rPr>
          <w:rFonts w:hint="eastAsia" w:ascii="宋体" w:hAnsi="宋体"/>
          <w:b/>
          <w:sz w:val="24"/>
        </w:rPr>
        <w:t>三、各专业市场需求调查报告</w:t>
      </w:r>
    </w:p>
    <w:p>
      <w:pPr>
        <w:spacing w:line="360" w:lineRule="auto"/>
        <w:ind w:firstLine="480" w:firstLineChars="200"/>
        <w:rPr>
          <w:rFonts w:ascii="宋体" w:hAnsi="宋体"/>
          <w:sz w:val="24"/>
        </w:rPr>
      </w:pPr>
      <w:r>
        <w:rPr>
          <w:rFonts w:ascii="宋体" w:hAnsi="宋体"/>
          <w:sz w:val="24"/>
        </w:rPr>
        <w:t>为了充分了解我</w:t>
      </w:r>
      <w:r>
        <w:rPr>
          <w:rFonts w:hint="eastAsia" w:ascii="宋体" w:hAnsi="宋体"/>
          <w:sz w:val="24"/>
        </w:rPr>
        <w:t>院</w:t>
      </w:r>
      <w:r>
        <w:rPr>
          <w:rFonts w:ascii="宋体" w:hAnsi="宋体"/>
          <w:sz w:val="24"/>
        </w:rPr>
        <w:t>应届毕业生就业市场的供求状况，更广泛地搜集毕业生需求信息，为毕业生就业开辟新的就业渠道，</w:t>
      </w:r>
      <w:r>
        <w:rPr>
          <w:rFonts w:hint="eastAsia" w:ascii="宋体" w:hAnsi="宋体"/>
          <w:sz w:val="24"/>
        </w:rPr>
        <w:t>我院</w:t>
      </w:r>
      <w:r>
        <w:rPr>
          <w:rFonts w:ascii="宋体" w:hAnsi="宋体"/>
          <w:sz w:val="24"/>
        </w:rPr>
        <w:t>组织</w:t>
      </w:r>
      <w:r>
        <w:rPr>
          <w:rFonts w:hint="eastAsia" w:ascii="宋体" w:hAnsi="宋体"/>
          <w:sz w:val="24"/>
        </w:rPr>
        <w:t>了党委书记和副书记带队去了中建八局等企业进行</w:t>
      </w:r>
      <w:r>
        <w:rPr>
          <w:rFonts w:ascii="宋体" w:hAnsi="宋体"/>
          <w:sz w:val="24"/>
        </w:rPr>
        <w:t xml:space="preserve">毕业生就业市场调研。通过与用人单位的相互交流，这既增进了我们与用人单位的了解，又为学生开辟了不少新的就业渠道。借此机会还发了相当数量社会评价调查函，用于了解用人单位对我院毕业生的总体评价，听取对学生教育、管理和专业结构、课程设置以及人才培养模式等有价值的建议，为进一步做好毕业生就业工作打下了良好的基础。 </w:t>
      </w:r>
    </w:p>
    <w:p>
      <w:pPr>
        <w:spacing w:line="360" w:lineRule="auto"/>
        <w:ind w:firstLine="480" w:firstLineChars="200"/>
        <w:rPr>
          <w:rFonts w:ascii="宋体" w:hAnsi="宋体"/>
          <w:sz w:val="24"/>
        </w:rPr>
      </w:pPr>
      <w:r>
        <w:rPr>
          <w:rFonts w:hint="eastAsia" w:ascii="宋体" w:hAnsi="宋体"/>
          <w:sz w:val="24"/>
        </w:rPr>
        <w:t>（一）</w:t>
      </w:r>
      <w:r>
        <w:rPr>
          <w:rFonts w:ascii="宋体" w:hAnsi="宋体"/>
          <w:sz w:val="24"/>
        </w:rPr>
        <w:t>用人单位的反馈情况</w:t>
      </w:r>
    </w:p>
    <w:p>
      <w:pPr>
        <w:spacing w:line="360" w:lineRule="auto"/>
        <w:ind w:firstLine="480" w:firstLineChars="200"/>
        <w:rPr>
          <w:rFonts w:hint="eastAsia" w:ascii="宋体" w:hAnsi="宋体"/>
          <w:sz w:val="24"/>
        </w:rPr>
      </w:pPr>
      <w:r>
        <w:rPr>
          <w:rFonts w:ascii="宋体" w:hAnsi="宋体"/>
          <w:sz w:val="24"/>
        </w:rPr>
        <w:t>从这次走访的单位反馈情况来看，大多数单位对学生的知识结构、综合素质和实际能力给予充分的肯定。</w:t>
      </w:r>
      <w:r>
        <w:rPr>
          <w:rFonts w:hint="eastAsia" w:ascii="宋体" w:hAnsi="宋体"/>
          <w:sz w:val="24"/>
        </w:rPr>
        <w:t>总体来说，他们更加倾向于在校期间担任过学生干部的毕业生，因为他们具有更强的组织协调能力，尤其是对新环境的快速适应能力以及在处理工作中的灵活变通能力。</w:t>
      </w:r>
    </w:p>
    <w:p>
      <w:pPr>
        <w:spacing w:line="360" w:lineRule="auto"/>
        <w:ind w:firstLine="480" w:firstLineChars="200"/>
        <w:rPr>
          <w:rFonts w:ascii="宋体" w:hAnsi="宋体"/>
          <w:sz w:val="24"/>
        </w:rPr>
      </w:pPr>
      <w:r>
        <w:rPr>
          <w:rFonts w:hint="eastAsia" w:ascii="宋体" w:hAnsi="宋体"/>
          <w:sz w:val="24"/>
        </w:rPr>
        <w:t>（二）</w:t>
      </w:r>
      <w:r>
        <w:rPr>
          <w:rFonts w:ascii="宋体" w:hAnsi="宋体"/>
          <w:sz w:val="24"/>
        </w:rPr>
        <w:t>对毕业生就业基本认识与分析</w:t>
      </w:r>
    </w:p>
    <w:p>
      <w:pPr>
        <w:spacing w:line="360" w:lineRule="auto"/>
        <w:ind w:firstLine="480" w:firstLineChars="200"/>
        <w:rPr>
          <w:rFonts w:ascii="宋体" w:hAnsi="宋体"/>
          <w:sz w:val="24"/>
        </w:rPr>
      </w:pPr>
      <w:r>
        <w:rPr>
          <w:rFonts w:ascii="宋体" w:hAnsi="宋体"/>
          <w:sz w:val="24"/>
        </w:rPr>
        <w:t>1</w:t>
      </w:r>
      <w:r>
        <w:rPr>
          <w:rFonts w:hint="eastAsia" w:ascii="宋体" w:hAnsi="宋体"/>
          <w:sz w:val="24"/>
        </w:rPr>
        <w:t>．</w:t>
      </w:r>
      <w:r>
        <w:rPr>
          <w:rFonts w:ascii="宋体" w:hAnsi="宋体"/>
          <w:sz w:val="24"/>
        </w:rPr>
        <w:t>2022年就业市场</w:t>
      </w:r>
    </w:p>
    <w:p>
      <w:pPr>
        <w:spacing w:line="360" w:lineRule="auto"/>
        <w:ind w:firstLine="480" w:firstLineChars="200"/>
        <w:rPr>
          <w:rFonts w:hint="eastAsia" w:ascii="宋体" w:hAnsi="宋体"/>
          <w:sz w:val="24"/>
        </w:rPr>
      </w:pPr>
      <w:r>
        <w:rPr>
          <w:rFonts w:hint="eastAsia" w:ascii="宋体" w:hAnsi="宋体"/>
          <w:sz w:val="24"/>
        </w:rPr>
        <w:t>据不完全统计，2022年预计全国将有超过1000万大学生同时竞争，就业形势依然严峻。出现这一现象的原因有几个：一是内外经济增速趋缓，将对就业产生一定影响中国经济整体仍处下滑周期中，经济发展速度的放缓和结构的调整，客观上会对劳动者就业结构产生影响，同时也会对就业总体规模产生挤压效应，对劳动者就业产生影响。二是市场预期和企业转型升级对就业的影响依然较大。企业转型升级的步伐缓慢。一些中小企业、民营企业技术创新的能力还比较薄弱，产品结构转型的步伐比较缓慢，受国内外市场竞争、产品技术含量、附加值等因素的影响，企业不得已实施低价竞争策略，部分企业过分控制人工成本，支付给员工的工资待遇偏低，导致员工流失。三是社会对于毕业生学历层次的需求越来越高。目前我国中高层次的人才严重短缺，社会对高层次的复合型、外向型和开拓型人才的需求日益迫切，呈现对人才结构的需求层次重心上移的趋势。在毕业生就业中研究生已越来越“抢手”，本科生还能基本平衡，专科生则较明显地呈现供过于求的趋势。四是毕业生的就业期望值居高不下仍然是目前高校毕业生就业工作中的主要难题。毕业生们普遍感到“找不到理想的单位”，而同时有许多基层一线的用人单位急需人才但又招聘不到毕业生，这就反映出毕业生求高薪、求舒适、求名气的心态仍较普遍，目前毕业生中间以事业发展为重的并不占多数，而是普遍希望能到那些大城市、大机关、大公司、大企业等大单位工作，希望能去的单位名声好、工作条件好、生活待遇好、有出国机会，甚至离家比较近等等。</w:t>
      </w:r>
    </w:p>
    <w:p>
      <w:pPr>
        <w:spacing w:line="360" w:lineRule="auto"/>
        <w:ind w:firstLine="480" w:firstLineChars="200"/>
        <w:rPr>
          <w:rFonts w:ascii="宋体" w:hAnsi="宋体"/>
          <w:sz w:val="24"/>
        </w:rPr>
      </w:pPr>
      <w:r>
        <w:rPr>
          <w:rFonts w:ascii="宋体" w:hAnsi="宋体"/>
          <w:sz w:val="24"/>
        </w:rPr>
        <w:t>2</w:t>
      </w:r>
      <w:r>
        <w:rPr>
          <w:rFonts w:hint="eastAsia" w:ascii="宋体" w:hAnsi="宋体"/>
          <w:sz w:val="24"/>
        </w:rPr>
        <w:t>．</w:t>
      </w:r>
      <w:r>
        <w:rPr>
          <w:rFonts w:ascii="宋体" w:hAnsi="宋体"/>
          <w:sz w:val="24"/>
        </w:rPr>
        <w:t>毕业生的就业心态</w:t>
      </w:r>
    </w:p>
    <w:p>
      <w:pPr>
        <w:spacing w:line="360" w:lineRule="auto"/>
        <w:ind w:firstLine="480" w:firstLineChars="200"/>
        <w:rPr>
          <w:rFonts w:hint="eastAsia" w:ascii="宋体" w:hAnsi="宋体"/>
          <w:sz w:val="24"/>
        </w:rPr>
      </w:pPr>
      <w:r>
        <w:rPr>
          <w:rFonts w:ascii="宋体" w:hAnsi="宋体"/>
          <w:sz w:val="24"/>
        </w:rPr>
        <w:t>就我院学生面对机遇与挑战并存的就业市场，大</w:t>
      </w:r>
      <w:r>
        <w:rPr>
          <w:rFonts w:hint="eastAsia" w:ascii="宋体" w:hAnsi="宋体"/>
          <w:sz w:val="24"/>
        </w:rPr>
        <w:t>致</w:t>
      </w:r>
      <w:r>
        <w:rPr>
          <w:rFonts w:ascii="宋体" w:hAnsi="宋体"/>
          <w:sz w:val="24"/>
        </w:rPr>
        <w:t>有以下几种表现：一是向更高层次的学历和学位进取</w:t>
      </w:r>
      <w:r>
        <w:rPr>
          <w:rFonts w:hint="eastAsia" w:ascii="宋体" w:hAnsi="宋体"/>
          <w:sz w:val="24"/>
        </w:rPr>
        <w:t>，</w:t>
      </w:r>
      <w:r>
        <w:rPr>
          <w:rFonts w:ascii="宋体" w:hAnsi="宋体"/>
          <w:sz w:val="24"/>
        </w:rPr>
        <w:t>暂不考虑就业。二</w:t>
      </w:r>
      <w:r>
        <w:rPr>
          <w:rFonts w:hint="eastAsia" w:ascii="宋体" w:hAnsi="宋体"/>
          <w:sz w:val="24"/>
        </w:rPr>
        <w:t>随着就业形势和就业机制的不断变化，很多学生改变了传统的职业稳定性的观念，面对就业风险竞争意识也在不断的提高，并且能够积极面对。</w:t>
      </w:r>
      <w:r>
        <w:rPr>
          <w:rFonts w:ascii="宋体" w:hAnsi="宋体"/>
          <w:sz w:val="24"/>
        </w:rPr>
        <w:t>三是</w:t>
      </w:r>
      <w:r>
        <w:rPr>
          <w:rFonts w:hint="eastAsia" w:ascii="宋体" w:hAnsi="宋体"/>
          <w:sz w:val="24"/>
        </w:rPr>
        <w:t>随着毕业生和用人单位双向选择的形式越来越普遍，在面对就业问题的时候，很多学生自我肯定的意识也在不断的增强。但有些学生对自己定位过高，在就业的过程中，学生更加注重自身在职业上的需求，缺乏对就业市场的准确判断，因此无法找到称心的工作。</w:t>
      </w:r>
    </w:p>
    <w:p>
      <w:pPr>
        <w:spacing w:line="360" w:lineRule="auto"/>
        <w:ind w:firstLine="480" w:firstLineChars="200"/>
        <w:rPr>
          <w:rFonts w:ascii="宋体" w:hAnsi="宋体"/>
          <w:sz w:val="24"/>
        </w:rPr>
      </w:pPr>
      <w:r>
        <w:rPr>
          <w:rFonts w:ascii="宋体" w:hAnsi="宋体"/>
          <w:sz w:val="24"/>
        </w:rPr>
        <w:t>3</w:t>
      </w:r>
      <w:r>
        <w:rPr>
          <w:rFonts w:hint="eastAsia" w:ascii="宋体" w:hAnsi="宋体"/>
          <w:sz w:val="24"/>
        </w:rPr>
        <w:t>．对就业工作</w:t>
      </w:r>
      <w:r>
        <w:rPr>
          <w:rFonts w:ascii="宋体" w:hAnsi="宋体"/>
          <w:sz w:val="24"/>
        </w:rPr>
        <w:t>的思考</w:t>
      </w:r>
    </w:p>
    <w:p>
      <w:pPr>
        <w:spacing w:line="360" w:lineRule="auto"/>
        <w:ind w:firstLine="480" w:firstLineChars="200"/>
        <w:rPr>
          <w:rFonts w:hint="eastAsia" w:ascii="宋体" w:hAnsi="宋体"/>
          <w:sz w:val="24"/>
        </w:rPr>
      </w:pPr>
      <w:r>
        <w:rPr>
          <w:rFonts w:hint="eastAsia" w:ascii="宋体" w:hAnsi="宋体"/>
          <w:sz w:val="24"/>
        </w:rPr>
        <w:t>一是建立健全就业工作组织机构，为就业工作提供组织保障。对于刚毕业的学生来说，就业观念、就业能力如何，可能会影响他们一生的发展。我们必须要把他作为 “生命线”工程来对待。为了保证就业工作的有效开展，更好的服务于学生，需要安排专业人员负责学校的就业指导工作，尤其要加强相关工作人员的业务培训，这样从组织上保证了就业工作畅通高效的进行，更好的体现了就业指导工作的服务性。</w:t>
      </w:r>
    </w:p>
    <w:p>
      <w:pPr>
        <w:spacing w:line="360" w:lineRule="auto"/>
        <w:ind w:firstLine="480" w:firstLineChars="200"/>
        <w:rPr>
          <w:rFonts w:hint="eastAsia" w:ascii="宋体" w:hAnsi="宋体"/>
          <w:sz w:val="24"/>
        </w:rPr>
      </w:pPr>
      <w:r>
        <w:rPr>
          <w:rFonts w:hint="eastAsia" w:ascii="宋体" w:hAnsi="宋体"/>
          <w:sz w:val="24"/>
        </w:rPr>
        <w:t>二是进一步凸显“以人为本”的服务意识。院部承担着就业政策的宣传和实施，就业指导课的落实和讲授，就业市场的开拓，大小型招聘会的组织等工作，是联系毕业生和用人单位的桥梁和纽带。所以，必须要不断加强就业工作人员的队伍建设，提高就业工作人员的整体素质。要树立服务意识，要每一位人员都明白我们的工作就是服务，而且是具有重大责任的服务人员，不仅要细心，而且要有恒心、耐心：其次要不断提高自己的理论水平，及时了解有关就业的政策方针，充实就业指导方面的知识，以便在工作中能更好服务于学生。</w:t>
      </w:r>
    </w:p>
    <w:p>
      <w:pPr>
        <w:spacing w:line="360" w:lineRule="auto"/>
        <w:ind w:firstLine="480" w:firstLineChars="200"/>
        <w:rPr>
          <w:rFonts w:hint="eastAsia" w:ascii="宋体" w:hAnsi="宋体"/>
          <w:sz w:val="24"/>
        </w:rPr>
      </w:pPr>
      <w:r>
        <w:rPr>
          <w:rFonts w:hint="eastAsia" w:ascii="宋体" w:hAnsi="宋体"/>
          <w:sz w:val="24"/>
        </w:rPr>
        <w:t>三是以市场为导向，认真做好大学生就业现状分析。要做好大学生就业指导工作，必须要紧紧围绕市场对人才的需求，以市场为导向，将学校专业设置、招生计划及课程设置与就业情况密切联院，根据市场变化，适时调整工作思路。首先要对大学生就业现状进行全面认真分析，根据每年的毕业生数及经济发展情况形成对就业总体形势的了解，另外再结合我们学校的办学特点，对本校学生就业情况进行分析，有哪些有利因素，有哪些不利因素，我们要做到心中有数，针对情况，扬长避短，使我们在工作中能有的放矢，对症下药。</w:t>
      </w:r>
    </w:p>
    <w:p>
      <w:pPr>
        <w:spacing w:line="360" w:lineRule="auto"/>
        <w:ind w:firstLine="480" w:firstLineChars="200"/>
        <w:rPr>
          <w:rFonts w:hint="eastAsia" w:ascii="宋体" w:hAnsi="宋体"/>
          <w:sz w:val="24"/>
        </w:rPr>
      </w:pPr>
      <w:r>
        <w:rPr>
          <w:rFonts w:hint="eastAsia" w:ascii="宋体" w:hAnsi="宋体"/>
          <w:sz w:val="24"/>
        </w:rPr>
        <w:t>四是加强就业指导课建设，引导学生树立正确就业观。帮助学生做好职业生涯规划，增强学生学习的自觉性;做好就业指导，不断提高学生就业能力。就业指导课作为提升学生就业能力、转变就业观念的主要途径在大学教育中占有非常重要的地位。教学形式上我们将课堂教学与讲座相结合，将参观学习与模拟实训相结合;教学安排上从学生人学到毕业，根据不同年级特点有侧重的进行全程式就业指导;内容上包括就业形势、就业观念教育，职业生涯规划，求职技巧及能力教育，创业培训等方面教育。真正发挥了就业指导课的作用，帮助学生理性、科学、可持续的择业、就业。例如，在思想教育方面，我们主要是引导大学生认清就业形势，摆正自己位置，树立正确的就业观。目前大学生出现就业难和就业紧张的情况，很大程度是因为大学生就业观念比较滞后。因此，我们就业工作部门通过入学教育的就业形势分析，聘请专家校友及企业界人士作专题讲座等形式，教育大学生要领会“市场导向、政府调控、学校推荐与用人单位双向选择”的就业政策。引导学生正确认识就业形势，树立“先就业，再择业”的就业观，大力倡导“行行可建功，处处能立业，劳动最光荣”的就业观，鼓励大学生到西部，到基层和艰苦的地方去，经受磨炼，健康成长;转变唯外企、党政机关、国有大中型企业就业的观念，选择到能够真正发挥自己才能的各类基层用人单位中就业的思想;树立创业思想，培养创业精神，增强创业意识，走自主创业的道路。</w:t>
      </w:r>
    </w:p>
    <w:p>
      <w:pPr>
        <w:spacing w:line="360" w:lineRule="auto"/>
        <w:ind w:firstLine="482" w:firstLineChars="200"/>
        <w:rPr>
          <w:rFonts w:hint="eastAsia" w:ascii="宋体" w:hAnsi="宋体"/>
          <w:b/>
          <w:sz w:val="24"/>
        </w:rPr>
      </w:pPr>
      <w:r>
        <w:rPr>
          <w:rFonts w:hint="eastAsia" w:ascii="宋体" w:hAnsi="宋体"/>
          <w:b/>
          <w:sz w:val="24"/>
        </w:rPr>
        <w:t>四、就业工作的重点与亮点</w:t>
      </w:r>
    </w:p>
    <w:p>
      <w:pPr>
        <w:spacing w:line="360" w:lineRule="auto"/>
        <w:ind w:firstLine="480" w:firstLineChars="200"/>
        <w:rPr>
          <w:rFonts w:ascii="宋体" w:hAnsi="宋体"/>
          <w:sz w:val="24"/>
        </w:rPr>
      </w:pPr>
      <w:r>
        <w:rPr>
          <w:rFonts w:ascii="宋体" w:hAnsi="宋体"/>
          <w:sz w:val="24"/>
        </w:rPr>
        <w:t>2022</w:t>
      </w:r>
      <w:r>
        <w:rPr>
          <w:rFonts w:hint="eastAsia" w:ascii="宋体" w:hAnsi="宋体"/>
          <w:sz w:val="24"/>
        </w:rPr>
        <w:t>年在院行政和院党委的正确领导下，在院全体教工的齐心努力下，圆满地完成了</w:t>
      </w:r>
      <w:r>
        <w:rPr>
          <w:rFonts w:ascii="宋体" w:hAnsi="宋体"/>
          <w:sz w:val="24"/>
        </w:rPr>
        <w:t>2022</w:t>
      </w:r>
      <w:r>
        <w:rPr>
          <w:rFonts w:hint="eastAsia" w:ascii="宋体" w:hAnsi="宋体"/>
          <w:sz w:val="24"/>
        </w:rPr>
        <w:t>届毕业生的就业工作，截至12月20日统计，毕业生的就业率为95.25</w:t>
      </w:r>
      <w:r>
        <w:rPr>
          <w:rFonts w:ascii="宋体" w:hAnsi="宋体"/>
          <w:sz w:val="24"/>
        </w:rPr>
        <w:t>%</w:t>
      </w:r>
      <w:r>
        <w:rPr>
          <w:rFonts w:hint="eastAsia" w:ascii="宋体" w:hAnsi="宋体"/>
          <w:sz w:val="24"/>
        </w:rPr>
        <w:t>，其中考上公务员、事业单位6名、考上硕士研究生58名。以下为我院</w:t>
      </w:r>
      <w:r>
        <w:rPr>
          <w:rFonts w:ascii="宋体" w:hAnsi="宋体"/>
          <w:sz w:val="24"/>
        </w:rPr>
        <w:t>2022</w:t>
      </w:r>
      <w:r>
        <w:rPr>
          <w:rFonts w:hint="eastAsia" w:ascii="宋体" w:hAnsi="宋体"/>
          <w:sz w:val="24"/>
        </w:rPr>
        <w:t>年的就业工作特色报告：</w:t>
      </w:r>
    </w:p>
    <w:p>
      <w:pPr>
        <w:spacing w:line="360" w:lineRule="auto"/>
        <w:ind w:firstLine="480" w:firstLineChars="200"/>
        <w:rPr>
          <w:rFonts w:ascii="宋体" w:hAnsi="宋体"/>
          <w:sz w:val="24"/>
        </w:rPr>
      </w:pPr>
      <w:r>
        <w:rPr>
          <w:rFonts w:hint="eastAsia" w:ascii="宋体" w:hAnsi="宋体"/>
          <w:sz w:val="24"/>
        </w:rPr>
        <w:t>（一）完善管理机制。</w:t>
      </w:r>
      <w:r>
        <w:rPr>
          <w:rFonts w:ascii="宋体" w:hAnsi="宋体"/>
          <w:sz w:val="24"/>
        </w:rPr>
        <w:t>2022</w:t>
      </w:r>
      <w:r>
        <w:rPr>
          <w:rFonts w:hint="eastAsia" w:ascii="宋体" w:hAnsi="宋体"/>
          <w:sz w:val="24"/>
        </w:rPr>
        <w:t>年我院的毕业生人数274人。为了圆满完成我院的就业工作，院成立了就业工作领导小组，以加强对就业工作的领导，并制定了相关政策，制定相应的奖励制度，调动了全院教职工参与就业工作的积极性，充分发挥各教研室、各专业教师在就业工作中的优势和潜力，强化服务意识，积极拓展就业市场，稳步提高就业率。我院广泛发动教师，利用广大教师丰富的“人脉”资源，积极联院用人单位，获取单位需求信息；要求毕业论文指导教师在指导学生完成论文的同时关心所指导学生的就业状况，对学生进行必要的就业指导；同时以毕业设计为抓手，以提高人才培养质量为目标，以促进就业为标准，帮助毕业生就业，确保了就业工作顺利开展。</w:t>
      </w:r>
    </w:p>
    <w:p>
      <w:pPr>
        <w:spacing w:line="360" w:lineRule="auto"/>
        <w:ind w:firstLine="480" w:firstLineChars="200"/>
        <w:rPr>
          <w:rFonts w:ascii="宋体" w:hAnsi="宋体"/>
          <w:sz w:val="24"/>
        </w:rPr>
      </w:pPr>
      <w:r>
        <w:rPr>
          <w:rFonts w:hint="eastAsia" w:ascii="宋体" w:hAnsi="宋体"/>
          <w:sz w:val="24"/>
        </w:rPr>
        <w:t>在具体的就业工作过程中，一切以学生为中心，一切以数据说话，一切工作按学校就业工作的总体要求进行推进，很好地完善了管理机制。</w:t>
      </w:r>
    </w:p>
    <w:p>
      <w:pPr>
        <w:spacing w:line="360" w:lineRule="auto"/>
        <w:ind w:firstLine="480" w:firstLineChars="200"/>
        <w:rPr>
          <w:rFonts w:hint="eastAsia" w:ascii="宋体" w:hAnsi="宋体"/>
          <w:sz w:val="24"/>
        </w:rPr>
      </w:pPr>
      <w:r>
        <w:rPr>
          <w:rFonts w:hint="eastAsia" w:ascii="宋体" w:hAnsi="宋体"/>
          <w:sz w:val="24"/>
        </w:rPr>
        <w:t>（二）建立就业工作台账，实现精准帮扶。</w:t>
      </w:r>
      <w:r>
        <w:rPr>
          <w:rFonts w:ascii="宋体" w:hAnsi="宋体"/>
          <w:sz w:val="24"/>
        </w:rPr>
        <w:t>2022</w:t>
      </w:r>
      <w:r>
        <w:rPr>
          <w:rFonts w:hint="eastAsia" w:ascii="宋体" w:hAnsi="宋体"/>
          <w:sz w:val="24"/>
        </w:rPr>
        <w:t>届城市建设与交通学院毕业生共274人，但个人素质不一，成绩和素质也不相同。有些学生刚进入大四就开始积极找工作，参加各种招聘会，但有些学生由于成绩差、性格内向、对自己不自信等原因，就业过程中出现特殊困难。对此我们一方面要求辅导员加强对学生的个别指导，正对性的帮助学生解决存在的问题；另一方面提出毕业实习与就业相结合，有针对性地安排毕业生的实习单位，通过实习使学生能够为单位所赏识，最终实现就业。结果表明，这项措施的效果还是非常明显的。</w:t>
      </w:r>
    </w:p>
    <w:p>
      <w:pPr>
        <w:spacing w:line="360" w:lineRule="auto"/>
        <w:ind w:firstLine="480" w:firstLineChars="200"/>
        <w:rPr>
          <w:rFonts w:hint="eastAsia" w:ascii="宋体" w:hAnsi="宋体"/>
          <w:sz w:val="24"/>
        </w:rPr>
      </w:pPr>
      <w:r>
        <w:rPr>
          <w:rFonts w:hint="eastAsia" w:ascii="宋体" w:hAnsi="宋体"/>
          <w:sz w:val="24"/>
        </w:rPr>
        <w:t>（三）开展校友“传帮带”活动。在就业工作中，校友资源也是一项重要的资源，我院积极联院已经毕业多年的校友，一方面给毕业生做报告，介绍行业就业形势、分析行业的发展前景、指点毕业生的求职路。另一方面，校友们也为我院提供了一些就业岗位。</w:t>
      </w:r>
    </w:p>
    <w:p>
      <w:pPr>
        <w:spacing w:line="360" w:lineRule="auto"/>
        <w:ind w:firstLine="482" w:firstLineChars="200"/>
        <w:rPr>
          <w:rFonts w:hint="eastAsia" w:ascii="宋体" w:hAnsi="宋体"/>
          <w:b/>
          <w:sz w:val="24"/>
        </w:rPr>
      </w:pPr>
      <w:r>
        <w:rPr>
          <w:rFonts w:hint="eastAsia" w:ascii="宋体" w:hAnsi="宋体"/>
          <w:b/>
          <w:sz w:val="24"/>
        </w:rPr>
        <w:t>五、对就业困难、弱势群体、特殊问题毕业生帮扶情况</w:t>
      </w:r>
    </w:p>
    <w:p>
      <w:pPr>
        <w:spacing w:line="360" w:lineRule="auto"/>
        <w:ind w:firstLine="480" w:firstLineChars="200"/>
        <w:rPr>
          <w:rFonts w:hint="eastAsia" w:ascii="宋体" w:hAnsi="宋体"/>
          <w:sz w:val="24"/>
        </w:rPr>
      </w:pPr>
      <w:r>
        <w:rPr>
          <w:rFonts w:ascii="宋体" w:hAnsi="宋体"/>
          <w:sz w:val="24"/>
        </w:rPr>
        <w:t>为帮助就业困难同学顺利就业，</w:t>
      </w:r>
      <w:r>
        <w:rPr>
          <w:rFonts w:hint="eastAsia" w:ascii="宋体" w:hAnsi="宋体"/>
          <w:sz w:val="24"/>
        </w:rPr>
        <w:t>实施“援助困难同学，携手共赴未来”就业困难援助计划，重点帮助就业困难同学顺利就业。从2022年3月底开始，对找工作困难的学生开展专项培训。对没有就业欲望、不积极外出寻找工作的学生开展重点扶贫，针对具体情况制订措施，</w:t>
      </w:r>
      <w:r>
        <w:rPr>
          <w:rFonts w:ascii="宋体" w:hAnsi="宋体"/>
          <w:sz w:val="24"/>
        </w:rPr>
        <w:t>主要措施包括：</w:t>
      </w:r>
    </w:p>
    <w:p>
      <w:pPr>
        <w:spacing w:line="360" w:lineRule="auto"/>
        <w:ind w:firstLine="480" w:firstLineChars="200"/>
        <w:rPr>
          <w:rFonts w:hint="eastAsia" w:ascii="宋体" w:hAnsi="宋体"/>
          <w:sz w:val="24"/>
        </w:rPr>
      </w:pPr>
      <w:r>
        <w:rPr>
          <w:rFonts w:hint="eastAsia" w:ascii="宋体" w:hAnsi="宋体"/>
          <w:sz w:val="24"/>
        </w:rPr>
        <w:t>（一）成立毕业生就业困难援助计划领导小组，主任、书记为领导小组组长和副组长，全体辅导员老师为领导小组成员。开展贫困生帮扶工作，帮助他们正确面对当前的就业形势。统一思想，高度重视，明确工作思路，有计划有步骤地组织实施。帮助就业困难学生解决实际问题，增强战胜困难的勇气和信心。</w:t>
      </w:r>
    </w:p>
    <w:p>
      <w:pPr>
        <w:spacing w:line="360" w:lineRule="auto"/>
        <w:ind w:firstLine="480" w:firstLineChars="200"/>
        <w:rPr>
          <w:rFonts w:hint="eastAsia" w:ascii="宋体" w:hAnsi="宋体"/>
          <w:sz w:val="24"/>
        </w:rPr>
      </w:pPr>
      <w:r>
        <w:rPr>
          <w:rFonts w:hint="eastAsia" w:ascii="宋体" w:hAnsi="宋体"/>
          <w:sz w:val="24"/>
        </w:rPr>
        <w:t>（二）强化管理，建立制度。一是建立“一对一”帮扶制度。全院老师共同参与，关爱就业困难毕业生，为他们提供一帮一的爱心、暖心、交心、贴心全方位的就业服务。二是建立就业困难学生家庭信息档案。全面了解学生的真实情况，建立档案，通过健全档案制度，实施科学有效的动态管理，及时、全面地掌握学生的状况，进一步提高帮扶工作的实效。三是在经济上实行必要的救助，从优秀毕业生奖励、困难补助等多个方面给予了一定的倾斜，让力求上进的贫困毕业生获奖受补，解决他们在就业过程中的后顾之忧。</w:t>
      </w:r>
    </w:p>
    <w:p>
      <w:pPr>
        <w:spacing w:line="360" w:lineRule="auto"/>
        <w:ind w:firstLine="480" w:firstLineChars="200"/>
        <w:rPr>
          <w:rFonts w:hint="eastAsia" w:ascii="宋体" w:hAnsi="宋体"/>
          <w:sz w:val="24"/>
        </w:rPr>
      </w:pPr>
      <w:r>
        <w:rPr>
          <w:rFonts w:hint="eastAsia" w:ascii="宋体" w:hAnsi="宋体"/>
          <w:sz w:val="24"/>
        </w:rPr>
        <w:t>（三）真心为贫困毕业生排忧解难。对贫困毕业生给予重点推荐，指导和服务。院里上到主任，下至普通教师，都积极承担推荐贫困学生就业任务，千方百计帮助他们顺利就业。</w:t>
      </w:r>
    </w:p>
    <w:p>
      <w:pPr>
        <w:spacing w:line="360" w:lineRule="auto"/>
        <w:ind w:firstLine="480" w:firstLineChars="200"/>
        <w:rPr>
          <w:rFonts w:hint="eastAsia" w:ascii="宋体" w:hAnsi="宋体"/>
          <w:sz w:val="24"/>
        </w:rPr>
      </w:pPr>
      <w:r>
        <w:rPr>
          <w:rFonts w:hint="eastAsia" w:ascii="宋体" w:hAnsi="宋体"/>
          <w:sz w:val="24"/>
        </w:rPr>
        <w:t>（四）建立与院里专业教师的联院制度，发挥专业教师在社会上的优势，积极推荐就业困难学生顺利就业。</w:t>
      </w:r>
    </w:p>
    <w:p>
      <w:pPr>
        <w:spacing w:line="360" w:lineRule="auto"/>
        <w:ind w:firstLine="480" w:firstLineChars="200"/>
        <w:rPr>
          <w:rFonts w:hint="eastAsia" w:ascii="宋体" w:hAnsi="宋体"/>
          <w:sz w:val="24"/>
        </w:rPr>
      </w:pPr>
      <w:r>
        <w:rPr>
          <w:rFonts w:hint="eastAsia" w:ascii="宋体" w:hAnsi="宋体"/>
          <w:sz w:val="24"/>
        </w:rPr>
        <w:t>为了认真贯彻学院就业工作的指示精神，进一步落实让每一位学生能就业的工作方针，2022年，我院专门对全体毕业生是否属于灾区、就业困难、弱势群体、存在特殊问题的情况进行一一排查，今年的毕业生无灾区学生，但有个别毕业生存在问题，就业不顺利，需要帮扶，我们根据实际情况一一加以帮助，最终实现就业。</w:t>
      </w:r>
    </w:p>
    <w:p>
      <w:pPr>
        <w:spacing w:line="360" w:lineRule="auto"/>
        <w:ind w:firstLine="482" w:firstLineChars="200"/>
        <w:rPr>
          <w:rFonts w:hint="eastAsia" w:ascii="宋体" w:hAnsi="宋体"/>
          <w:b/>
          <w:sz w:val="24"/>
        </w:rPr>
      </w:pPr>
      <w:r>
        <w:rPr>
          <w:rFonts w:hint="eastAsia" w:ascii="宋体" w:hAnsi="宋体"/>
          <w:b/>
          <w:sz w:val="24"/>
        </w:rPr>
        <w:t>六、对毕业生跟踪调查情况</w:t>
      </w:r>
    </w:p>
    <w:p>
      <w:pPr>
        <w:spacing w:line="360" w:lineRule="auto"/>
        <w:ind w:firstLine="480" w:firstLineChars="200"/>
        <w:rPr>
          <w:rFonts w:hint="eastAsia" w:ascii="宋体" w:hAnsi="宋体"/>
          <w:sz w:val="24"/>
        </w:rPr>
      </w:pPr>
      <w:r>
        <w:rPr>
          <w:rFonts w:ascii="宋体" w:hAnsi="宋体"/>
          <w:sz w:val="24"/>
        </w:rPr>
        <w:t>为了深入贯彻落实国家关于</w:t>
      </w:r>
      <w:r>
        <w:rPr>
          <w:rFonts w:hint="eastAsia" w:ascii="宋体" w:hAnsi="宋体"/>
          <w:sz w:val="24"/>
        </w:rPr>
        <w:t>高等</w:t>
      </w:r>
      <w:r>
        <w:rPr>
          <w:rFonts w:ascii="宋体" w:hAnsi="宋体"/>
          <w:sz w:val="24"/>
        </w:rPr>
        <w:t>院校以就业为导向的文件精神，及时了解毕业生就业状况，进一步完善和改进我</w:t>
      </w:r>
      <w:r>
        <w:rPr>
          <w:rFonts w:hint="eastAsia" w:ascii="宋体" w:hAnsi="宋体"/>
          <w:sz w:val="24"/>
        </w:rPr>
        <w:t>院</w:t>
      </w:r>
      <w:r>
        <w:rPr>
          <w:rFonts w:ascii="宋体" w:hAnsi="宋体"/>
          <w:sz w:val="24"/>
        </w:rPr>
        <w:t>的就业指导工作，推动教育教学改革， 我</w:t>
      </w:r>
      <w:r>
        <w:rPr>
          <w:rFonts w:hint="eastAsia" w:ascii="宋体" w:hAnsi="宋体"/>
          <w:sz w:val="24"/>
        </w:rPr>
        <w:t>院</w:t>
      </w:r>
      <w:r>
        <w:rPr>
          <w:rFonts w:ascii="宋体" w:hAnsi="宋体"/>
          <w:sz w:val="24"/>
        </w:rPr>
        <w:t>对</w:t>
      </w:r>
      <w:r>
        <w:rPr>
          <w:rFonts w:hint="eastAsia" w:ascii="宋体" w:hAnsi="宋体"/>
          <w:sz w:val="24"/>
        </w:rPr>
        <w:t>本院2022届</w:t>
      </w:r>
      <w:r>
        <w:rPr>
          <w:rFonts w:ascii="宋体" w:hAnsi="宋体"/>
          <w:sz w:val="24"/>
        </w:rPr>
        <w:t>毕业生就业情况进行了跟踪调查。 调查涉及</w:t>
      </w:r>
      <w:r>
        <w:rPr>
          <w:rFonts w:hint="eastAsia" w:ascii="宋体" w:hAnsi="宋体"/>
          <w:sz w:val="24"/>
        </w:rPr>
        <w:t>土木工程、工程管理、建筑学、交通工程4</w:t>
      </w:r>
      <w:r>
        <w:rPr>
          <w:rFonts w:ascii="宋体" w:hAnsi="宋体"/>
          <w:sz w:val="24"/>
        </w:rPr>
        <w:t>个专业。主要采取了电话调查、实地</w:t>
      </w:r>
      <w:r>
        <w:rPr>
          <w:rFonts w:hint="eastAsia" w:ascii="宋体" w:hAnsi="宋体"/>
          <w:sz w:val="24"/>
        </w:rPr>
        <w:t>走访</w:t>
      </w:r>
      <w:r>
        <w:rPr>
          <w:rFonts w:ascii="宋体" w:hAnsi="宋体"/>
          <w:sz w:val="24"/>
        </w:rPr>
        <w:t>等方式，主要就我</w:t>
      </w:r>
      <w:r>
        <w:rPr>
          <w:rFonts w:hint="eastAsia" w:ascii="宋体" w:hAnsi="宋体"/>
          <w:sz w:val="24"/>
        </w:rPr>
        <w:t>院</w:t>
      </w:r>
      <w:r>
        <w:rPr>
          <w:rFonts w:ascii="宋体" w:hAnsi="宋体"/>
          <w:sz w:val="24"/>
        </w:rPr>
        <w:t>毕业生走向工作岗位后的思想状况、专业知识、实际技能的运用和发挥及用人单位对我院毕业生的满意程度等进行了调查研究。</w:t>
      </w:r>
    </w:p>
    <w:p>
      <w:pPr>
        <w:spacing w:line="360" w:lineRule="auto"/>
        <w:ind w:firstLine="480" w:firstLineChars="200"/>
        <w:rPr>
          <w:rFonts w:hint="eastAsia" w:ascii="宋体" w:hAnsi="宋体"/>
          <w:sz w:val="24"/>
        </w:rPr>
      </w:pPr>
      <w:r>
        <w:rPr>
          <w:rFonts w:hint="eastAsia" w:ascii="宋体" w:hAnsi="宋体"/>
          <w:sz w:val="24"/>
        </w:rPr>
        <w:t>（一）</w:t>
      </w:r>
      <w:r>
        <w:rPr>
          <w:rFonts w:ascii="宋体" w:hAnsi="宋体"/>
          <w:sz w:val="24"/>
        </w:rPr>
        <w:t xml:space="preserve"> 学生的发展状况及市场需求分析 </w:t>
      </w:r>
    </w:p>
    <w:p>
      <w:pPr>
        <w:spacing w:line="360" w:lineRule="auto"/>
        <w:ind w:firstLine="480" w:firstLineChars="200"/>
        <w:rPr>
          <w:rFonts w:hint="eastAsia" w:ascii="宋体" w:hAnsi="宋体"/>
          <w:sz w:val="24"/>
        </w:rPr>
      </w:pPr>
      <w:r>
        <w:rPr>
          <w:rFonts w:hint="eastAsia" w:ascii="宋体" w:hAnsi="宋体"/>
          <w:sz w:val="24"/>
        </w:rPr>
        <w:t>1．学生发展状况分析</w:t>
      </w:r>
    </w:p>
    <w:p>
      <w:pPr>
        <w:spacing w:line="360" w:lineRule="auto"/>
        <w:ind w:firstLine="480" w:firstLineChars="200"/>
        <w:rPr>
          <w:rFonts w:hint="eastAsia" w:ascii="宋体" w:hAnsi="宋体"/>
          <w:sz w:val="24"/>
        </w:rPr>
      </w:pPr>
      <w:r>
        <w:rPr>
          <w:rFonts w:hint="eastAsia" w:ascii="宋体" w:hAnsi="宋体"/>
          <w:sz w:val="24"/>
        </w:rPr>
        <w:t>截止2022年12月20日，我院就业率为95.25%，其中考取研究生的人数为58人。</w:t>
      </w:r>
    </w:p>
    <w:p>
      <w:pPr>
        <w:spacing w:line="360" w:lineRule="auto"/>
        <w:ind w:firstLine="480" w:firstLineChars="200"/>
        <w:rPr>
          <w:rFonts w:hint="eastAsia" w:ascii="宋体" w:hAnsi="宋体"/>
          <w:sz w:val="24"/>
        </w:rPr>
      </w:pPr>
      <w:r>
        <w:rPr>
          <w:rFonts w:hint="eastAsia" w:ascii="宋体" w:hAnsi="宋体"/>
          <w:sz w:val="24"/>
        </w:rPr>
        <w:t>在此次调查走访中，我们发现</w:t>
      </w:r>
      <w:r>
        <w:rPr>
          <w:rFonts w:ascii="宋体" w:hAnsi="宋体"/>
          <w:sz w:val="24"/>
        </w:rPr>
        <w:t>毕业生对现在所从事的工作</w:t>
      </w:r>
      <w:r>
        <w:rPr>
          <w:rFonts w:hint="eastAsia" w:ascii="宋体" w:hAnsi="宋体"/>
          <w:sz w:val="24"/>
        </w:rPr>
        <w:t>非常</w:t>
      </w:r>
      <w:r>
        <w:rPr>
          <w:rFonts w:ascii="宋体" w:hAnsi="宋体"/>
          <w:sz w:val="24"/>
        </w:rPr>
        <w:t>满意的约占2</w:t>
      </w:r>
      <w:r>
        <w:rPr>
          <w:rFonts w:hint="eastAsia" w:ascii="宋体" w:hAnsi="宋体"/>
          <w:sz w:val="24"/>
        </w:rPr>
        <w:t>0</w:t>
      </w:r>
      <w:r>
        <w:rPr>
          <w:rFonts w:ascii="宋体" w:hAnsi="宋体"/>
          <w:sz w:val="24"/>
        </w:rPr>
        <w:t>%左右，对工作不满意的</w:t>
      </w:r>
      <w:r>
        <w:rPr>
          <w:rFonts w:hint="eastAsia" w:ascii="宋体" w:hAnsi="宋体"/>
          <w:sz w:val="24"/>
        </w:rPr>
        <w:t>占</w:t>
      </w:r>
      <w:r>
        <w:rPr>
          <w:rFonts w:ascii="宋体" w:hAnsi="宋体"/>
          <w:sz w:val="24"/>
        </w:rPr>
        <w:t>1</w:t>
      </w:r>
      <w:r>
        <w:rPr>
          <w:rFonts w:hint="eastAsia" w:ascii="宋体" w:hAnsi="宋体"/>
          <w:sz w:val="24"/>
        </w:rPr>
        <w:t>5</w:t>
      </w:r>
      <w:r>
        <w:rPr>
          <w:rFonts w:ascii="宋体" w:hAnsi="宋体"/>
          <w:sz w:val="24"/>
        </w:rPr>
        <w:t>%，大部分学生对自己现在的工作基本满意</w:t>
      </w:r>
      <w:r>
        <w:rPr>
          <w:rFonts w:hint="eastAsia" w:ascii="宋体" w:hAnsi="宋体"/>
          <w:sz w:val="24"/>
        </w:rPr>
        <w:t>为65</w:t>
      </w:r>
      <w:r>
        <w:rPr>
          <w:rFonts w:ascii="宋体" w:hAnsi="宋体"/>
          <w:sz w:val="24"/>
        </w:rPr>
        <w:t>%</w:t>
      </w:r>
      <w:r>
        <w:rPr>
          <w:rFonts w:hint="eastAsia" w:ascii="宋体" w:hAnsi="宋体"/>
          <w:sz w:val="24"/>
        </w:rPr>
        <w:t>，</w:t>
      </w:r>
      <w:r>
        <w:rPr>
          <w:rFonts w:ascii="宋体" w:hAnsi="宋体"/>
          <w:sz w:val="24"/>
        </w:rPr>
        <w:t>用人单位对我院毕业生反映良好，认为我院学生能适应工作要求，并对我院学生的综合素质表示满意，但同时，有的用人单位提出应加强</w:t>
      </w:r>
      <w:r>
        <w:rPr>
          <w:rFonts w:hint="eastAsia" w:ascii="宋体" w:hAnsi="宋体"/>
          <w:sz w:val="24"/>
        </w:rPr>
        <w:t>土木工程</w:t>
      </w:r>
      <w:r>
        <w:rPr>
          <w:rFonts w:ascii="宋体" w:hAnsi="宋体"/>
          <w:sz w:val="24"/>
        </w:rPr>
        <w:t xml:space="preserve">方面的实训、有针对性地安排一些与专业紧密结合的实用性的选修课程等意见。 </w:t>
      </w:r>
    </w:p>
    <w:p>
      <w:pPr>
        <w:spacing w:line="360" w:lineRule="auto"/>
        <w:ind w:firstLine="480" w:firstLineChars="200"/>
        <w:rPr>
          <w:rFonts w:hint="eastAsia" w:ascii="宋体" w:hAnsi="宋体"/>
          <w:sz w:val="24"/>
        </w:rPr>
      </w:pPr>
      <w:r>
        <w:rPr>
          <w:rFonts w:hint="eastAsia" w:ascii="宋体" w:hAnsi="宋体"/>
          <w:sz w:val="24"/>
        </w:rPr>
        <w:t>调查表明，我院毕业生大多数的就业都是面向本专业，在经历了五个月的工作之后，他们的择业观发生了一些变化：在择业过程中，将个人的发展前景看做最重要的因素；其次是工作能否提供供自身施展才华的平台；公司地理位置则不在作为主要考虑因素。</w:t>
      </w:r>
    </w:p>
    <w:p>
      <w:pPr>
        <w:spacing w:line="360" w:lineRule="auto"/>
        <w:ind w:firstLine="480" w:firstLineChars="200"/>
        <w:rPr>
          <w:rFonts w:ascii="宋体" w:hAnsi="宋体"/>
          <w:sz w:val="24"/>
        </w:rPr>
      </w:pPr>
      <w:r>
        <w:rPr>
          <w:rFonts w:hint="eastAsia" w:ascii="宋体" w:hAnsi="宋体"/>
          <w:sz w:val="24"/>
        </w:rPr>
        <w:t>2．</w:t>
      </w:r>
      <w:r>
        <w:rPr>
          <w:rFonts w:ascii="宋体" w:hAnsi="宋体"/>
          <w:sz w:val="24"/>
        </w:rPr>
        <w:t>市场需求分析</w:t>
      </w:r>
    </w:p>
    <w:p>
      <w:pPr>
        <w:spacing w:line="360" w:lineRule="auto"/>
        <w:ind w:firstLine="480" w:firstLineChars="200"/>
        <w:rPr>
          <w:rFonts w:ascii="宋体" w:hAnsi="宋体"/>
          <w:sz w:val="24"/>
        </w:rPr>
      </w:pPr>
      <w:r>
        <w:rPr>
          <w:rFonts w:ascii="宋体" w:hAnsi="宋体"/>
          <w:sz w:val="24"/>
        </w:rPr>
        <w:t> </w:t>
      </w:r>
      <w:r>
        <w:rPr>
          <w:rFonts w:hint="eastAsia" w:ascii="宋体" w:hAnsi="宋体"/>
          <w:sz w:val="24"/>
        </w:rPr>
        <w:t xml:space="preserve"> </w:t>
      </w:r>
      <w:r>
        <w:rPr>
          <w:rFonts w:ascii="宋体" w:hAnsi="宋体"/>
          <w:sz w:val="24"/>
        </w:rPr>
        <w:t>从我</w:t>
      </w:r>
      <w:r>
        <w:rPr>
          <w:rFonts w:hint="eastAsia" w:ascii="宋体" w:hAnsi="宋体"/>
          <w:sz w:val="24"/>
        </w:rPr>
        <w:t>院</w:t>
      </w:r>
      <w:r>
        <w:rPr>
          <w:rFonts w:ascii="宋体" w:hAnsi="宋体"/>
          <w:sz w:val="24"/>
        </w:rPr>
        <w:t>学生就业的情况看，约</w:t>
      </w:r>
      <w:r>
        <w:rPr>
          <w:rFonts w:hint="eastAsia" w:ascii="宋体" w:hAnsi="宋体"/>
          <w:sz w:val="24"/>
        </w:rPr>
        <w:t>9</w:t>
      </w:r>
      <w:r>
        <w:rPr>
          <w:rFonts w:ascii="宋体" w:hAnsi="宋体"/>
          <w:sz w:val="24"/>
        </w:rPr>
        <w:t>0%</w:t>
      </w:r>
      <w:r>
        <w:rPr>
          <w:rFonts w:hint="eastAsia" w:ascii="宋体" w:hAnsi="宋体"/>
          <w:sz w:val="24"/>
        </w:rPr>
        <w:t>的学生</w:t>
      </w:r>
      <w:r>
        <w:rPr>
          <w:rFonts w:ascii="宋体" w:hAnsi="宋体"/>
          <w:sz w:val="24"/>
        </w:rPr>
        <w:t>进入企业工作。从市场需求上看，</w:t>
      </w:r>
      <w:r>
        <w:rPr>
          <w:rFonts w:hint="eastAsia" w:ascii="宋体" w:hAnsi="宋体"/>
          <w:sz w:val="24"/>
        </w:rPr>
        <w:t>我院的毕业生大多数只具有专业的知识结构，但缺乏实际操作能力以及人际交往、组织协调等能力。尤其是建筑学专业，虽然当前房地产市场发展火热，但建筑学学生缺乏对自身的明确定位以及对就业市场的正确认识，期望值过高。</w:t>
      </w:r>
      <w:r>
        <w:rPr>
          <w:rFonts w:ascii="宋体" w:hAnsi="宋体"/>
          <w:sz w:val="24"/>
        </w:rPr>
        <w:t xml:space="preserve"> </w:t>
      </w:r>
    </w:p>
    <w:p>
      <w:pPr>
        <w:spacing w:line="360" w:lineRule="auto"/>
        <w:ind w:firstLine="480" w:firstLineChars="200"/>
        <w:rPr>
          <w:rFonts w:hint="eastAsia" w:ascii="宋体" w:hAnsi="宋体"/>
          <w:sz w:val="24"/>
        </w:rPr>
      </w:pPr>
      <w:r>
        <w:rPr>
          <w:rFonts w:hint="eastAsia" w:ascii="宋体" w:hAnsi="宋体"/>
          <w:sz w:val="24"/>
        </w:rPr>
        <w:t>（二）</w:t>
      </w:r>
      <w:r>
        <w:rPr>
          <w:rFonts w:ascii="宋体" w:hAnsi="宋体"/>
          <w:sz w:val="24"/>
        </w:rPr>
        <w:t xml:space="preserve">对学校工作的意见 </w:t>
      </w:r>
    </w:p>
    <w:p>
      <w:pPr>
        <w:spacing w:line="360" w:lineRule="auto"/>
        <w:ind w:firstLine="480" w:firstLineChars="200"/>
        <w:rPr>
          <w:rFonts w:hint="eastAsia" w:ascii="宋体" w:hAnsi="宋体"/>
          <w:sz w:val="24"/>
        </w:rPr>
      </w:pPr>
      <w:r>
        <w:rPr>
          <w:rFonts w:hint="eastAsia" w:ascii="宋体" w:hAnsi="宋体"/>
          <w:sz w:val="24"/>
        </w:rPr>
        <w:t>1．用人单位对我校就业工作的意见</w:t>
      </w:r>
    </w:p>
    <w:p>
      <w:pPr>
        <w:spacing w:line="360" w:lineRule="auto"/>
        <w:ind w:firstLine="480" w:firstLineChars="200"/>
        <w:rPr>
          <w:rFonts w:hint="eastAsia" w:ascii="宋体" w:hAnsi="宋体"/>
          <w:sz w:val="24"/>
        </w:rPr>
      </w:pPr>
      <w:r>
        <w:rPr>
          <w:rFonts w:hint="eastAsia" w:ascii="宋体" w:hAnsi="宋体"/>
          <w:sz w:val="24"/>
        </w:rPr>
        <w:t>用人单位对我校毕业生质量从总体素质、敬业精神、合作精神、社会责任感、知识结构、专业知识、实际工作能力、灵活性和应变能力、组织管理能力、获取知识和信息的能力、外语实际应用能力、计算机应用水平、实践动手能力、开拓精神和创新能力等方面进行了总体评价。总体来说用人单位对我校毕业生总体评价较高，其中对我校毕业生的总体素质、敬业精神、合作精神的总体评价最高。通过调查分析也可以看出用人单位对我校毕业生的灵活性、应变能力、组织管理能力、外语实际应用能力、动手能力和开拓创新能力等方面的表现还不是很满意。因此学校在以后的教育教学工作中应加强对学生这几方面素质的培养。用人单位诚恳的提出我校在对在校生的教育教学工作中，应重点加强在校生的实际动手能力、实践环节和科研创新能力的培养工作。</w:t>
      </w:r>
    </w:p>
    <w:p>
      <w:pPr>
        <w:spacing w:line="360" w:lineRule="auto"/>
        <w:ind w:firstLine="480" w:firstLineChars="200"/>
        <w:rPr>
          <w:rFonts w:hint="eastAsia" w:ascii="宋体" w:hAnsi="宋体"/>
          <w:sz w:val="24"/>
        </w:rPr>
      </w:pPr>
      <w:r>
        <w:rPr>
          <w:rFonts w:hint="eastAsia" w:ascii="宋体" w:hAnsi="宋体"/>
          <w:sz w:val="24"/>
        </w:rPr>
        <w:t>用人单位对我校人才培养和毕业生的就业工作的建议 ：一是希望我校在人才培养的过程中，根据企业的需求探索复合型人才的培养模式，培养一些网络技术与营销知识兼备的实用性复合型人才。二是课程的设置与企业的需求相结合。三是加强学生实际操作能力的培养，以缩短走向社会的不适应期。许多培养单位建议我校在人才培养的过程中除了专业知识和课程学习外，还应加强对学生的动手操作能力的培养，调整教学计划设置一些试验课，实践课和实际实习操作的相关课程。四是加强学生吃苦耐劳精神的培养。学生在学校的学习期间不仅要传授给学生专业知识和技能，也要使学生具有艰苦奋斗、吃苦耐劳克服困难的精神以适应未来的工作和生活。五是应加强对在校生团队精神的培养，以适应工作后的工作和科研需要。六是加强校企合作。最好建立学校和用人单位之间的合作组织，健全合作机制，实现学校和用人单位之间的良好沟通。学校应向用人单位及时发布人才信息，了解用人单位的人才需求。用人单位也要根据单位实际需求向学校提出在人才培养方面的建议。</w:t>
      </w:r>
    </w:p>
    <w:p>
      <w:pPr>
        <w:spacing w:line="360" w:lineRule="auto"/>
        <w:ind w:firstLine="480" w:firstLineChars="200"/>
        <w:rPr>
          <w:rFonts w:hint="eastAsia" w:ascii="宋体" w:hAnsi="宋体"/>
          <w:sz w:val="24"/>
        </w:rPr>
      </w:pPr>
      <w:r>
        <w:rPr>
          <w:rFonts w:hint="eastAsia" w:ascii="宋体" w:hAnsi="宋体"/>
          <w:sz w:val="24"/>
        </w:rPr>
        <w:t>2．毕业生对我校教育教学工作的评价和建议的调查分析</w:t>
      </w:r>
    </w:p>
    <w:p>
      <w:pPr>
        <w:spacing w:line="360" w:lineRule="auto"/>
        <w:ind w:firstLine="480" w:firstLineChars="200"/>
        <w:rPr>
          <w:rFonts w:hint="eastAsia" w:ascii="宋体" w:hAnsi="宋体"/>
          <w:sz w:val="24"/>
        </w:rPr>
      </w:pPr>
      <w:r>
        <w:rPr>
          <w:rFonts w:hint="eastAsia" w:ascii="宋体" w:hAnsi="宋体"/>
          <w:sz w:val="24"/>
        </w:rPr>
        <w:t>毕业生对我校在教育教学工作在以下几个方面的评价如下：一是认为母校在教育教学方面对工作影响较大的是基础理论教学、专业知识教学、课外科技活动和实践活动，其中专业知识的教学对以后的工作的影响最大。 二是认为母校学习期间的最大收获是学到扎实的基础理论和专业知识；培养了思考、分析和解决问题的能力 ，培养了组织管理能力 ；培养了综合能力。三是毕业生普遍认为我校毕业生在专业知识、学习能力和计算机能力方面较强。四是毕业生大都自认为我校毕业生的外语能力、实践动手能力和团队精神与协调能力方面比较弱，所以在今后的教育教学中从课内课外两方面着手加强学生在这三方面能力的教育和培养。五是毕业生对我校的专业设置和课程设置还是普遍认可的。但认可程度不是很高。68%的同学认为基本合理，28%的同学认为比较合理，说明我校的课程设置基本上还是合理的，但还要进一步改革，使之趋于更合理。六是我校教师的教风和教书育人方面的态度。从整体上看有81%的同学认为我校教师的教风较好，说明我校绝大多数教师在教书育人方面具有 良好的师德风范。但同时也应看到有 19%同学选择一般，说明也有一部分教师的教风也不是很理想，还有待于提高。为此，他们在人才培养和毕业生就业方面的意见和建议主要有：一是培养过程中安排的实习环节较少，建议学校应给学生创造更多的实习机会，提高学生的动手和实际操作能力。二是学校的部分课程设置陈旧，在实际工作中比较实用的课程却没有开设，建议学校要及时更新和优化课程体院，开设相关行业的前沿课程，以适应社会科技发展和满足用人单位的人才需求。三是在大学阶段，学校不仅要传授今后从事实际工作所需要的技能和专业知识，更要重视毕业生的交际能力、团队合作精神、吃苦耐劳精神等素质的培养。四是学校相关部门应多安排一些校内外知名学者的专业知识讲座，开阔学生的视野，提高学生的全面素质。</w:t>
      </w:r>
    </w:p>
    <w:p>
      <w:pPr>
        <w:ind w:right="360"/>
        <w:jc w:val="right"/>
        <w:rPr>
          <w:rFonts w:hint="eastAsia" w:ascii="宋体" w:hAnsi="宋体"/>
          <w:sz w:val="24"/>
        </w:rPr>
      </w:pPr>
    </w:p>
    <w:p>
      <w:pPr>
        <w:ind w:right="360"/>
        <w:jc w:val="right"/>
        <w:rPr>
          <w:rFonts w:hint="eastAsia" w:ascii="宋体" w:hAnsi="宋体"/>
          <w:sz w:val="24"/>
        </w:rPr>
      </w:pPr>
    </w:p>
    <w:p>
      <w:pPr>
        <w:ind w:right="360"/>
        <w:jc w:val="right"/>
        <w:rPr>
          <w:rFonts w:hint="eastAsia" w:ascii="宋体" w:hAnsi="宋体"/>
          <w:sz w:val="24"/>
        </w:rPr>
      </w:pPr>
      <w:r>
        <w:rPr>
          <w:rFonts w:hint="eastAsia" w:ascii="宋体" w:hAnsi="宋体"/>
          <w:sz w:val="24"/>
        </w:rPr>
        <w:t xml:space="preserve"> 城市建设与交通学院</w:t>
      </w:r>
    </w:p>
    <w:p>
      <w:pPr>
        <w:jc w:val="right"/>
        <w:rPr>
          <w:rFonts w:ascii="宋体" w:hAnsi="宋体"/>
          <w:sz w:val="24"/>
        </w:rPr>
      </w:pPr>
      <w:r>
        <w:rPr>
          <w:rFonts w:hint="eastAsia" w:ascii="宋体" w:hAnsi="宋体"/>
          <w:sz w:val="24"/>
        </w:rPr>
        <w:t>2022年12月20日</w:t>
      </w:r>
    </w:p>
    <w:p>
      <w:pPr>
        <w:spacing w:line="360" w:lineRule="auto"/>
        <w:jc w:val="center"/>
        <w:rPr>
          <w:rFonts w:ascii="宋体" w:hAnsi="宋体"/>
          <w:b/>
          <w:sz w:val="32"/>
          <w:szCs w:val="32"/>
        </w:rPr>
      </w:pPr>
      <w:r>
        <w:rPr>
          <w:rFonts w:ascii="宋体" w:hAnsi="宋体" w:eastAsia="宋体" w:cs="宋体"/>
          <w:b/>
          <w:color w:val="000000"/>
          <w:sz w:val="32"/>
          <w:szCs w:val="32"/>
        </w:rPr>
        <w:br w:type="page"/>
      </w:r>
      <w:r>
        <w:rPr>
          <w:rFonts w:ascii="宋体" w:hAnsi="宋体"/>
          <w:b/>
          <w:sz w:val="32"/>
          <w:szCs w:val="32"/>
        </w:rPr>
        <w:t>生物</w:t>
      </w:r>
      <w:r>
        <w:rPr>
          <w:rFonts w:hint="eastAsia" w:ascii="宋体" w:hAnsi="宋体"/>
          <w:b/>
          <w:sz w:val="32"/>
          <w:szCs w:val="32"/>
        </w:rPr>
        <w:t>食品与</w:t>
      </w:r>
      <w:r>
        <w:rPr>
          <w:rFonts w:ascii="宋体" w:hAnsi="宋体"/>
          <w:b/>
          <w:sz w:val="32"/>
          <w:szCs w:val="32"/>
        </w:rPr>
        <w:t>环境</w:t>
      </w:r>
      <w:r>
        <w:rPr>
          <w:rFonts w:hint="eastAsia" w:ascii="宋体" w:hAnsi="宋体"/>
          <w:b/>
          <w:sz w:val="32"/>
          <w:szCs w:val="32"/>
        </w:rPr>
        <w:t>学院</w:t>
      </w:r>
    </w:p>
    <w:p>
      <w:pPr>
        <w:spacing w:line="360" w:lineRule="auto"/>
        <w:jc w:val="center"/>
        <w:rPr>
          <w:rFonts w:ascii="宋体" w:hAnsi="宋体"/>
          <w:b/>
          <w:sz w:val="32"/>
          <w:szCs w:val="32"/>
        </w:rPr>
      </w:pPr>
      <w:r>
        <w:rPr>
          <w:rFonts w:ascii="宋体" w:hAnsi="宋体"/>
          <w:b/>
          <w:sz w:val="32"/>
          <w:szCs w:val="32"/>
        </w:rPr>
        <w:t>20</w:t>
      </w:r>
      <w:r>
        <w:rPr>
          <w:rFonts w:hint="eastAsia" w:ascii="宋体" w:hAnsi="宋体"/>
          <w:b/>
          <w:sz w:val="32"/>
          <w:szCs w:val="32"/>
        </w:rPr>
        <w:t>22</w:t>
      </w:r>
      <w:r>
        <w:rPr>
          <w:rFonts w:ascii="宋体" w:hAnsi="宋体"/>
          <w:b/>
          <w:sz w:val="32"/>
          <w:szCs w:val="32"/>
        </w:rPr>
        <w:t>年就业评估自查报告</w:t>
      </w:r>
    </w:p>
    <w:p/>
    <w:p>
      <w:pPr>
        <w:spacing w:line="360" w:lineRule="auto"/>
        <w:ind w:firstLine="480" w:firstLineChars="200"/>
        <w:rPr>
          <w:rFonts w:hint="eastAsia" w:ascii="宋体" w:hAnsi="宋体"/>
          <w:sz w:val="24"/>
        </w:rPr>
      </w:pPr>
      <w:r>
        <w:rPr>
          <w:rFonts w:hint="eastAsia" w:ascii="宋体" w:hAnsi="宋体"/>
          <w:sz w:val="24"/>
        </w:rPr>
        <w:t>为深入贯彻落实国家六稳六保工作，持续推动大学生更加充分更高质量就业，我院在校、院党委的坚强领导下，将本科生就业工作摆在首位，将就业工作做细做实，上下一心，较好地完成了</w:t>
      </w:r>
      <w:r>
        <w:rPr>
          <w:rFonts w:ascii="宋体" w:hAnsi="宋体"/>
          <w:sz w:val="24"/>
        </w:rPr>
        <w:t>20</w:t>
      </w:r>
      <w:r>
        <w:rPr>
          <w:rFonts w:hint="eastAsia" w:ascii="宋体" w:hAnsi="宋体"/>
          <w:sz w:val="24"/>
        </w:rPr>
        <w:t>22</w:t>
      </w:r>
      <w:r>
        <w:rPr>
          <w:rFonts w:ascii="宋体" w:hAnsi="宋体"/>
          <w:sz w:val="24"/>
        </w:rPr>
        <w:t>届各个专业毕业生的就业工作，</w:t>
      </w:r>
      <w:r>
        <w:rPr>
          <w:rFonts w:hint="eastAsia" w:ascii="宋体" w:hAnsi="宋体"/>
          <w:sz w:val="24"/>
        </w:rPr>
        <w:t>截止2022年12月31日，我院216名毕业生，提交就业协议或劳动合同119份，考研录取80名，国家和地方基层项目就业4人，参军1人，总体就业率</w:t>
      </w:r>
      <w:r>
        <w:rPr>
          <w:rFonts w:ascii="宋体" w:hAnsi="宋体"/>
          <w:sz w:val="24"/>
        </w:rPr>
        <w:t>9</w:t>
      </w:r>
      <w:r>
        <w:rPr>
          <w:rFonts w:hint="eastAsia" w:ascii="宋体" w:hAnsi="宋体"/>
          <w:sz w:val="24"/>
        </w:rPr>
        <w:t>4.44%。</w:t>
      </w:r>
      <w:r>
        <w:rPr>
          <w:rFonts w:ascii="宋体" w:hAnsi="宋体"/>
          <w:sz w:val="24"/>
        </w:rPr>
        <w:t>按照</w:t>
      </w:r>
      <w:r>
        <w:rPr>
          <w:rFonts w:hint="eastAsia" w:ascii="宋体" w:hAnsi="宋体"/>
          <w:sz w:val="24"/>
        </w:rPr>
        <w:t>学校</w:t>
      </w:r>
      <w:r>
        <w:rPr>
          <w:rFonts w:ascii="宋体" w:hAnsi="宋体"/>
          <w:sz w:val="24"/>
        </w:rPr>
        <w:t>部署，对</w:t>
      </w:r>
      <w:r>
        <w:rPr>
          <w:rFonts w:hint="eastAsia" w:ascii="宋体" w:hAnsi="宋体"/>
          <w:sz w:val="24"/>
        </w:rPr>
        <w:t>我院</w:t>
      </w:r>
      <w:r>
        <w:rPr>
          <w:rFonts w:ascii="宋体" w:hAnsi="宋体"/>
          <w:sz w:val="24"/>
        </w:rPr>
        <w:t>202</w:t>
      </w:r>
      <w:r>
        <w:rPr>
          <w:rFonts w:hint="eastAsia" w:ascii="宋体" w:hAnsi="宋体"/>
          <w:sz w:val="24"/>
        </w:rPr>
        <w:t>1</w:t>
      </w:r>
      <w:r>
        <w:rPr>
          <w:rFonts w:ascii="宋体" w:hAnsi="宋体"/>
          <w:sz w:val="24"/>
        </w:rPr>
        <w:t>-20</w:t>
      </w:r>
      <w:r>
        <w:rPr>
          <w:rFonts w:hint="eastAsia" w:ascii="宋体" w:hAnsi="宋体"/>
          <w:sz w:val="24"/>
        </w:rPr>
        <w:t>22</w:t>
      </w:r>
      <w:r>
        <w:rPr>
          <w:rFonts w:ascii="宋体" w:hAnsi="宋体"/>
          <w:sz w:val="24"/>
        </w:rPr>
        <w:t>年度就业工作开展自评，现将自评情况汇报如下</w:t>
      </w:r>
      <w:r>
        <w:rPr>
          <w:rFonts w:hint="eastAsia" w:ascii="宋体" w:hAnsi="宋体"/>
          <w:sz w:val="24"/>
        </w:rPr>
        <w:t>：</w:t>
      </w:r>
    </w:p>
    <w:p>
      <w:pPr>
        <w:spacing w:line="360" w:lineRule="auto"/>
        <w:jc w:val="center"/>
        <w:rPr>
          <w:rFonts w:ascii="宋体" w:hAnsi="宋体"/>
          <w:b/>
          <w:sz w:val="32"/>
          <w:szCs w:val="32"/>
        </w:rPr>
      </w:pPr>
      <w:r>
        <w:rPr>
          <w:rFonts w:hint="eastAsia" w:ascii="宋体" w:hAnsi="宋体"/>
          <w:b/>
          <w:sz w:val="32"/>
          <w:szCs w:val="32"/>
        </w:rPr>
        <w:t xml:space="preserve">第一部分  </w:t>
      </w:r>
      <w:r>
        <w:rPr>
          <w:rFonts w:ascii="宋体" w:hAnsi="宋体"/>
          <w:b/>
          <w:sz w:val="32"/>
          <w:szCs w:val="32"/>
        </w:rPr>
        <w:t>基本情况</w:t>
      </w:r>
    </w:p>
    <w:p>
      <w:pPr>
        <w:spacing w:line="360" w:lineRule="auto"/>
        <w:ind w:firstLine="480" w:firstLineChars="200"/>
        <w:rPr>
          <w:rFonts w:hint="eastAsia" w:ascii="宋体" w:hAnsi="宋体"/>
          <w:sz w:val="24"/>
        </w:rPr>
      </w:pPr>
      <w:r>
        <w:rPr>
          <w:rFonts w:ascii="宋体" w:hAnsi="宋体"/>
          <w:sz w:val="24"/>
        </w:rPr>
        <w:t>本年度我</w:t>
      </w:r>
      <w:r>
        <w:rPr>
          <w:rFonts w:hint="eastAsia" w:ascii="宋体" w:hAnsi="宋体"/>
          <w:sz w:val="24"/>
        </w:rPr>
        <w:t>院22</w:t>
      </w:r>
      <w:r>
        <w:rPr>
          <w:rFonts w:ascii="宋体" w:hAnsi="宋体"/>
          <w:sz w:val="24"/>
        </w:rPr>
        <w:t>届毕业生为</w:t>
      </w:r>
      <w:r>
        <w:rPr>
          <w:rFonts w:hint="eastAsia" w:ascii="宋体" w:hAnsi="宋体"/>
          <w:sz w:val="24"/>
        </w:rPr>
        <w:t>7</w:t>
      </w:r>
      <w:r>
        <w:rPr>
          <w:rFonts w:ascii="宋体" w:hAnsi="宋体"/>
          <w:sz w:val="24"/>
        </w:rPr>
        <w:t>个本科班级，共计</w:t>
      </w:r>
      <w:r>
        <w:rPr>
          <w:rFonts w:hint="eastAsia" w:ascii="宋体" w:hAnsi="宋体"/>
          <w:sz w:val="24"/>
        </w:rPr>
        <w:t>216</w:t>
      </w:r>
      <w:r>
        <w:rPr>
          <w:rFonts w:ascii="宋体" w:hAnsi="宋体"/>
          <w:sz w:val="24"/>
        </w:rPr>
        <w:t>人：生物工程</w:t>
      </w:r>
      <w:r>
        <w:rPr>
          <w:rFonts w:hint="eastAsia" w:ascii="宋体" w:hAnsi="宋体"/>
          <w:sz w:val="24"/>
        </w:rPr>
        <w:t>3个</w:t>
      </w:r>
      <w:r>
        <w:rPr>
          <w:rFonts w:ascii="宋体" w:hAnsi="宋体"/>
          <w:sz w:val="24"/>
        </w:rPr>
        <w:t>班，共</w:t>
      </w:r>
      <w:r>
        <w:rPr>
          <w:rFonts w:hint="eastAsia" w:ascii="宋体" w:hAnsi="宋体"/>
          <w:sz w:val="24"/>
        </w:rPr>
        <w:t>90</w:t>
      </w:r>
      <w:r>
        <w:rPr>
          <w:rFonts w:ascii="宋体" w:hAnsi="宋体"/>
          <w:sz w:val="24"/>
        </w:rPr>
        <w:t>人</w:t>
      </w:r>
      <w:r>
        <w:rPr>
          <w:rFonts w:hint="eastAsia" w:ascii="宋体" w:hAnsi="宋体"/>
          <w:sz w:val="24"/>
        </w:rPr>
        <w:t>，其中4人结业；</w:t>
      </w:r>
      <w:r>
        <w:rPr>
          <w:rFonts w:ascii="宋体" w:hAnsi="宋体"/>
          <w:sz w:val="24"/>
        </w:rPr>
        <w:t>食品科学与工程</w:t>
      </w:r>
      <w:r>
        <w:rPr>
          <w:rFonts w:hint="eastAsia" w:ascii="宋体" w:hAnsi="宋体"/>
          <w:sz w:val="24"/>
        </w:rPr>
        <w:t>1个班，共24人,其中2人结业；环境工程2个班，共61人；食品质量与安全1个班，共37人</w:t>
      </w:r>
      <w:r>
        <w:rPr>
          <w:rFonts w:ascii="宋体" w:hAnsi="宋体"/>
          <w:sz w:val="24"/>
        </w:rPr>
        <w:t>。在</w:t>
      </w:r>
      <w:r>
        <w:rPr>
          <w:rFonts w:hint="eastAsia" w:ascii="宋体" w:hAnsi="宋体"/>
          <w:sz w:val="24"/>
        </w:rPr>
        <w:t>校</w:t>
      </w:r>
      <w:r>
        <w:rPr>
          <w:rFonts w:ascii="宋体" w:hAnsi="宋体"/>
          <w:sz w:val="24"/>
        </w:rPr>
        <w:t>就业指导中心</w:t>
      </w:r>
      <w:r>
        <w:rPr>
          <w:rFonts w:hint="eastAsia" w:ascii="宋体" w:hAnsi="宋体"/>
          <w:sz w:val="24"/>
        </w:rPr>
        <w:t>的</w:t>
      </w:r>
      <w:r>
        <w:rPr>
          <w:rFonts w:ascii="宋体" w:hAnsi="宋体"/>
          <w:sz w:val="24"/>
        </w:rPr>
        <w:t>帮助下，我</w:t>
      </w:r>
      <w:r>
        <w:rPr>
          <w:rFonts w:hint="eastAsia" w:ascii="宋体" w:hAnsi="宋体"/>
          <w:sz w:val="24"/>
        </w:rPr>
        <w:t>院就业</w:t>
      </w:r>
      <w:r>
        <w:rPr>
          <w:rFonts w:ascii="宋体" w:hAnsi="宋体"/>
          <w:sz w:val="24"/>
        </w:rPr>
        <w:t>工作领导小组带领全</w:t>
      </w:r>
      <w:r>
        <w:rPr>
          <w:rFonts w:hint="eastAsia" w:ascii="宋体" w:hAnsi="宋体"/>
          <w:sz w:val="24"/>
        </w:rPr>
        <w:t>院</w:t>
      </w:r>
      <w:r>
        <w:rPr>
          <w:rFonts w:ascii="宋体" w:hAnsi="宋体"/>
          <w:sz w:val="24"/>
        </w:rPr>
        <w:t>教工克服种种困难，加强对学生的就业指导与服务工作，取得了较为理想的成绩。截止到20</w:t>
      </w:r>
      <w:r>
        <w:rPr>
          <w:rFonts w:hint="eastAsia" w:ascii="宋体" w:hAnsi="宋体"/>
          <w:sz w:val="24"/>
        </w:rPr>
        <w:t>22</w:t>
      </w:r>
      <w:r>
        <w:rPr>
          <w:rFonts w:ascii="宋体" w:hAnsi="宋体"/>
          <w:sz w:val="24"/>
        </w:rPr>
        <w:t>年</w:t>
      </w:r>
      <w:r>
        <w:rPr>
          <w:rFonts w:hint="eastAsia" w:ascii="宋体" w:hAnsi="宋体"/>
          <w:sz w:val="24"/>
        </w:rPr>
        <w:t>12</w:t>
      </w:r>
      <w:r>
        <w:rPr>
          <w:rFonts w:ascii="宋体" w:hAnsi="宋体"/>
          <w:sz w:val="24"/>
        </w:rPr>
        <w:t>月</w:t>
      </w:r>
      <w:r>
        <w:rPr>
          <w:rFonts w:hint="eastAsia" w:ascii="宋体" w:hAnsi="宋体"/>
          <w:sz w:val="24"/>
        </w:rPr>
        <w:t>31</w:t>
      </w:r>
      <w:r>
        <w:rPr>
          <w:rFonts w:ascii="宋体" w:hAnsi="宋体"/>
          <w:sz w:val="24"/>
        </w:rPr>
        <w:t>日，我</w:t>
      </w:r>
      <w:r>
        <w:rPr>
          <w:rFonts w:hint="eastAsia" w:ascii="宋体" w:hAnsi="宋体"/>
          <w:sz w:val="24"/>
        </w:rPr>
        <w:t>院本科毕业生整体就业情况统计如下：</w:t>
      </w:r>
    </w:p>
    <w:p>
      <w:pPr>
        <w:spacing w:line="360" w:lineRule="auto"/>
        <w:ind w:firstLine="480" w:firstLineChars="200"/>
        <w:rPr>
          <w:rFonts w:hint="eastAsia" w:ascii="宋体" w:hAnsi="宋体"/>
          <w:sz w:val="24"/>
        </w:rPr>
      </w:pPr>
    </w:p>
    <w:p>
      <w:pPr>
        <w:spacing w:line="360" w:lineRule="auto"/>
        <w:ind w:firstLine="480" w:firstLineChars="200"/>
        <w:rPr>
          <w:rFonts w:hint="eastAsia" w:ascii="宋体" w:hAnsi="宋体"/>
          <w:sz w:val="24"/>
        </w:rPr>
      </w:pPr>
    </w:p>
    <w:p>
      <w:pPr>
        <w:spacing w:line="360" w:lineRule="auto"/>
        <w:ind w:firstLine="422" w:firstLineChars="200"/>
        <w:jc w:val="center"/>
        <w:rPr>
          <w:rFonts w:hint="eastAsia" w:ascii="宋体" w:hAnsi="宋体"/>
          <w:b/>
          <w:szCs w:val="21"/>
        </w:rPr>
      </w:pPr>
      <w:r>
        <w:rPr>
          <w:rFonts w:hint="eastAsia" w:ascii="宋体" w:hAnsi="宋体"/>
          <w:b/>
          <w:szCs w:val="21"/>
        </w:rPr>
        <w:t>表1 2022年12月31日生物学院就业情况统计</w:t>
      </w:r>
    </w:p>
    <w:tbl>
      <w:tblPr>
        <w:tblStyle w:val="13"/>
        <w:tblW w:w="9140" w:type="dxa"/>
        <w:jc w:val="center"/>
        <w:tblBorders>
          <w:top w:val="single" w:color="000000" w:sz="12" w:space="0"/>
          <w:left w:val="none" w:color="auto" w:sz="0" w:space="0"/>
          <w:bottom w:val="single" w:color="000000"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096"/>
        <w:gridCol w:w="1096"/>
        <w:gridCol w:w="1096"/>
        <w:gridCol w:w="1097"/>
        <w:gridCol w:w="1097"/>
        <w:gridCol w:w="1096"/>
        <w:gridCol w:w="1096"/>
        <w:gridCol w:w="1466"/>
      </w:tblGrid>
      <w:tr>
        <w:tblPrEx>
          <w:tblBorders>
            <w:top w:val="single" w:color="000000" w:sz="12" w:space="0"/>
            <w:left w:val="none" w:color="auto" w:sz="0" w:space="0"/>
            <w:bottom w:val="single" w:color="000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3" w:hRule="atLeast"/>
          <w:jc w:val="center"/>
        </w:trPr>
        <w:tc>
          <w:tcPr>
            <w:tcW w:w="1096" w:type="dxa"/>
            <w:tcBorders>
              <w:bottom w:val="single" w:color="000000" w:sz="6" w:space="0"/>
              <w:right w:val="single" w:color="000000" w:sz="6" w:space="0"/>
            </w:tcBorders>
            <w:noWrap w:val="0"/>
            <w:vAlign w:val="top"/>
          </w:tcPr>
          <w:p>
            <w:pPr>
              <w:widowControl/>
              <w:spacing w:line="360" w:lineRule="auto"/>
              <w:jc w:val="center"/>
              <w:rPr>
                <w:rFonts w:hint="eastAsia" w:ascii="Courier New" w:hAnsi="Courier New" w:cs="Courier New"/>
                <w:b/>
                <w:bCs/>
                <w:iCs/>
                <w:color w:val="000000"/>
                <w:kern w:val="0"/>
                <w:szCs w:val="21"/>
              </w:rPr>
            </w:pPr>
            <w:r>
              <w:rPr>
                <w:rFonts w:hint="eastAsia" w:ascii="Courier New" w:hAnsi="Courier New" w:cs="Courier New"/>
                <w:b/>
                <w:bCs/>
                <w:iCs/>
                <w:color w:val="000000"/>
                <w:kern w:val="0"/>
                <w:szCs w:val="21"/>
              </w:rPr>
              <w:t>专业名称</w:t>
            </w:r>
          </w:p>
        </w:tc>
        <w:tc>
          <w:tcPr>
            <w:tcW w:w="1096" w:type="dxa"/>
            <w:tcBorders>
              <w:bottom w:val="single" w:color="000000" w:sz="6" w:space="0"/>
            </w:tcBorders>
            <w:noWrap w:val="0"/>
            <w:vAlign w:val="top"/>
          </w:tcPr>
          <w:p>
            <w:pPr>
              <w:widowControl/>
              <w:spacing w:line="360" w:lineRule="auto"/>
              <w:jc w:val="center"/>
              <w:rPr>
                <w:rFonts w:hint="eastAsia" w:ascii="Courier New" w:hAnsi="Courier New" w:cs="Courier New"/>
                <w:b/>
                <w:bCs/>
                <w:iCs/>
                <w:color w:val="000000"/>
                <w:kern w:val="0"/>
                <w:szCs w:val="21"/>
              </w:rPr>
            </w:pPr>
            <w:r>
              <w:rPr>
                <w:rFonts w:hint="eastAsia" w:ascii="Courier New" w:hAnsi="Courier New" w:cs="Courier New"/>
                <w:b/>
                <w:bCs/>
                <w:iCs/>
                <w:color w:val="000000"/>
                <w:kern w:val="0"/>
                <w:szCs w:val="21"/>
              </w:rPr>
              <w:t>学生总数</w:t>
            </w:r>
          </w:p>
        </w:tc>
        <w:tc>
          <w:tcPr>
            <w:tcW w:w="1096" w:type="dxa"/>
            <w:tcBorders>
              <w:bottom w:val="single" w:color="000000" w:sz="6" w:space="0"/>
            </w:tcBorders>
            <w:noWrap w:val="0"/>
            <w:vAlign w:val="top"/>
          </w:tcPr>
          <w:p>
            <w:pPr>
              <w:widowControl/>
              <w:spacing w:line="360" w:lineRule="auto"/>
              <w:jc w:val="center"/>
              <w:rPr>
                <w:rFonts w:ascii="Courier New" w:hAnsi="Courier New" w:cs="Courier New"/>
                <w:b/>
                <w:bCs/>
                <w:iCs/>
                <w:color w:val="000000"/>
                <w:kern w:val="0"/>
                <w:szCs w:val="21"/>
              </w:rPr>
            </w:pPr>
            <w:r>
              <w:rPr>
                <w:rFonts w:hint="eastAsia" w:ascii="Courier New" w:hAnsi="Courier New" w:cs="Courier New"/>
                <w:b/>
                <w:bCs/>
                <w:iCs/>
                <w:color w:val="000000"/>
                <w:kern w:val="0"/>
                <w:szCs w:val="21"/>
              </w:rPr>
              <w:t>毕业人数</w:t>
            </w:r>
          </w:p>
        </w:tc>
        <w:tc>
          <w:tcPr>
            <w:tcW w:w="1097" w:type="dxa"/>
            <w:tcBorders>
              <w:bottom w:val="single" w:color="000000" w:sz="6" w:space="0"/>
            </w:tcBorders>
            <w:noWrap w:val="0"/>
            <w:vAlign w:val="top"/>
          </w:tcPr>
          <w:p>
            <w:pPr>
              <w:widowControl/>
              <w:spacing w:line="360" w:lineRule="auto"/>
              <w:jc w:val="center"/>
              <w:rPr>
                <w:rFonts w:hint="eastAsia" w:ascii="Courier New" w:hAnsi="Courier New" w:cs="Courier New"/>
                <w:b/>
                <w:bCs/>
                <w:iCs/>
                <w:color w:val="000000"/>
                <w:kern w:val="0"/>
                <w:szCs w:val="21"/>
              </w:rPr>
            </w:pPr>
            <w:r>
              <w:rPr>
                <w:rFonts w:hint="eastAsia" w:ascii="Courier New" w:hAnsi="Courier New" w:cs="Courier New"/>
                <w:b/>
                <w:bCs/>
                <w:iCs/>
                <w:color w:val="000000"/>
                <w:kern w:val="0"/>
                <w:szCs w:val="21"/>
              </w:rPr>
              <w:t>结业人数</w:t>
            </w:r>
          </w:p>
        </w:tc>
        <w:tc>
          <w:tcPr>
            <w:tcW w:w="1097" w:type="dxa"/>
            <w:tcBorders>
              <w:bottom w:val="single" w:color="000000" w:sz="6" w:space="0"/>
            </w:tcBorders>
            <w:noWrap w:val="0"/>
            <w:vAlign w:val="top"/>
          </w:tcPr>
          <w:p>
            <w:pPr>
              <w:widowControl/>
              <w:spacing w:line="360" w:lineRule="auto"/>
              <w:jc w:val="center"/>
              <w:rPr>
                <w:rFonts w:ascii="Courier New" w:hAnsi="Courier New" w:cs="Courier New"/>
                <w:b/>
                <w:bCs/>
                <w:iCs/>
                <w:color w:val="000000"/>
                <w:kern w:val="0"/>
                <w:szCs w:val="21"/>
              </w:rPr>
            </w:pPr>
            <w:r>
              <w:rPr>
                <w:rFonts w:hint="eastAsia" w:ascii="Courier New" w:hAnsi="Courier New" w:cs="Courier New"/>
                <w:b/>
                <w:bCs/>
                <w:iCs/>
                <w:color w:val="000000"/>
                <w:kern w:val="0"/>
                <w:szCs w:val="21"/>
              </w:rPr>
              <w:t>就业人数</w:t>
            </w:r>
          </w:p>
        </w:tc>
        <w:tc>
          <w:tcPr>
            <w:tcW w:w="1096" w:type="dxa"/>
            <w:tcBorders>
              <w:bottom w:val="single" w:color="000000" w:sz="6" w:space="0"/>
            </w:tcBorders>
            <w:noWrap w:val="0"/>
            <w:vAlign w:val="top"/>
          </w:tcPr>
          <w:p>
            <w:pPr>
              <w:widowControl/>
              <w:spacing w:line="360" w:lineRule="auto"/>
              <w:jc w:val="center"/>
              <w:rPr>
                <w:rFonts w:ascii="Courier New" w:hAnsi="Courier New" w:cs="Courier New"/>
                <w:b/>
                <w:bCs/>
                <w:iCs/>
                <w:color w:val="000000"/>
                <w:kern w:val="0"/>
                <w:szCs w:val="21"/>
              </w:rPr>
            </w:pPr>
            <w:r>
              <w:rPr>
                <w:rFonts w:hint="eastAsia" w:ascii="Courier New" w:hAnsi="Courier New" w:cs="Courier New"/>
                <w:b/>
                <w:bCs/>
                <w:iCs/>
                <w:color w:val="000000"/>
                <w:kern w:val="0"/>
                <w:szCs w:val="21"/>
              </w:rPr>
              <w:t>考研人数</w:t>
            </w:r>
          </w:p>
        </w:tc>
        <w:tc>
          <w:tcPr>
            <w:tcW w:w="1096" w:type="dxa"/>
            <w:tcBorders>
              <w:bottom w:val="single" w:color="000000" w:sz="6" w:space="0"/>
            </w:tcBorders>
            <w:noWrap/>
            <w:vAlign w:val="top"/>
          </w:tcPr>
          <w:p>
            <w:pPr>
              <w:widowControl/>
              <w:spacing w:line="360" w:lineRule="auto"/>
              <w:jc w:val="center"/>
              <w:rPr>
                <w:rFonts w:ascii="Courier New" w:hAnsi="Courier New" w:cs="Courier New"/>
                <w:b/>
                <w:bCs/>
                <w:iCs/>
                <w:color w:val="000000"/>
                <w:kern w:val="0"/>
                <w:szCs w:val="21"/>
              </w:rPr>
            </w:pPr>
            <w:r>
              <w:rPr>
                <w:rFonts w:hint="eastAsia" w:ascii="Courier New" w:hAnsi="Courier New" w:cs="Courier New"/>
                <w:b/>
                <w:bCs/>
                <w:iCs/>
                <w:color w:val="000000"/>
                <w:kern w:val="0"/>
                <w:szCs w:val="21"/>
              </w:rPr>
              <w:t>就业率</w:t>
            </w:r>
          </w:p>
        </w:tc>
        <w:tc>
          <w:tcPr>
            <w:tcW w:w="1466" w:type="dxa"/>
            <w:tcBorders>
              <w:bottom w:val="single" w:color="000000" w:sz="6" w:space="0"/>
            </w:tcBorders>
            <w:noWrap w:val="0"/>
            <w:vAlign w:val="top"/>
          </w:tcPr>
          <w:p>
            <w:pPr>
              <w:widowControl/>
              <w:spacing w:line="360" w:lineRule="auto"/>
              <w:jc w:val="center"/>
              <w:rPr>
                <w:rFonts w:hint="eastAsia" w:ascii="Courier New" w:hAnsi="Courier New" w:cs="Courier New"/>
                <w:b/>
                <w:bCs/>
                <w:iCs/>
                <w:color w:val="000000"/>
                <w:kern w:val="0"/>
                <w:szCs w:val="21"/>
              </w:rPr>
            </w:pPr>
            <w:r>
              <w:rPr>
                <w:rFonts w:hint="eastAsia" w:ascii="Courier New" w:hAnsi="Courier New" w:cs="Courier New"/>
                <w:b/>
                <w:bCs/>
                <w:iCs/>
                <w:color w:val="000000"/>
                <w:kern w:val="0"/>
                <w:szCs w:val="21"/>
              </w:rPr>
              <w:t>考研录取率</w:t>
            </w:r>
          </w:p>
        </w:tc>
      </w:tr>
      <w:tr>
        <w:tblPrEx>
          <w:tblBorders>
            <w:top w:val="single" w:color="000000" w:sz="12" w:space="0"/>
            <w:left w:val="none" w:color="auto" w:sz="0" w:space="0"/>
            <w:bottom w:val="single" w:color="000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38" w:hRule="atLeast"/>
          <w:jc w:val="center"/>
        </w:trPr>
        <w:tc>
          <w:tcPr>
            <w:tcW w:w="1096" w:type="dxa"/>
            <w:tcBorders>
              <w:right w:val="single" w:color="000000" w:sz="6" w:space="0"/>
            </w:tcBorders>
            <w:noWrap w:val="0"/>
            <w:vAlign w:val="center"/>
          </w:tcPr>
          <w:p>
            <w:pPr>
              <w:widowControl/>
              <w:spacing w:line="360" w:lineRule="auto"/>
              <w:jc w:val="center"/>
              <w:rPr>
                <w:rFonts w:ascii="Courier New" w:hAnsi="Courier New" w:cs="Courier New"/>
                <w:b/>
                <w:bCs/>
                <w:color w:val="000000"/>
                <w:kern w:val="0"/>
                <w:szCs w:val="21"/>
              </w:rPr>
            </w:pPr>
            <w:r>
              <w:rPr>
                <w:rFonts w:ascii="Courier New" w:hAnsi="Courier New" w:cs="Courier New"/>
                <w:b/>
                <w:bCs/>
                <w:color w:val="000000"/>
                <w:kern w:val="0"/>
                <w:szCs w:val="21"/>
              </w:rPr>
              <w:t>生物工程</w:t>
            </w:r>
          </w:p>
        </w:tc>
        <w:tc>
          <w:tcPr>
            <w:tcW w:w="1096" w:type="dxa"/>
            <w:noWrap w:val="0"/>
            <w:vAlign w:val="center"/>
          </w:tcPr>
          <w:p>
            <w:pPr>
              <w:widowControl/>
              <w:spacing w:line="360" w:lineRule="auto"/>
              <w:jc w:val="center"/>
              <w:rPr>
                <w:rFonts w:ascii="Courier New" w:hAnsi="Courier New" w:cs="Courier New"/>
                <w:bCs/>
                <w:color w:val="000000"/>
                <w:kern w:val="0"/>
                <w:szCs w:val="21"/>
              </w:rPr>
            </w:pPr>
            <w:r>
              <w:rPr>
                <w:rFonts w:hint="eastAsia" w:ascii="Courier New" w:hAnsi="Courier New" w:cs="Courier New"/>
                <w:bCs/>
                <w:color w:val="000000"/>
                <w:kern w:val="0"/>
                <w:szCs w:val="21"/>
              </w:rPr>
              <w:t>90</w:t>
            </w:r>
          </w:p>
        </w:tc>
        <w:tc>
          <w:tcPr>
            <w:tcW w:w="1096" w:type="dxa"/>
            <w:noWrap w:val="0"/>
            <w:vAlign w:val="center"/>
          </w:tcPr>
          <w:p>
            <w:pPr>
              <w:widowControl/>
              <w:spacing w:line="360" w:lineRule="auto"/>
              <w:jc w:val="center"/>
              <w:rPr>
                <w:rFonts w:ascii="Courier New" w:hAnsi="Courier New" w:cs="Courier New"/>
                <w:bCs/>
                <w:color w:val="000000"/>
                <w:kern w:val="0"/>
                <w:szCs w:val="21"/>
              </w:rPr>
            </w:pPr>
            <w:r>
              <w:rPr>
                <w:rFonts w:hint="eastAsia" w:ascii="Courier New" w:hAnsi="Courier New" w:cs="Courier New"/>
                <w:bCs/>
                <w:color w:val="000000"/>
                <w:kern w:val="0"/>
                <w:szCs w:val="21"/>
              </w:rPr>
              <w:t>86</w:t>
            </w:r>
          </w:p>
        </w:tc>
        <w:tc>
          <w:tcPr>
            <w:tcW w:w="1097" w:type="dxa"/>
            <w:noWrap w:val="0"/>
            <w:vAlign w:val="center"/>
          </w:tcPr>
          <w:p>
            <w:pPr>
              <w:widowControl/>
              <w:spacing w:line="360" w:lineRule="auto"/>
              <w:jc w:val="center"/>
              <w:rPr>
                <w:rFonts w:hint="eastAsia" w:ascii="Courier New" w:hAnsi="Courier New" w:cs="Courier New"/>
                <w:bCs/>
                <w:color w:val="000000"/>
                <w:kern w:val="0"/>
                <w:szCs w:val="21"/>
              </w:rPr>
            </w:pPr>
            <w:r>
              <w:rPr>
                <w:rFonts w:hint="eastAsia" w:ascii="Courier New" w:hAnsi="Courier New" w:cs="Courier New"/>
                <w:bCs/>
                <w:color w:val="000000"/>
                <w:kern w:val="0"/>
                <w:szCs w:val="21"/>
              </w:rPr>
              <w:t>4</w:t>
            </w:r>
          </w:p>
        </w:tc>
        <w:tc>
          <w:tcPr>
            <w:tcW w:w="1097" w:type="dxa"/>
            <w:noWrap w:val="0"/>
            <w:vAlign w:val="center"/>
          </w:tcPr>
          <w:p>
            <w:pPr>
              <w:widowControl/>
              <w:spacing w:line="360" w:lineRule="auto"/>
              <w:jc w:val="center"/>
              <w:rPr>
                <w:rFonts w:ascii="Courier New" w:hAnsi="Courier New" w:cs="Courier New"/>
                <w:bCs/>
                <w:color w:val="000000"/>
                <w:kern w:val="0"/>
                <w:szCs w:val="21"/>
              </w:rPr>
            </w:pPr>
            <w:r>
              <w:rPr>
                <w:rFonts w:hint="eastAsia" w:ascii="Courier New" w:hAnsi="Courier New" w:cs="Courier New"/>
                <w:bCs/>
                <w:color w:val="000000"/>
                <w:kern w:val="0"/>
                <w:szCs w:val="21"/>
              </w:rPr>
              <w:t>62（1人入伍）</w:t>
            </w:r>
          </w:p>
        </w:tc>
        <w:tc>
          <w:tcPr>
            <w:tcW w:w="1096" w:type="dxa"/>
            <w:noWrap w:val="0"/>
            <w:vAlign w:val="center"/>
          </w:tcPr>
          <w:p>
            <w:pPr>
              <w:widowControl/>
              <w:spacing w:line="360" w:lineRule="auto"/>
              <w:jc w:val="center"/>
              <w:rPr>
                <w:rFonts w:ascii="Courier New" w:hAnsi="Courier New" w:cs="Courier New"/>
                <w:bCs/>
                <w:color w:val="000000"/>
                <w:kern w:val="0"/>
                <w:szCs w:val="21"/>
              </w:rPr>
            </w:pPr>
            <w:r>
              <w:rPr>
                <w:rFonts w:hint="eastAsia" w:ascii="Courier New" w:hAnsi="Courier New" w:cs="Courier New"/>
                <w:bCs/>
                <w:color w:val="000000"/>
                <w:kern w:val="0"/>
                <w:szCs w:val="21"/>
              </w:rPr>
              <w:t>24</w:t>
            </w:r>
          </w:p>
        </w:tc>
        <w:tc>
          <w:tcPr>
            <w:tcW w:w="1096" w:type="dxa"/>
            <w:noWrap/>
            <w:vAlign w:val="center"/>
          </w:tcPr>
          <w:p>
            <w:pPr>
              <w:widowControl/>
              <w:spacing w:line="360" w:lineRule="auto"/>
              <w:jc w:val="center"/>
              <w:rPr>
                <w:rFonts w:ascii="Courier New" w:hAnsi="Courier New" w:cs="Courier New"/>
                <w:bCs/>
                <w:color w:val="000000"/>
                <w:kern w:val="0"/>
                <w:szCs w:val="21"/>
              </w:rPr>
            </w:pPr>
            <w:r>
              <w:rPr>
                <w:rFonts w:hint="eastAsia" w:ascii="Courier New" w:hAnsi="Courier New" w:cs="Courier New"/>
                <w:bCs/>
                <w:color w:val="000000"/>
                <w:kern w:val="0"/>
                <w:szCs w:val="21"/>
              </w:rPr>
              <w:t>95.56%</w:t>
            </w:r>
          </w:p>
        </w:tc>
        <w:tc>
          <w:tcPr>
            <w:tcW w:w="1466" w:type="dxa"/>
            <w:noWrap w:val="0"/>
            <w:vAlign w:val="center"/>
          </w:tcPr>
          <w:p>
            <w:pPr>
              <w:spacing w:line="360" w:lineRule="auto"/>
              <w:jc w:val="center"/>
              <w:rPr>
                <w:rFonts w:ascii="宋体" w:hAnsi="宋体" w:cs="宋体"/>
                <w:color w:val="000000"/>
                <w:sz w:val="22"/>
                <w:szCs w:val="22"/>
              </w:rPr>
            </w:pPr>
            <w:r>
              <w:rPr>
                <w:rFonts w:hint="eastAsia"/>
                <w:color w:val="000000"/>
                <w:sz w:val="22"/>
                <w:szCs w:val="22"/>
              </w:rPr>
              <w:t>26.67%</w:t>
            </w:r>
          </w:p>
        </w:tc>
      </w:tr>
      <w:tr>
        <w:tblPrEx>
          <w:tblBorders>
            <w:top w:val="single" w:color="000000" w:sz="12" w:space="0"/>
            <w:left w:val="none" w:color="auto" w:sz="0" w:space="0"/>
            <w:bottom w:val="single" w:color="000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16" w:hRule="atLeast"/>
          <w:jc w:val="center"/>
        </w:trPr>
        <w:tc>
          <w:tcPr>
            <w:tcW w:w="1096" w:type="dxa"/>
            <w:tcBorders>
              <w:right w:val="single" w:color="000000" w:sz="6" w:space="0"/>
            </w:tcBorders>
            <w:noWrap w:val="0"/>
            <w:vAlign w:val="center"/>
          </w:tcPr>
          <w:p>
            <w:pPr>
              <w:widowControl/>
              <w:spacing w:line="360" w:lineRule="auto"/>
              <w:jc w:val="center"/>
              <w:rPr>
                <w:rFonts w:ascii="Courier New" w:hAnsi="Courier New" w:cs="Courier New"/>
                <w:b/>
                <w:bCs/>
                <w:color w:val="000000"/>
                <w:kern w:val="0"/>
                <w:szCs w:val="21"/>
              </w:rPr>
            </w:pPr>
            <w:r>
              <w:rPr>
                <w:rFonts w:ascii="Courier New" w:hAnsi="Courier New" w:cs="Courier New"/>
                <w:b/>
                <w:bCs/>
                <w:color w:val="000000"/>
                <w:kern w:val="0"/>
                <w:szCs w:val="21"/>
              </w:rPr>
              <w:t>环境工程</w:t>
            </w:r>
          </w:p>
        </w:tc>
        <w:tc>
          <w:tcPr>
            <w:tcW w:w="1096" w:type="dxa"/>
            <w:noWrap w:val="0"/>
            <w:vAlign w:val="center"/>
          </w:tcPr>
          <w:p>
            <w:pPr>
              <w:widowControl/>
              <w:spacing w:line="360" w:lineRule="auto"/>
              <w:jc w:val="center"/>
              <w:rPr>
                <w:rFonts w:ascii="Courier New" w:hAnsi="Courier New" w:cs="Courier New"/>
                <w:bCs/>
                <w:kern w:val="0"/>
                <w:szCs w:val="21"/>
              </w:rPr>
            </w:pPr>
            <w:r>
              <w:rPr>
                <w:rFonts w:hint="eastAsia" w:ascii="Courier New" w:hAnsi="Courier New" w:cs="Courier New"/>
                <w:bCs/>
                <w:kern w:val="0"/>
                <w:szCs w:val="21"/>
              </w:rPr>
              <w:t>65</w:t>
            </w:r>
          </w:p>
        </w:tc>
        <w:tc>
          <w:tcPr>
            <w:tcW w:w="1096" w:type="dxa"/>
            <w:noWrap w:val="0"/>
            <w:vAlign w:val="center"/>
          </w:tcPr>
          <w:p>
            <w:pPr>
              <w:widowControl/>
              <w:spacing w:line="360" w:lineRule="auto"/>
              <w:jc w:val="center"/>
              <w:rPr>
                <w:rFonts w:ascii="Courier New" w:hAnsi="Courier New" w:cs="Courier New"/>
                <w:bCs/>
                <w:kern w:val="0"/>
                <w:szCs w:val="21"/>
              </w:rPr>
            </w:pPr>
            <w:r>
              <w:rPr>
                <w:rFonts w:hint="eastAsia" w:ascii="Courier New" w:hAnsi="Courier New" w:cs="Courier New"/>
                <w:bCs/>
                <w:kern w:val="0"/>
                <w:szCs w:val="21"/>
              </w:rPr>
              <w:t>65</w:t>
            </w:r>
          </w:p>
        </w:tc>
        <w:tc>
          <w:tcPr>
            <w:tcW w:w="1097" w:type="dxa"/>
            <w:noWrap w:val="0"/>
            <w:vAlign w:val="center"/>
          </w:tcPr>
          <w:p>
            <w:pPr>
              <w:widowControl/>
              <w:spacing w:line="360" w:lineRule="auto"/>
              <w:jc w:val="center"/>
              <w:rPr>
                <w:rFonts w:hint="eastAsia" w:ascii="Courier New" w:hAnsi="Courier New" w:cs="Courier New"/>
                <w:bCs/>
                <w:kern w:val="0"/>
                <w:szCs w:val="21"/>
              </w:rPr>
            </w:pPr>
            <w:r>
              <w:rPr>
                <w:rFonts w:hint="eastAsia" w:ascii="Courier New" w:hAnsi="Courier New" w:cs="Courier New"/>
                <w:bCs/>
                <w:kern w:val="0"/>
                <w:szCs w:val="21"/>
              </w:rPr>
              <w:t>0</w:t>
            </w:r>
          </w:p>
        </w:tc>
        <w:tc>
          <w:tcPr>
            <w:tcW w:w="1097" w:type="dxa"/>
            <w:noWrap w:val="0"/>
            <w:vAlign w:val="center"/>
          </w:tcPr>
          <w:p>
            <w:pPr>
              <w:widowControl/>
              <w:spacing w:line="360" w:lineRule="auto"/>
              <w:jc w:val="center"/>
              <w:rPr>
                <w:rFonts w:ascii="Courier New" w:hAnsi="Courier New" w:cs="Courier New"/>
                <w:bCs/>
                <w:kern w:val="0"/>
                <w:szCs w:val="21"/>
              </w:rPr>
            </w:pPr>
            <w:r>
              <w:rPr>
                <w:rFonts w:hint="eastAsia" w:ascii="Courier New" w:hAnsi="Courier New" w:cs="Courier New"/>
                <w:bCs/>
                <w:kern w:val="0"/>
                <w:szCs w:val="21"/>
              </w:rPr>
              <w:t>28</w:t>
            </w:r>
          </w:p>
        </w:tc>
        <w:tc>
          <w:tcPr>
            <w:tcW w:w="1096" w:type="dxa"/>
            <w:noWrap w:val="0"/>
            <w:vAlign w:val="center"/>
          </w:tcPr>
          <w:p>
            <w:pPr>
              <w:widowControl/>
              <w:spacing w:line="360" w:lineRule="auto"/>
              <w:jc w:val="center"/>
              <w:rPr>
                <w:rFonts w:ascii="Courier New" w:hAnsi="Courier New" w:cs="Courier New"/>
                <w:bCs/>
                <w:kern w:val="0"/>
                <w:szCs w:val="21"/>
              </w:rPr>
            </w:pPr>
            <w:r>
              <w:rPr>
                <w:rFonts w:hint="eastAsia" w:ascii="Courier New" w:hAnsi="Courier New" w:cs="Courier New"/>
                <w:bCs/>
                <w:kern w:val="0"/>
                <w:szCs w:val="21"/>
              </w:rPr>
              <w:t>34</w:t>
            </w:r>
          </w:p>
        </w:tc>
        <w:tc>
          <w:tcPr>
            <w:tcW w:w="1096" w:type="dxa"/>
            <w:noWrap/>
            <w:vAlign w:val="center"/>
          </w:tcPr>
          <w:p>
            <w:pPr>
              <w:widowControl/>
              <w:spacing w:line="360" w:lineRule="auto"/>
              <w:jc w:val="center"/>
              <w:rPr>
                <w:rFonts w:ascii="Courier New" w:hAnsi="Courier New" w:cs="Courier New"/>
                <w:bCs/>
                <w:kern w:val="0"/>
                <w:szCs w:val="21"/>
              </w:rPr>
            </w:pPr>
            <w:r>
              <w:rPr>
                <w:rFonts w:hint="eastAsia" w:ascii="Courier New" w:hAnsi="Courier New" w:cs="Courier New"/>
                <w:bCs/>
                <w:kern w:val="0"/>
                <w:szCs w:val="21"/>
              </w:rPr>
              <w:t>95.38%</w:t>
            </w:r>
          </w:p>
        </w:tc>
        <w:tc>
          <w:tcPr>
            <w:tcW w:w="1466" w:type="dxa"/>
            <w:noWrap w:val="0"/>
            <w:vAlign w:val="center"/>
          </w:tcPr>
          <w:p>
            <w:pPr>
              <w:widowControl/>
              <w:spacing w:line="360" w:lineRule="auto"/>
              <w:jc w:val="center"/>
              <w:rPr>
                <w:rFonts w:ascii="Courier New" w:hAnsi="Courier New" w:cs="Courier New"/>
                <w:bCs/>
                <w:kern w:val="0"/>
                <w:szCs w:val="21"/>
              </w:rPr>
            </w:pPr>
            <w:r>
              <w:rPr>
                <w:rFonts w:hint="eastAsia" w:ascii="Courier New" w:hAnsi="Courier New" w:cs="Courier New"/>
                <w:bCs/>
                <w:kern w:val="0"/>
                <w:szCs w:val="21"/>
              </w:rPr>
              <w:t>52.31%</w:t>
            </w:r>
          </w:p>
        </w:tc>
      </w:tr>
      <w:tr>
        <w:tblPrEx>
          <w:tblBorders>
            <w:top w:val="single" w:color="000000" w:sz="12" w:space="0"/>
            <w:left w:val="none" w:color="auto" w:sz="0" w:space="0"/>
            <w:bottom w:val="single" w:color="000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5" w:hRule="atLeast"/>
          <w:jc w:val="center"/>
        </w:trPr>
        <w:tc>
          <w:tcPr>
            <w:tcW w:w="1096" w:type="dxa"/>
            <w:tcBorders>
              <w:right w:val="single" w:color="000000" w:sz="6" w:space="0"/>
            </w:tcBorders>
            <w:noWrap w:val="0"/>
            <w:vAlign w:val="center"/>
          </w:tcPr>
          <w:p>
            <w:pPr>
              <w:widowControl/>
              <w:spacing w:line="360" w:lineRule="auto"/>
              <w:jc w:val="center"/>
              <w:rPr>
                <w:rFonts w:ascii="Courier New" w:hAnsi="Courier New" w:cs="Courier New"/>
                <w:b/>
                <w:bCs/>
                <w:color w:val="000000"/>
                <w:kern w:val="0"/>
                <w:szCs w:val="21"/>
              </w:rPr>
            </w:pPr>
            <w:r>
              <w:rPr>
                <w:rFonts w:ascii="Courier New" w:hAnsi="Courier New" w:cs="Courier New"/>
                <w:b/>
                <w:bCs/>
                <w:color w:val="000000"/>
                <w:kern w:val="0"/>
                <w:szCs w:val="21"/>
              </w:rPr>
              <w:t>食品科学与工程</w:t>
            </w:r>
          </w:p>
        </w:tc>
        <w:tc>
          <w:tcPr>
            <w:tcW w:w="1096" w:type="dxa"/>
            <w:noWrap w:val="0"/>
            <w:vAlign w:val="center"/>
          </w:tcPr>
          <w:p>
            <w:pPr>
              <w:widowControl/>
              <w:spacing w:line="360" w:lineRule="auto"/>
              <w:jc w:val="center"/>
              <w:rPr>
                <w:rFonts w:ascii="Courier New" w:hAnsi="Courier New" w:cs="Courier New"/>
                <w:bCs/>
                <w:color w:val="000000"/>
                <w:kern w:val="0"/>
                <w:szCs w:val="21"/>
              </w:rPr>
            </w:pPr>
            <w:r>
              <w:rPr>
                <w:rFonts w:hint="eastAsia" w:ascii="Courier New" w:hAnsi="Courier New" w:cs="Courier New"/>
                <w:bCs/>
                <w:color w:val="000000"/>
                <w:kern w:val="0"/>
                <w:szCs w:val="21"/>
              </w:rPr>
              <w:t>24</w:t>
            </w:r>
          </w:p>
        </w:tc>
        <w:tc>
          <w:tcPr>
            <w:tcW w:w="1096" w:type="dxa"/>
            <w:noWrap w:val="0"/>
            <w:vAlign w:val="center"/>
          </w:tcPr>
          <w:p>
            <w:pPr>
              <w:widowControl/>
              <w:spacing w:line="360" w:lineRule="auto"/>
              <w:jc w:val="center"/>
              <w:rPr>
                <w:rFonts w:ascii="Courier New" w:hAnsi="Courier New" w:cs="Courier New"/>
                <w:bCs/>
                <w:color w:val="000000"/>
                <w:kern w:val="0"/>
                <w:szCs w:val="21"/>
              </w:rPr>
            </w:pPr>
            <w:r>
              <w:rPr>
                <w:rFonts w:hint="eastAsia" w:ascii="Courier New" w:hAnsi="Courier New" w:cs="Courier New"/>
                <w:bCs/>
                <w:color w:val="000000"/>
                <w:kern w:val="0"/>
                <w:szCs w:val="21"/>
              </w:rPr>
              <w:t>22</w:t>
            </w:r>
          </w:p>
        </w:tc>
        <w:tc>
          <w:tcPr>
            <w:tcW w:w="1097" w:type="dxa"/>
            <w:noWrap w:val="0"/>
            <w:vAlign w:val="center"/>
          </w:tcPr>
          <w:p>
            <w:pPr>
              <w:widowControl/>
              <w:spacing w:line="360" w:lineRule="auto"/>
              <w:jc w:val="center"/>
              <w:rPr>
                <w:rFonts w:hint="eastAsia" w:ascii="Courier New" w:hAnsi="Courier New" w:cs="Courier New"/>
                <w:bCs/>
                <w:color w:val="000000"/>
                <w:kern w:val="0"/>
                <w:szCs w:val="21"/>
              </w:rPr>
            </w:pPr>
            <w:r>
              <w:rPr>
                <w:rFonts w:hint="eastAsia" w:ascii="Courier New" w:hAnsi="Courier New" w:cs="Courier New"/>
                <w:bCs/>
                <w:color w:val="000000"/>
                <w:kern w:val="0"/>
                <w:szCs w:val="21"/>
              </w:rPr>
              <w:t>2</w:t>
            </w:r>
          </w:p>
        </w:tc>
        <w:tc>
          <w:tcPr>
            <w:tcW w:w="1097" w:type="dxa"/>
            <w:noWrap w:val="0"/>
            <w:vAlign w:val="center"/>
          </w:tcPr>
          <w:p>
            <w:pPr>
              <w:widowControl/>
              <w:spacing w:line="360" w:lineRule="auto"/>
              <w:jc w:val="center"/>
              <w:rPr>
                <w:rFonts w:ascii="Courier New" w:hAnsi="Courier New" w:cs="Courier New"/>
                <w:bCs/>
                <w:color w:val="000000"/>
                <w:kern w:val="0"/>
                <w:szCs w:val="21"/>
              </w:rPr>
            </w:pPr>
            <w:r>
              <w:rPr>
                <w:rFonts w:hint="eastAsia" w:ascii="Courier New" w:hAnsi="Courier New" w:cs="Courier New"/>
                <w:bCs/>
                <w:color w:val="000000"/>
                <w:kern w:val="0"/>
                <w:szCs w:val="21"/>
              </w:rPr>
              <w:t>15</w:t>
            </w:r>
          </w:p>
        </w:tc>
        <w:tc>
          <w:tcPr>
            <w:tcW w:w="1096" w:type="dxa"/>
            <w:noWrap w:val="0"/>
            <w:vAlign w:val="center"/>
          </w:tcPr>
          <w:p>
            <w:pPr>
              <w:widowControl/>
              <w:spacing w:line="360" w:lineRule="auto"/>
              <w:jc w:val="center"/>
              <w:rPr>
                <w:rFonts w:ascii="Courier New" w:hAnsi="Courier New" w:cs="Courier New"/>
                <w:bCs/>
                <w:color w:val="000000"/>
                <w:kern w:val="0"/>
                <w:szCs w:val="21"/>
              </w:rPr>
            </w:pPr>
            <w:r>
              <w:rPr>
                <w:rFonts w:hint="eastAsia" w:ascii="Courier New" w:hAnsi="Courier New" w:cs="Courier New"/>
                <w:bCs/>
                <w:color w:val="000000"/>
                <w:kern w:val="0"/>
                <w:szCs w:val="21"/>
              </w:rPr>
              <w:t>8</w:t>
            </w:r>
          </w:p>
        </w:tc>
        <w:tc>
          <w:tcPr>
            <w:tcW w:w="1096" w:type="dxa"/>
            <w:noWrap/>
            <w:vAlign w:val="center"/>
          </w:tcPr>
          <w:p>
            <w:pPr>
              <w:widowControl/>
              <w:spacing w:line="360" w:lineRule="auto"/>
              <w:jc w:val="center"/>
              <w:rPr>
                <w:rFonts w:ascii="Courier New" w:hAnsi="Courier New" w:cs="Courier New"/>
                <w:bCs/>
                <w:color w:val="000000"/>
                <w:kern w:val="0"/>
                <w:szCs w:val="21"/>
              </w:rPr>
            </w:pPr>
            <w:r>
              <w:rPr>
                <w:rFonts w:hint="eastAsia" w:ascii="Courier New" w:hAnsi="Courier New" w:cs="Courier New"/>
                <w:bCs/>
                <w:color w:val="000000"/>
                <w:kern w:val="0"/>
                <w:szCs w:val="21"/>
              </w:rPr>
              <w:t>95.83%</w:t>
            </w:r>
          </w:p>
        </w:tc>
        <w:tc>
          <w:tcPr>
            <w:tcW w:w="1466" w:type="dxa"/>
            <w:noWrap w:val="0"/>
            <w:vAlign w:val="center"/>
          </w:tcPr>
          <w:p>
            <w:pPr>
              <w:widowControl/>
              <w:spacing w:line="360" w:lineRule="auto"/>
              <w:jc w:val="center"/>
              <w:rPr>
                <w:rFonts w:ascii="Courier New" w:hAnsi="Courier New" w:cs="Courier New"/>
                <w:bCs/>
                <w:color w:val="000000"/>
                <w:kern w:val="0"/>
                <w:szCs w:val="21"/>
              </w:rPr>
            </w:pPr>
            <w:r>
              <w:rPr>
                <w:rFonts w:hint="eastAsia" w:ascii="Courier New" w:hAnsi="Courier New" w:cs="Courier New"/>
                <w:bCs/>
                <w:color w:val="000000"/>
                <w:kern w:val="0"/>
                <w:szCs w:val="21"/>
              </w:rPr>
              <w:t>33.33%</w:t>
            </w:r>
          </w:p>
        </w:tc>
      </w:tr>
      <w:tr>
        <w:tblPrEx>
          <w:tblBorders>
            <w:top w:val="single" w:color="000000" w:sz="12" w:space="0"/>
            <w:left w:val="none" w:color="auto" w:sz="0" w:space="0"/>
            <w:bottom w:val="single" w:color="000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94" w:hRule="atLeast"/>
          <w:jc w:val="center"/>
        </w:trPr>
        <w:tc>
          <w:tcPr>
            <w:tcW w:w="1096" w:type="dxa"/>
            <w:tcBorders>
              <w:right w:val="single" w:color="000000" w:sz="6" w:space="0"/>
            </w:tcBorders>
            <w:noWrap w:val="0"/>
            <w:vAlign w:val="center"/>
          </w:tcPr>
          <w:p>
            <w:pPr>
              <w:widowControl/>
              <w:spacing w:line="360" w:lineRule="auto"/>
              <w:jc w:val="center"/>
              <w:rPr>
                <w:rFonts w:ascii="Courier New" w:hAnsi="Courier New" w:cs="Courier New"/>
                <w:b/>
                <w:bCs/>
                <w:color w:val="000000"/>
                <w:kern w:val="0"/>
                <w:szCs w:val="21"/>
              </w:rPr>
            </w:pPr>
            <w:r>
              <w:rPr>
                <w:rFonts w:hint="eastAsia" w:ascii="Courier New" w:hAnsi="Courier New" w:cs="Courier New"/>
                <w:b/>
                <w:bCs/>
                <w:color w:val="000000"/>
                <w:kern w:val="0"/>
                <w:szCs w:val="21"/>
              </w:rPr>
              <w:t>食品质量与安全</w:t>
            </w:r>
          </w:p>
        </w:tc>
        <w:tc>
          <w:tcPr>
            <w:tcW w:w="1096" w:type="dxa"/>
            <w:noWrap w:val="0"/>
            <w:vAlign w:val="center"/>
          </w:tcPr>
          <w:p>
            <w:pPr>
              <w:widowControl/>
              <w:spacing w:line="360" w:lineRule="auto"/>
              <w:jc w:val="center"/>
              <w:rPr>
                <w:rFonts w:ascii="Courier New" w:hAnsi="Courier New" w:cs="Courier New"/>
                <w:bCs/>
                <w:kern w:val="0"/>
                <w:szCs w:val="21"/>
              </w:rPr>
            </w:pPr>
            <w:r>
              <w:rPr>
                <w:rFonts w:hint="eastAsia" w:ascii="Courier New" w:hAnsi="Courier New" w:cs="Courier New"/>
                <w:bCs/>
                <w:kern w:val="0"/>
                <w:szCs w:val="21"/>
              </w:rPr>
              <w:t>37</w:t>
            </w:r>
          </w:p>
        </w:tc>
        <w:tc>
          <w:tcPr>
            <w:tcW w:w="1096" w:type="dxa"/>
            <w:noWrap/>
            <w:vAlign w:val="center"/>
          </w:tcPr>
          <w:p>
            <w:pPr>
              <w:widowControl/>
              <w:spacing w:line="360" w:lineRule="auto"/>
              <w:jc w:val="center"/>
              <w:rPr>
                <w:rFonts w:ascii="Courier New" w:hAnsi="Courier New" w:cs="Courier New"/>
                <w:bCs/>
                <w:kern w:val="0"/>
                <w:szCs w:val="21"/>
              </w:rPr>
            </w:pPr>
            <w:r>
              <w:rPr>
                <w:rFonts w:hint="eastAsia" w:ascii="Courier New" w:hAnsi="Courier New" w:cs="Courier New"/>
                <w:bCs/>
                <w:kern w:val="0"/>
                <w:szCs w:val="21"/>
              </w:rPr>
              <w:t>37</w:t>
            </w:r>
          </w:p>
        </w:tc>
        <w:tc>
          <w:tcPr>
            <w:tcW w:w="1097" w:type="dxa"/>
            <w:noWrap w:val="0"/>
            <w:vAlign w:val="center"/>
          </w:tcPr>
          <w:p>
            <w:pPr>
              <w:widowControl/>
              <w:spacing w:line="360" w:lineRule="auto"/>
              <w:jc w:val="center"/>
              <w:rPr>
                <w:rFonts w:hint="eastAsia" w:ascii="Courier New" w:hAnsi="Courier New" w:cs="Courier New"/>
                <w:bCs/>
                <w:kern w:val="0"/>
                <w:szCs w:val="21"/>
              </w:rPr>
            </w:pPr>
            <w:r>
              <w:rPr>
                <w:rFonts w:hint="eastAsia" w:ascii="Courier New" w:hAnsi="Courier New" w:cs="Courier New"/>
                <w:bCs/>
                <w:kern w:val="0"/>
                <w:szCs w:val="21"/>
              </w:rPr>
              <w:t>0</w:t>
            </w:r>
          </w:p>
        </w:tc>
        <w:tc>
          <w:tcPr>
            <w:tcW w:w="1097" w:type="dxa"/>
            <w:noWrap/>
            <w:vAlign w:val="center"/>
          </w:tcPr>
          <w:p>
            <w:pPr>
              <w:widowControl/>
              <w:spacing w:line="360" w:lineRule="auto"/>
              <w:jc w:val="center"/>
              <w:rPr>
                <w:rFonts w:ascii="Courier New" w:hAnsi="Courier New" w:cs="Courier New"/>
                <w:bCs/>
                <w:kern w:val="0"/>
                <w:szCs w:val="21"/>
              </w:rPr>
            </w:pPr>
            <w:r>
              <w:rPr>
                <w:rFonts w:hint="eastAsia" w:ascii="Courier New" w:hAnsi="Courier New" w:cs="Courier New"/>
                <w:bCs/>
                <w:kern w:val="0"/>
                <w:szCs w:val="21"/>
              </w:rPr>
              <w:t>19</w:t>
            </w:r>
          </w:p>
        </w:tc>
        <w:tc>
          <w:tcPr>
            <w:tcW w:w="1096" w:type="dxa"/>
            <w:noWrap w:val="0"/>
            <w:vAlign w:val="center"/>
          </w:tcPr>
          <w:p>
            <w:pPr>
              <w:widowControl/>
              <w:spacing w:line="360" w:lineRule="auto"/>
              <w:jc w:val="center"/>
              <w:rPr>
                <w:rFonts w:ascii="Courier New" w:hAnsi="Courier New" w:cs="Courier New"/>
                <w:bCs/>
                <w:kern w:val="0"/>
                <w:szCs w:val="21"/>
              </w:rPr>
            </w:pPr>
            <w:r>
              <w:rPr>
                <w:rFonts w:hint="eastAsia" w:ascii="Courier New" w:hAnsi="Courier New" w:cs="Courier New"/>
                <w:bCs/>
                <w:kern w:val="0"/>
                <w:szCs w:val="21"/>
              </w:rPr>
              <w:t>14</w:t>
            </w:r>
          </w:p>
        </w:tc>
        <w:tc>
          <w:tcPr>
            <w:tcW w:w="1096" w:type="dxa"/>
            <w:noWrap/>
            <w:vAlign w:val="center"/>
          </w:tcPr>
          <w:p>
            <w:pPr>
              <w:widowControl/>
              <w:spacing w:line="360" w:lineRule="auto"/>
              <w:jc w:val="center"/>
              <w:rPr>
                <w:rFonts w:ascii="Courier New" w:hAnsi="Courier New" w:cs="Courier New"/>
                <w:bCs/>
                <w:kern w:val="0"/>
                <w:szCs w:val="21"/>
              </w:rPr>
            </w:pPr>
            <w:r>
              <w:rPr>
                <w:rFonts w:hint="eastAsia" w:ascii="Courier New" w:hAnsi="Courier New" w:cs="Courier New"/>
                <w:bCs/>
                <w:kern w:val="0"/>
                <w:szCs w:val="21"/>
              </w:rPr>
              <w:t>89.19%</w:t>
            </w:r>
          </w:p>
        </w:tc>
        <w:tc>
          <w:tcPr>
            <w:tcW w:w="1466" w:type="dxa"/>
            <w:noWrap w:val="0"/>
            <w:vAlign w:val="center"/>
          </w:tcPr>
          <w:p>
            <w:pPr>
              <w:spacing w:line="360" w:lineRule="auto"/>
              <w:jc w:val="center"/>
              <w:rPr>
                <w:rFonts w:ascii="宋体" w:hAnsi="宋体" w:cs="宋体"/>
                <w:sz w:val="22"/>
                <w:szCs w:val="22"/>
              </w:rPr>
            </w:pPr>
            <w:r>
              <w:rPr>
                <w:rFonts w:hint="eastAsia"/>
                <w:sz w:val="22"/>
                <w:szCs w:val="22"/>
              </w:rPr>
              <w:t>37.84%</w:t>
            </w:r>
          </w:p>
        </w:tc>
      </w:tr>
      <w:tr>
        <w:tblPrEx>
          <w:tblBorders>
            <w:top w:val="single" w:color="000000" w:sz="12" w:space="0"/>
            <w:left w:val="none" w:color="auto" w:sz="0" w:space="0"/>
            <w:bottom w:val="single" w:color="000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01" w:hRule="atLeast"/>
          <w:jc w:val="center"/>
        </w:trPr>
        <w:tc>
          <w:tcPr>
            <w:tcW w:w="1096" w:type="dxa"/>
            <w:tcBorders>
              <w:right w:val="single" w:color="000000" w:sz="6" w:space="0"/>
            </w:tcBorders>
            <w:noWrap w:val="0"/>
            <w:vAlign w:val="center"/>
          </w:tcPr>
          <w:p>
            <w:pPr>
              <w:widowControl/>
              <w:spacing w:line="360" w:lineRule="auto"/>
              <w:jc w:val="center"/>
              <w:rPr>
                <w:rFonts w:ascii="Courier New" w:hAnsi="Courier New" w:cs="Courier New"/>
                <w:b/>
                <w:bCs/>
                <w:color w:val="000000"/>
                <w:kern w:val="0"/>
                <w:szCs w:val="21"/>
              </w:rPr>
            </w:pPr>
            <w:r>
              <w:rPr>
                <w:rFonts w:ascii="Courier New" w:hAnsi="Courier New" w:cs="Courier New"/>
                <w:b/>
                <w:bCs/>
                <w:color w:val="000000"/>
                <w:kern w:val="0"/>
                <w:szCs w:val="21"/>
              </w:rPr>
              <w:t>合计</w:t>
            </w:r>
          </w:p>
        </w:tc>
        <w:tc>
          <w:tcPr>
            <w:tcW w:w="1096" w:type="dxa"/>
            <w:noWrap w:val="0"/>
            <w:vAlign w:val="center"/>
          </w:tcPr>
          <w:p>
            <w:pPr>
              <w:widowControl/>
              <w:spacing w:line="360" w:lineRule="auto"/>
              <w:jc w:val="center"/>
              <w:rPr>
                <w:rFonts w:ascii="Courier New" w:hAnsi="Courier New" w:cs="Courier New"/>
                <w:bCs/>
                <w:color w:val="000000"/>
                <w:kern w:val="0"/>
                <w:szCs w:val="21"/>
              </w:rPr>
            </w:pPr>
            <w:r>
              <w:rPr>
                <w:rFonts w:hint="eastAsia" w:ascii="Courier New" w:hAnsi="Courier New" w:cs="Courier New"/>
                <w:bCs/>
                <w:color w:val="000000"/>
                <w:kern w:val="0"/>
                <w:szCs w:val="21"/>
              </w:rPr>
              <w:t>216</w:t>
            </w:r>
          </w:p>
        </w:tc>
        <w:tc>
          <w:tcPr>
            <w:tcW w:w="1096" w:type="dxa"/>
            <w:noWrap/>
            <w:vAlign w:val="center"/>
          </w:tcPr>
          <w:p>
            <w:pPr>
              <w:widowControl/>
              <w:spacing w:line="360" w:lineRule="auto"/>
              <w:jc w:val="center"/>
              <w:rPr>
                <w:rFonts w:ascii="Courier New" w:hAnsi="Courier New" w:cs="Courier New"/>
                <w:bCs/>
                <w:color w:val="000000"/>
                <w:kern w:val="0"/>
                <w:szCs w:val="21"/>
              </w:rPr>
            </w:pPr>
            <w:r>
              <w:rPr>
                <w:rFonts w:hint="eastAsia" w:ascii="Courier New" w:hAnsi="Courier New" w:cs="Courier New"/>
                <w:bCs/>
                <w:color w:val="000000"/>
                <w:kern w:val="0"/>
                <w:szCs w:val="21"/>
              </w:rPr>
              <w:t>210</w:t>
            </w:r>
          </w:p>
        </w:tc>
        <w:tc>
          <w:tcPr>
            <w:tcW w:w="1097" w:type="dxa"/>
            <w:noWrap w:val="0"/>
            <w:vAlign w:val="center"/>
          </w:tcPr>
          <w:p>
            <w:pPr>
              <w:widowControl/>
              <w:spacing w:line="360" w:lineRule="auto"/>
              <w:jc w:val="center"/>
              <w:rPr>
                <w:rFonts w:hint="eastAsia" w:ascii="Courier New" w:hAnsi="Courier New" w:cs="Courier New"/>
                <w:bCs/>
                <w:color w:val="000000"/>
                <w:kern w:val="0"/>
                <w:szCs w:val="21"/>
              </w:rPr>
            </w:pPr>
            <w:r>
              <w:rPr>
                <w:rFonts w:hint="eastAsia" w:ascii="Courier New" w:hAnsi="Courier New" w:cs="Courier New"/>
                <w:bCs/>
                <w:color w:val="000000"/>
                <w:kern w:val="0"/>
                <w:szCs w:val="21"/>
              </w:rPr>
              <w:t>6</w:t>
            </w:r>
          </w:p>
        </w:tc>
        <w:tc>
          <w:tcPr>
            <w:tcW w:w="1097" w:type="dxa"/>
            <w:noWrap/>
            <w:vAlign w:val="center"/>
          </w:tcPr>
          <w:p>
            <w:pPr>
              <w:widowControl/>
              <w:spacing w:line="360" w:lineRule="auto"/>
              <w:jc w:val="center"/>
              <w:rPr>
                <w:rFonts w:ascii="Courier New" w:hAnsi="Courier New" w:cs="Courier New"/>
                <w:bCs/>
                <w:color w:val="000000"/>
                <w:kern w:val="0"/>
                <w:szCs w:val="21"/>
              </w:rPr>
            </w:pPr>
            <w:r>
              <w:rPr>
                <w:rFonts w:hint="eastAsia" w:ascii="Courier New" w:hAnsi="Courier New" w:cs="Courier New"/>
                <w:bCs/>
                <w:color w:val="000000"/>
                <w:kern w:val="0"/>
                <w:szCs w:val="21"/>
              </w:rPr>
              <w:t>124</w:t>
            </w:r>
          </w:p>
        </w:tc>
        <w:tc>
          <w:tcPr>
            <w:tcW w:w="1096" w:type="dxa"/>
            <w:noWrap w:val="0"/>
            <w:vAlign w:val="center"/>
          </w:tcPr>
          <w:p>
            <w:pPr>
              <w:widowControl/>
              <w:spacing w:line="360" w:lineRule="auto"/>
              <w:jc w:val="center"/>
              <w:rPr>
                <w:rFonts w:ascii="Courier New" w:hAnsi="Courier New" w:cs="Courier New"/>
                <w:bCs/>
                <w:color w:val="000000"/>
                <w:kern w:val="0"/>
                <w:szCs w:val="21"/>
              </w:rPr>
            </w:pPr>
            <w:r>
              <w:rPr>
                <w:rFonts w:hint="eastAsia" w:ascii="Courier New" w:hAnsi="Courier New" w:cs="Courier New"/>
                <w:bCs/>
                <w:color w:val="000000"/>
                <w:kern w:val="0"/>
                <w:szCs w:val="21"/>
              </w:rPr>
              <w:t>80</w:t>
            </w:r>
          </w:p>
        </w:tc>
        <w:tc>
          <w:tcPr>
            <w:tcW w:w="1096" w:type="dxa"/>
            <w:noWrap/>
            <w:vAlign w:val="center"/>
          </w:tcPr>
          <w:p>
            <w:pPr>
              <w:widowControl/>
              <w:spacing w:line="360" w:lineRule="auto"/>
              <w:jc w:val="center"/>
              <w:rPr>
                <w:rFonts w:ascii="Courier New" w:hAnsi="Courier New" w:cs="Courier New"/>
                <w:bCs/>
                <w:color w:val="000000"/>
                <w:kern w:val="0"/>
                <w:szCs w:val="21"/>
              </w:rPr>
            </w:pPr>
            <w:r>
              <w:rPr>
                <w:rFonts w:hint="eastAsia" w:ascii="Courier New" w:hAnsi="Courier New" w:cs="Courier New"/>
                <w:bCs/>
                <w:color w:val="000000"/>
                <w:kern w:val="0"/>
                <w:szCs w:val="21"/>
              </w:rPr>
              <w:t>94.44%</w:t>
            </w:r>
          </w:p>
        </w:tc>
        <w:tc>
          <w:tcPr>
            <w:tcW w:w="1466" w:type="dxa"/>
            <w:noWrap w:val="0"/>
            <w:vAlign w:val="center"/>
          </w:tcPr>
          <w:p>
            <w:pPr>
              <w:spacing w:line="360" w:lineRule="auto"/>
              <w:jc w:val="center"/>
              <w:rPr>
                <w:rFonts w:ascii="宋体" w:hAnsi="宋体" w:cs="宋体"/>
                <w:color w:val="000000"/>
                <w:sz w:val="22"/>
                <w:szCs w:val="22"/>
              </w:rPr>
            </w:pPr>
            <w:r>
              <w:rPr>
                <w:rFonts w:hint="eastAsia"/>
                <w:color w:val="000000"/>
                <w:sz w:val="22"/>
                <w:szCs w:val="22"/>
              </w:rPr>
              <w:t>37</w:t>
            </w:r>
            <w:r>
              <w:rPr>
                <w:color w:val="000000"/>
                <w:sz w:val="22"/>
                <w:szCs w:val="22"/>
              </w:rPr>
              <w:t>.</w:t>
            </w:r>
            <w:r>
              <w:rPr>
                <w:rFonts w:hint="eastAsia"/>
                <w:color w:val="000000"/>
                <w:sz w:val="22"/>
                <w:szCs w:val="22"/>
              </w:rPr>
              <w:t>04%</w:t>
            </w:r>
          </w:p>
        </w:tc>
      </w:tr>
    </w:tbl>
    <w:p>
      <w:pPr>
        <w:spacing w:line="360" w:lineRule="auto"/>
        <w:ind w:firstLine="422" w:firstLineChars="200"/>
        <w:jc w:val="center"/>
        <w:rPr>
          <w:rFonts w:hint="eastAsia" w:ascii="宋体" w:hAnsi="宋体"/>
          <w:b/>
          <w:szCs w:val="21"/>
        </w:rPr>
      </w:pPr>
    </w:p>
    <w:p>
      <w:pPr>
        <w:spacing w:line="360" w:lineRule="auto"/>
        <w:ind w:firstLine="422" w:firstLineChars="200"/>
        <w:jc w:val="center"/>
        <w:rPr>
          <w:rFonts w:hint="eastAsia" w:ascii="宋体" w:hAnsi="宋体"/>
          <w:b/>
          <w:szCs w:val="21"/>
        </w:rPr>
      </w:pPr>
      <w:r>
        <w:rPr>
          <w:rFonts w:hint="eastAsia" w:ascii="宋体" w:hAnsi="宋体"/>
          <w:b/>
          <w:szCs w:val="21"/>
        </w:rPr>
        <w:t>表2:生物学院2022届毕业生考研录取情况</w:t>
      </w:r>
    </w:p>
    <w:tbl>
      <w:tblPr>
        <w:tblStyle w:val="13"/>
        <w:tblW w:w="7961" w:type="dxa"/>
        <w:jc w:val="center"/>
        <w:tblBorders>
          <w:top w:val="single" w:color="000000" w:sz="12" w:space="0"/>
          <w:left w:val="none" w:color="auto" w:sz="0" w:space="0"/>
          <w:bottom w:val="single" w:color="000000"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79"/>
        <w:gridCol w:w="1467"/>
        <w:gridCol w:w="1467"/>
        <w:gridCol w:w="1624"/>
        <w:gridCol w:w="1624"/>
      </w:tblGrid>
      <w:tr>
        <w:tblPrEx>
          <w:tblBorders>
            <w:top w:val="single" w:color="000000" w:sz="12" w:space="0"/>
            <w:left w:val="none" w:color="auto" w:sz="0" w:space="0"/>
            <w:bottom w:val="single" w:color="000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3" w:hRule="atLeast"/>
          <w:jc w:val="center"/>
        </w:trPr>
        <w:tc>
          <w:tcPr>
            <w:tcW w:w="1779" w:type="dxa"/>
            <w:tcBorders>
              <w:bottom w:val="single" w:color="000000" w:sz="6" w:space="0"/>
              <w:right w:val="single" w:color="000000" w:sz="6" w:space="0"/>
            </w:tcBorders>
            <w:noWrap w:val="0"/>
            <w:vAlign w:val="center"/>
          </w:tcPr>
          <w:p>
            <w:pPr>
              <w:widowControl/>
              <w:spacing w:line="360" w:lineRule="auto"/>
              <w:jc w:val="center"/>
              <w:rPr>
                <w:rFonts w:hint="eastAsia" w:ascii="宋体" w:hAnsi="宋体" w:cs="Courier New"/>
                <w:b/>
                <w:bCs/>
                <w:iCs/>
                <w:caps/>
                <w:color w:val="000000"/>
                <w:kern w:val="0"/>
                <w:szCs w:val="21"/>
              </w:rPr>
            </w:pPr>
            <w:r>
              <w:rPr>
                <w:rFonts w:hint="eastAsia" w:ascii="宋体" w:hAnsi="宋体" w:cs="Courier New"/>
                <w:b/>
                <w:bCs/>
                <w:iCs/>
                <w:caps/>
                <w:color w:val="000000"/>
                <w:kern w:val="0"/>
                <w:szCs w:val="21"/>
              </w:rPr>
              <w:t>专业名称</w:t>
            </w:r>
          </w:p>
        </w:tc>
        <w:tc>
          <w:tcPr>
            <w:tcW w:w="1467" w:type="dxa"/>
            <w:tcBorders>
              <w:bottom w:val="single" w:color="000000" w:sz="6" w:space="0"/>
            </w:tcBorders>
            <w:noWrap w:val="0"/>
            <w:vAlign w:val="center"/>
          </w:tcPr>
          <w:p>
            <w:pPr>
              <w:widowControl/>
              <w:spacing w:line="360" w:lineRule="auto"/>
              <w:jc w:val="center"/>
              <w:rPr>
                <w:rFonts w:ascii="宋体" w:hAnsi="宋体" w:cs="Courier New"/>
                <w:b/>
                <w:bCs/>
                <w:iCs/>
                <w:caps/>
                <w:color w:val="000000"/>
                <w:kern w:val="0"/>
                <w:szCs w:val="21"/>
              </w:rPr>
            </w:pPr>
            <w:r>
              <w:rPr>
                <w:rFonts w:hint="eastAsia" w:ascii="宋体" w:hAnsi="宋体" w:cs="Courier New"/>
                <w:b/>
                <w:bCs/>
                <w:iCs/>
                <w:caps/>
                <w:color w:val="000000"/>
                <w:kern w:val="0"/>
                <w:szCs w:val="21"/>
              </w:rPr>
              <w:t>考研人数</w:t>
            </w:r>
          </w:p>
        </w:tc>
        <w:tc>
          <w:tcPr>
            <w:tcW w:w="1467" w:type="dxa"/>
            <w:tcBorders>
              <w:bottom w:val="single" w:color="000000" w:sz="6" w:space="0"/>
            </w:tcBorders>
            <w:noWrap w:val="0"/>
            <w:vAlign w:val="center"/>
          </w:tcPr>
          <w:p>
            <w:pPr>
              <w:widowControl/>
              <w:spacing w:line="360" w:lineRule="auto"/>
              <w:jc w:val="center"/>
              <w:rPr>
                <w:rFonts w:ascii="宋体" w:hAnsi="宋体" w:cs="Courier New"/>
                <w:b/>
                <w:bCs/>
                <w:iCs/>
                <w:caps/>
                <w:color w:val="000000"/>
                <w:kern w:val="0"/>
                <w:szCs w:val="21"/>
              </w:rPr>
            </w:pPr>
            <w:r>
              <w:rPr>
                <w:rFonts w:hint="eastAsia" w:ascii="宋体" w:hAnsi="宋体" w:cs="Courier New"/>
                <w:b/>
                <w:bCs/>
                <w:iCs/>
                <w:caps/>
                <w:color w:val="000000"/>
                <w:kern w:val="0"/>
                <w:szCs w:val="21"/>
              </w:rPr>
              <w:t>双一流高校</w:t>
            </w:r>
          </w:p>
        </w:tc>
        <w:tc>
          <w:tcPr>
            <w:tcW w:w="1624" w:type="dxa"/>
            <w:tcBorders>
              <w:bottom w:val="single" w:color="000000" w:sz="6" w:space="0"/>
            </w:tcBorders>
            <w:noWrap w:val="0"/>
            <w:vAlign w:val="center"/>
          </w:tcPr>
          <w:p>
            <w:pPr>
              <w:widowControl/>
              <w:spacing w:line="360" w:lineRule="auto"/>
              <w:jc w:val="center"/>
              <w:rPr>
                <w:rFonts w:ascii="宋体" w:hAnsi="宋体" w:cs="Courier New"/>
                <w:b/>
                <w:bCs/>
                <w:iCs/>
                <w:caps/>
                <w:color w:val="000000"/>
                <w:kern w:val="0"/>
                <w:szCs w:val="21"/>
              </w:rPr>
            </w:pPr>
            <w:r>
              <w:rPr>
                <w:rFonts w:hint="eastAsia" w:ascii="宋体" w:hAnsi="宋体" w:cs="Courier New"/>
                <w:b/>
                <w:bCs/>
                <w:iCs/>
                <w:caps/>
                <w:color w:val="000000"/>
                <w:kern w:val="0"/>
                <w:szCs w:val="21"/>
              </w:rPr>
              <w:t>一流学科高校</w:t>
            </w:r>
          </w:p>
        </w:tc>
        <w:tc>
          <w:tcPr>
            <w:tcW w:w="1624" w:type="dxa"/>
            <w:tcBorders>
              <w:bottom w:val="single" w:color="000000" w:sz="6" w:space="0"/>
            </w:tcBorders>
            <w:noWrap w:val="0"/>
            <w:vAlign w:val="center"/>
          </w:tcPr>
          <w:p>
            <w:pPr>
              <w:widowControl/>
              <w:spacing w:line="360" w:lineRule="auto"/>
              <w:jc w:val="center"/>
              <w:rPr>
                <w:rFonts w:hint="eastAsia" w:ascii="宋体" w:hAnsi="宋体" w:cs="Courier New"/>
                <w:b/>
                <w:bCs/>
                <w:iCs/>
                <w:caps/>
                <w:color w:val="000000"/>
                <w:kern w:val="0"/>
                <w:szCs w:val="21"/>
              </w:rPr>
            </w:pPr>
            <w:r>
              <w:rPr>
                <w:rFonts w:hint="eastAsia" w:ascii="宋体" w:hAnsi="宋体" w:cs="Courier New"/>
                <w:b/>
                <w:bCs/>
                <w:iCs/>
                <w:caps/>
                <w:color w:val="000000"/>
                <w:kern w:val="0"/>
                <w:szCs w:val="21"/>
              </w:rPr>
              <w:t>普通本科高校</w:t>
            </w:r>
          </w:p>
        </w:tc>
      </w:tr>
      <w:tr>
        <w:tblPrEx>
          <w:tblBorders>
            <w:top w:val="single" w:color="000000" w:sz="12" w:space="0"/>
            <w:left w:val="none" w:color="auto" w:sz="0" w:space="0"/>
            <w:bottom w:val="single" w:color="000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3" w:hRule="atLeast"/>
          <w:jc w:val="center"/>
        </w:trPr>
        <w:tc>
          <w:tcPr>
            <w:tcW w:w="1779" w:type="dxa"/>
            <w:tcBorders>
              <w:right w:val="single" w:color="000000" w:sz="6" w:space="0"/>
            </w:tcBorders>
            <w:noWrap w:val="0"/>
            <w:vAlign w:val="center"/>
          </w:tcPr>
          <w:p>
            <w:pPr>
              <w:widowControl/>
              <w:spacing w:line="360" w:lineRule="auto"/>
              <w:jc w:val="center"/>
              <w:rPr>
                <w:rFonts w:ascii="宋体" w:hAnsi="宋体" w:cs="Courier New"/>
                <w:b/>
                <w:bCs/>
                <w:iCs/>
                <w:caps/>
                <w:color w:val="000000"/>
                <w:kern w:val="0"/>
                <w:szCs w:val="21"/>
              </w:rPr>
            </w:pPr>
            <w:r>
              <w:rPr>
                <w:rFonts w:ascii="宋体" w:hAnsi="宋体" w:cs="Courier New"/>
                <w:b/>
                <w:bCs/>
                <w:iCs/>
                <w:caps/>
                <w:color w:val="000000"/>
                <w:kern w:val="0"/>
                <w:szCs w:val="21"/>
              </w:rPr>
              <w:t>生物工程</w:t>
            </w:r>
          </w:p>
        </w:tc>
        <w:tc>
          <w:tcPr>
            <w:tcW w:w="1467" w:type="dxa"/>
            <w:noWrap w:val="0"/>
            <w:vAlign w:val="center"/>
          </w:tcPr>
          <w:p>
            <w:pPr>
              <w:widowControl/>
              <w:spacing w:line="360" w:lineRule="auto"/>
              <w:jc w:val="center"/>
              <w:rPr>
                <w:rFonts w:ascii="Courier New" w:hAnsi="Courier New" w:cs="Courier New"/>
                <w:bCs/>
                <w:color w:val="000000"/>
                <w:kern w:val="0"/>
                <w:szCs w:val="21"/>
              </w:rPr>
            </w:pPr>
            <w:r>
              <w:rPr>
                <w:rFonts w:hint="eastAsia" w:ascii="Courier New" w:hAnsi="Courier New" w:cs="Courier New"/>
                <w:bCs/>
                <w:color w:val="000000"/>
                <w:kern w:val="0"/>
                <w:szCs w:val="21"/>
              </w:rPr>
              <w:t>24</w:t>
            </w:r>
          </w:p>
        </w:tc>
        <w:tc>
          <w:tcPr>
            <w:tcW w:w="1467" w:type="dxa"/>
            <w:noWrap w:val="0"/>
            <w:vAlign w:val="center"/>
          </w:tcPr>
          <w:p>
            <w:pPr>
              <w:widowControl/>
              <w:spacing w:line="360" w:lineRule="auto"/>
              <w:jc w:val="center"/>
              <w:rPr>
                <w:rFonts w:ascii="宋体" w:hAnsi="宋体" w:cs="Courier New"/>
                <w:bCs/>
                <w:iCs/>
                <w:caps/>
                <w:color w:val="000000"/>
                <w:kern w:val="0"/>
                <w:szCs w:val="21"/>
              </w:rPr>
            </w:pPr>
            <w:r>
              <w:rPr>
                <w:rFonts w:hint="eastAsia" w:ascii="宋体" w:hAnsi="宋体" w:cs="Courier New"/>
                <w:bCs/>
                <w:iCs/>
                <w:caps/>
                <w:color w:val="000000"/>
                <w:kern w:val="0"/>
                <w:szCs w:val="21"/>
              </w:rPr>
              <w:t>1</w:t>
            </w:r>
            <w:r>
              <w:rPr>
                <w:rFonts w:ascii="宋体" w:hAnsi="宋体" w:cs="Courier New"/>
                <w:bCs/>
                <w:iCs/>
                <w:caps/>
                <w:color w:val="000000"/>
                <w:kern w:val="0"/>
                <w:szCs w:val="21"/>
              </w:rPr>
              <w:t>4</w:t>
            </w:r>
          </w:p>
        </w:tc>
        <w:tc>
          <w:tcPr>
            <w:tcW w:w="1624" w:type="dxa"/>
            <w:noWrap w:val="0"/>
            <w:vAlign w:val="center"/>
          </w:tcPr>
          <w:p>
            <w:pPr>
              <w:widowControl/>
              <w:spacing w:line="360" w:lineRule="auto"/>
              <w:jc w:val="center"/>
              <w:rPr>
                <w:rFonts w:ascii="宋体" w:hAnsi="宋体" w:cs="Courier New"/>
                <w:bCs/>
                <w:iCs/>
                <w:caps/>
                <w:color w:val="000000"/>
                <w:kern w:val="0"/>
                <w:szCs w:val="21"/>
              </w:rPr>
            </w:pPr>
            <w:r>
              <w:rPr>
                <w:rFonts w:hint="eastAsia" w:ascii="宋体" w:hAnsi="宋体" w:cs="Courier New"/>
                <w:bCs/>
                <w:iCs/>
                <w:caps/>
                <w:color w:val="000000"/>
                <w:kern w:val="0"/>
                <w:szCs w:val="21"/>
              </w:rPr>
              <w:t>1</w:t>
            </w:r>
          </w:p>
        </w:tc>
        <w:tc>
          <w:tcPr>
            <w:tcW w:w="1624" w:type="dxa"/>
            <w:noWrap w:val="0"/>
            <w:vAlign w:val="center"/>
          </w:tcPr>
          <w:p>
            <w:pPr>
              <w:widowControl/>
              <w:spacing w:line="360" w:lineRule="auto"/>
              <w:jc w:val="center"/>
              <w:rPr>
                <w:rFonts w:hint="eastAsia" w:ascii="宋体" w:hAnsi="宋体" w:cs="Courier New"/>
                <w:bCs/>
                <w:iCs/>
                <w:caps/>
                <w:color w:val="000000"/>
                <w:kern w:val="0"/>
                <w:szCs w:val="21"/>
              </w:rPr>
            </w:pPr>
            <w:r>
              <w:rPr>
                <w:rFonts w:hint="eastAsia" w:ascii="宋体" w:hAnsi="宋体" w:cs="Courier New"/>
                <w:bCs/>
                <w:iCs/>
                <w:caps/>
                <w:color w:val="000000"/>
                <w:kern w:val="0"/>
                <w:szCs w:val="21"/>
              </w:rPr>
              <w:t>9</w:t>
            </w:r>
          </w:p>
        </w:tc>
      </w:tr>
      <w:tr>
        <w:tblPrEx>
          <w:tblBorders>
            <w:top w:val="single" w:color="000000" w:sz="12" w:space="0"/>
            <w:left w:val="none" w:color="auto" w:sz="0" w:space="0"/>
            <w:bottom w:val="single" w:color="000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3" w:hRule="atLeast"/>
          <w:jc w:val="center"/>
        </w:trPr>
        <w:tc>
          <w:tcPr>
            <w:tcW w:w="1779" w:type="dxa"/>
            <w:tcBorders>
              <w:right w:val="single" w:color="000000" w:sz="6" w:space="0"/>
            </w:tcBorders>
            <w:noWrap w:val="0"/>
            <w:vAlign w:val="center"/>
          </w:tcPr>
          <w:p>
            <w:pPr>
              <w:widowControl/>
              <w:spacing w:line="360" w:lineRule="auto"/>
              <w:jc w:val="center"/>
              <w:rPr>
                <w:rFonts w:ascii="宋体" w:hAnsi="宋体" w:cs="Courier New"/>
                <w:b/>
                <w:bCs/>
                <w:iCs/>
                <w:caps/>
                <w:color w:val="000000"/>
                <w:kern w:val="0"/>
                <w:szCs w:val="21"/>
              </w:rPr>
            </w:pPr>
            <w:r>
              <w:rPr>
                <w:rFonts w:hint="eastAsia" w:ascii="宋体" w:hAnsi="宋体" w:cs="Courier New"/>
                <w:b/>
                <w:bCs/>
                <w:iCs/>
                <w:caps/>
                <w:color w:val="000000"/>
                <w:kern w:val="0"/>
                <w:szCs w:val="21"/>
              </w:rPr>
              <w:t>环境工程</w:t>
            </w:r>
          </w:p>
        </w:tc>
        <w:tc>
          <w:tcPr>
            <w:tcW w:w="1467" w:type="dxa"/>
            <w:noWrap w:val="0"/>
            <w:vAlign w:val="center"/>
          </w:tcPr>
          <w:p>
            <w:pPr>
              <w:widowControl/>
              <w:spacing w:line="360" w:lineRule="auto"/>
              <w:jc w:val="center"/>
              <w:rPr>
                <w:rFonts w:ascii="Courier New" w:hAnsi="Courier New" w:cs="Courier New"/>
                <w:bCs/>
                <w:kern w:val="0"/>
                <w:szCs w:val="21"/>
              </w:rPr>
            </w:pPr>
            <w:r>
              <w:rPr>
                <w:rFonts w:hint="eastAsia" w:ascii="宋体" w:hAnsi="宋体" w:cs="Courier New"/>
                <w:bCs/>
                <w:iCs/>
                <w:caps/>
                <w:kern w:val="0"/>
                <w:szCs w:val="21"/>
              </w:rPr>
              <w:t>34</w:t>
            </w:r>
          </w:p>
        </w:tc>
        <w:tc>
          <w:tcPr>
            <w:tcW w:w="1467" w:type="dxa"/>
            <w:noWrap w:val="0"/>
            <w:vAlign w:val="center"/>
          </w:tcPr>
          <w:p>
            <w:pPr>
              <w:widowControl/>
              <w:spacing w:line="360" w:lineRule="auto"/>
              <w:jc w:val="center"/>
              <w:rPr>
                <w:rFonts w:ascii="宋体" w:hAnsi="宋体" w:cs="Courier New"/>
                <w:bCs/>
                <w:iCs/>
                <w:caps/>
                <w:kern w:val="0"/>
                <w:szCs w:val="21"/>
              </w:rPr>
            </w:pPr>
            <w:r>
              <w:rPr>
                <w:rFonts w:hint="eastAsia" w:ascii="宋体" w:hAnsi="宋体" w:cs="Courier New"/>
                <w:bCs/>
                <w:iCs/>
                <w:caps/>
                <w:kern w:val="0"/>
                <w:szCs w:val="21"/>
              </w:rPr>
              <w:t>15</w:t>
            </w:r>
          </w:p>
        </w:tc>
        <w:tc>
          <w:tcPr>
            <w:tcW w:w="1624" w:type="dxa"/>
            <w:noWrap w:val="0"/>
            <w:vAlign w:val="center"/>
          </w:tcPr>
          <w:p>
            <w:pPr>
              <w:widowControl/>
              <w:spacing w:line="360" w:lineRule="auto"/>
              <w:jc w:val="center"/>
              <w:rPr>
                <w:rFonts w:hint="eastAsia" w:ascii="宋体" w:hAnsi="宋体" w:cs="Courier New"/>
                <w:bCs/>
                <w:iCs/>
                <w:caps/>
                <w:kern w:val="0"/>
                <w:szCs w:val="21"/>
              </w:rPr>
            </w:pPr>
            <w:r>
              <w:rPr>
                <w:rFonts w:hint="eastAsia" w:ascii="宋体" w:hAnsi="宋体" w:cs="Courier New"/>
                <w:bCs/>
                <w:iCs/>
                <w:caps/>
                <w:kern w:val="0"/>
                <w:szCs w:val="21"/>
              </w:rPr>
              <w:t>1</w:t>
            </w:r>
          </w:p>
        </w:tc>
        <w:tc>
          <w:tcPr>
            <w:tcW w:w="1624" w:type="dxa"/>
            <w:noWrap w:val="0"/>
            <w:vAlign w:val="center"/>
          </w:tcPr>
          <w:p>
            <w:pPr>
              <w:widowControl/>
              <w:spacing w:line="360" w:lineRule="auto"/>
              <w:jc w:val="center"/>
              <w:rPr>
                <w:rFonts w:ascii="宋体" w:hAnsi="宋体" w:cs="Courier New"/>
                <w:bCs/>
                <w:iCs/>
                <w:caps/>
                <w:kern w:val="0"/>
                <w:szCs w:val="21"/>
              </w:rPr>
            </w:pPr>
            <w:r>
              <w:rPr>
                <w:rFonts w:hint="eastAsia" w:ascii="宋体" w:hAnsi="宋体" w:cs="Courier New"/>
                <w:bCs/>
                <w:iCs/>
                <w:caps/>
                <w:kern w:val="0"/>
                <w:szCs w:val="21"/>
              </w:rPr>
              <w:t>19</w:t>
            </w:r>
          </w:p>
        </w:tc>
      </w:tr>
      <w:tr>
        <w:tblPrEx>
          <w:tblBorders>
            <w:top w:val="single" w:color="000000" w:sz="12" w:space="0"/>
            <w:left w:val="none" w:color="auto" w:sz="0" w:space="0"/>
            <w:bottom w:val="single" w:color="000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3" w:hRule="atLeast"/>
          <w:jc w:val="center"/>
        </w:trPr>
        <w:tc>
          <w:tcPr>
            <w:tcW w:w="1779" w:type="dxa"/>
            <w:tcBorders>
              <w:right w:val="single" w:color="000000" w:sz="6" w:space="0"/>
            </w:tcBorders>
            <w:noWrap w:val="0"/>
            <w:vAlign w:val="center"/>
          </w:tcPr>
          <w:p>
            <w:pPr>
              <w:widowControl/>
              <w:spacing w:line="360" w:lineRule="auto"/>
              <w:jc w:val="center"/>
              <w:rPr>
                <w:rFonts w:ascii="宋体" w:hAnsi="宋体" w:cs="Courier New"/>
                <w:b/>
                <w:bCs/>
                <w:iCs/>
                <w:caps/>
                <w:color w:val="000000"/>
                <w:kern w:val="0"/>
                <w:szCs w:val="21"/>
              </w:rPr>
            </w:pPr>
            <w:r>
              <w:rPr>
                <w:rFonts w:hint="eastAsia" w:ascii="宋体" w:hAnsi="宋体" w:cs="Courier New"/>
                <w:b/>
                <w:bCs/>
                <w:iCs/>
                <w:caps/>
                <w:color w:val="000000"/>
                <w:kern w:val="0"/>
                <w:szCs w:val="21"/>
              </w:rPr>
              <w:t>食品科学与工程</w:t>
            </w:r>
          </w:p>
        </w:tc>
        <w:tc>
          <w:tcPr>
            <w:tcW w:w="1467" w:type="dxa"/>
            <w:noWrap w:val="0"/>
            <w:vAlign w:val="center"/>
          </w:tcPr>
          <w:p>
            <w:pPr>
              <w:widowControl/>
              <w:spacing w:line="360" w:lineRule="auto"/>
              <w:jc w:val="center"/>
              <w:rPr>
                <w:rFonts w:hint="eastAsia" w:ascii="Courier New" w:hAnsi="Courier New" w:cs="Courier New"/>
                <w:bCs/>
                <w:color w:val="000000"/>
                <w:kern w:val="0"/>
                <w:szCs w:val="21"/>
              </w:rPr>
            </w:pPr>
            <w:r>
              <w:rPr>
                <w:rFonts w:hint="eastAsia" w:ascii="Courier New" w:hAnsi="Courier New" w:cs="Courier New"/>
                <w:bCs/>
                <w:color w:val="000000"/>
                <w:kern w:val="0"/>
                <w:szCs w:val="21"/>
              </w:rPr>
              <w:t>8</w:t>
            </w:r>
          </w:p>
        </w:tc>
        <w:tc>
          <w:tcPr>
            <w:tcW w:w="1467" w:type="dxa"/>
            <w:noWrap w:val="0"/>
            <w:vAlign w:val="center"/>
          </w:tcPr>
          <w:p>
            <w:pPr>
              <w:widowControl/>
              <w:spacing w:line="360" w:lineRule="auto"/>
              <w:jc w:val="center"/>
              <w:rPr>
                <w:rFonts w:hint="eastAsia" w:ascii="宋体" w:hAnsi="宋体" w:cs="Courier New"/>
                <w:bCs/>
                <w:iCs/>
                <w:caps/>
                <w:color w:val="000000"/>
                <w:kern w:val="0"/>
                <w:szCs w:val="21"/>
              </w:rPr>
            </w:pPr>
            <w:r>
              <w:rPr>
                <w:rFonts w:hint="eastAsia" w:ascii="宋体" w:hAnsi="宋体" w:cs="Courier New"/>
                <w:bCs/>
                <w:iCs/>
                <w:caps/>
                <w:color w:val="000000"/>
                <w:kern w:val="0"/>
                <w:szCs w:val="21"/>
              </w:rPr>
              <w:t>2</w:t>
            </w:r>
          </w:p>
        </w:tc>
        <w:tc>
          <w:tcPr>
            <w:tcW w:w="1624" w:type="dxa"/>
            <w:noWrap w:val="0"/>
            <w:vAlign w:val="center"/>
          </w:tcPr>
          <w:p>
            <w:pPr>
              <w:widowControl/>
              <w:spacing w:line="360" w:lineRule="auto"/>
              <w:jc w:val="center"/>
              <w:rPr>
                <w:rFonts w:hint="eastAsia" w:ascii="宋体" w:hAnsi="宋体" w:cs="Courier New"/>
                <w:bCs/>
                <w:iCs/>
                <w:caps/>
                <w:color w:val="000000"/>
                <w:kern w:val="0"/>
                <w:szCs w:val="21"/>
              </w:rPr>
            </w:pPr>
            <w:r>
              <w:rPr>
                <w:rFonts w:hint="eastAsia" w:ascii="宋体" w:hAnsi="宋体" w:cs="Courier New"/>
                <w:bCs/>
                <w:iCs/>
                <w:caps/>
                <w:color w:val="000000"/>
                <w:kern w:val="0"/>
                <w:szCs w:val="21"/>
              </w:rPr>
              <w:t>0</w:t>
            </w:r>
          </w:p>
        </w:tc>
        <w:tc>
          <w:tcPr>
            <w:tcW w:w="1624" w:type="dxa"/>
            <w:noWrap w:val="0"/>
            <w:vAlign w:val="center"/>
          </w:tcPr>
          <w:p>
            <w:pPr>
              <w:widowControl/>
              <w:spacing w:line="360" w:lineRule="auto"/>
              <w:jc w:val="center"/>
              <w:rPr>
                <w:rFonts w:hint="eastAsia" w:ascii="宋体" w:hAnsi="宋体" w:cs="Courier New"/>
                <w:bCs/>
                <w:iCs/>
                <w:caps/>
                <w:color w:val="000000"/>
                <w:kern w:val="0"/>
                <w:szCs w:val="21"/>
              </w:rPr>
            </w:pPr>
            <w:r>
              <w:rPr>
                <w:rFonts w:hint="eastAsia" w:ascii="宋体" w:hAnsi="宋体" w:cs="Courier New"/>
                <w:bCs/>
                <w:iCs/>
                <w:caps/>
                <w:color w:val="000000"/>
                <w:kern w:val="0"/>
                <w:szCs w:val="21"/>
              </w:rPr>
              <w:t>6</w:t>
            </w:r>
          </w:p>
        </w:tc>
      </w:tr>
      <w:tr>
        <w:tblPrEx>
          <w:tblBorders>
            <w:top w:val="single" w:color="000000" w:sz="12" w:space="0"/>
            <w:left w:val="none" w:color="auto" w:sz="0" w:space="0"/>
            <w:bottom w:val="single" w:color="000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3" w:hRule="atLeast"/>
          <w:jc w:val="center"/>
        </w:trPr>
        <w:tc>
          <w:tcPr>
            <w:tcW w:w="1779" w:type="dxa"/>
            <w:tcBorders>
              <w:right w:val="single" w:color="000000" w:sz="6" w:space="0"/>
            </w:tcBorders>
            <w:noWrap w:val="0"/>
            <w:vAlign w:val="center"/>
          </w:tcPr>
          <w:p>
            <w:pPr>
              <w:widowControl/>
              <w:spacing w:line="360" w:lineRule="auto"/>
              <w:jc w:val="center"/>
              <w:rPr>
                <w:rFonts w:ascii="宋体" w:hAnsi="宋体" w:cs="Courier New"/>
                <w:b/>
                <w:bCs/>
                <w:iCs/>
                <w:caps/>
                <w:color w:val="000000"/>
                <w:kern w:val="0"/>
                <w:szCs w:val="21"/>
              </w:rPr>
            </w:pPr>
            <w:r>
              <w:rPr>
                <w:rFonts w:ascii="宋体" w:hAnsi="宋体" w:cs="Courier New"/>
                <w:b/>
                <w:bCs/>
                <w:iCs/>
                <w:caps/>
                <w:color w:val="000000"/>
                <w:kern w:val="0"/>
                <w:szCs w:val="21"/>
              </w:rPr>
              <w:t>食品</w:t>
            </w:r>
            <w:r>
              <w:rPr>
                <w:rFonts w:hint="eastAsia" w:ascii="宋体" w:hAnsi="宋体" w:cs="Courier New"/>
                <w:b/>
                <w:bCs/>
                <w:iCs/>
                <w:caps/>
                <w:color w:val="000000"/>
                <w:kern w:val="0"/>
                <w:szCs w:val="21"/>
              </w:rPr>
              <w:t>质量与安全</w:t>
            </w:r>
          </w:p>
        </w:tc>
        <w:tc>
          <w:tcPr>
            <w:tcW w:w="1467" w:type="dxa"/>
            <w:noWrap w:val="0"/>
            <w:vAlign w:val="center"/>
          </w:tcPr>
          <w:p>
            <w:pPr>
              <w:widowControl/>
              <w:spacing w:line="360" w:lineRule="auto"/>
              <w:jc w:val="center"/>
              <w:rPr>
                <w:rFonts w:ascii="Courier New" w:hAnsi="Courier New" w:cs="Courier New"/>
                <w:bCs/>
                <w:kern w:val="0"/>
                <w:szCs w:val="21"/>
              </w:rPr>
            </w:pPr>
            <w:r>
              <w:rPr>
                <w:rFonts w:hint="eastAsia" w:ascii="宋体" w:hAnsi="宋体" w:cs="Courier New"/>
                <w:bCs/>
                <w:iCs/>
                <w:caps/>
                <w:kern w:val="0"/>
                <w:szCs w:val="21"/>
              </w:rPr>
              <w:t>14</w:t>
            </w:r>
          </w:p>
        </w:tc>
        <w:tc>
          <w:tcPr>
            <w:tcW w:w="1467" w:type="dxa"/>
            <w:noWrap w:val="0"/>
            <w:vAlign w:val="center"/>
          </w:tcPr>
          <w:p>
            <w:pPr>
              <w:widowControl/>
              <w:spacing w:line="360" w:lineRule="auto"/>
              <w:jc w:val="center"/>
              <w:rPr>
                <w:rFonts w:hint="eastAsia" w:ascii="宋体" w:hAnsi="宋体" w:cs="Courier New"/>
                <w:bCs/>
                <w:iCs/>
                <w:caps/>
                <w:kern w:val="0"/>
                <w:szCs w:val="21"/>
              </w:rPr>
            </w:pPr>
            <w:r>
              <w:rPr>
                <w:rFonts w:hint="eastAsia" w:ascii="宋体" w:hAnsi="宋体" w:cs="Courier New"/>
                <w:bCs/>
                <w:iCs/>
                <w:caps/>
                <w:kern w:val="0"/>
                <w:szCs w:val="21"/>
              </w:rPr>
              <w:t>6</w:t>
            </w:r>
          </w:p>
        </w:tc>
        <w:tc>
          <w:tcPr>
            <w:tcW w:w="1624" w:type="dxa"/>
            <w:noWrap w:val="0"/>
            <w:vAlign w:val="center"/>
          </w:tcPr>
          <w:p>
            <w:pPr>
              <w:widowControl/>
              <w:spacing w:line="360" w:lineRule="auto"/>
              <w:jc w:val="center"/>
              <w:rPr>
                <w:rFonts w:hint="eastAsia" w:ascii="宋体" w:hAnsi="宋体" w:cs="Courier New"/>
                <w:bCs/>
                <w:iCs/>
                <w:caps/>
                <w:kern w:val="0"/>
                <w:szCs w:val="21"/>
              </w:rPr>
            </w:pPr>
            <w:r>
              <w:rPr>
                <w:rFonts w:hint="eastAsia" w:ascii="宋体" w:hAnsi="宋体" w:cs="Courier New"/>
                <w:bCs/>
                <w:iCs/>
                <w:caps/>
                <w:kern w:val="0"/>
                <w:szCs w:val="21"/>
              </w:rPr>
              <w:t>0</w:t>
            </w:r>
          </w:p>
        </w:tc>
        <w:tc>
          <w:tcPr>
            <w:tcW w:w="1624" w:type="dxa"/>
            <w:noWrap w:val="0"/>
            <w:vAlign w:val="center"/>
          </w:tcPr>
          <w:p>
            <w:pPr>
              <w:widowControl/>
              <w:spacing w:line="360" w:lineRule="auto"/>
              <w:jc w:val="center"/>
              <w:rPr>
                <w:rFonts w:hint="eastAsia" w:ascii="宋体" w:hAnsi="宋体" w:cs="Courier New"/>
                <w:bCs/>
                <w:iCs/>
                <w:caps/>
                <w:kern w:val="0"/>
                <w:szCs w:val="21"/>
              </w:rPr>
            </w:pPr>
            <w:r>
              <w:rPr>
                <w:rFonts w:hint="eastAsia" w:ascii="宋体" w:hAnsi="宋体" w:cs="Courier New"/>
                <w:bCs/>
                <w:iCs/>
                <w:caps/>
                <w:kern w:val="0"/>
                <w:szCs w:val="21"/>
              </w:rPr>
              <w:t>8</w:t>
            </w:r>
          </w:p>
        </w:tc>
      </w:tr>
      <w:tr>
        <w:tblPrEx>
          <w:tblBorders>
            <w:top w:val="single" w:color="000000" w:sz="12" w:space="0"/>
            <w:left w:val="none" w:color="auto" w:sz="0" w:space="0"/>
            <w:bottom w:val="single" w:color="000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1779" w:type="dxa"/>
            <w:tcBorders>
              <w:right w:val="single" w:color="000000" w:sz="6" w:space="0"/>
            </w:tcBorders>
            <w:noWrap w:val="0"/>
            <w:vAlign w:val="center"/>
          </w:tcPr>
          <w:p>
            <w:pPr>
              <w:widowControl/>
              <w:spacing w:line="360" w:lineRule="auto"/>
              <w:jc w:val="center"/>
              <w:rPr>
                <w:rFonts w:ascii="宋体" w:hAnsi="宋体" w:cs="Courier New"/>
                <w:b/>
                <w:bCs/>
                <w:iCs/>
                <w:caps/>
                <w:color w:val="000000"/>
                <w:kern w:val="0"/>
                <w:szCs w:val="21"/>
              </w:rPr>
            </w:pPr>
            <w:r>
              <w:rPr>
                <w:rFonts w:ascii="宋体" w:hAnsi="宋体" w:cs="Courier New"/>
                <w:b/>
                <w:bCs/>
                <w:iCs/>
                <w:caps/>
                <w:color w:val="000000"/>
                <w:kern w:val="0"/>
                <w:szCs w:val="21"/>
              </w:rPr>
              <w:t>合计</w:t>
            </w:r>
          </w:p>
        </w:tc>
        <w:tc>
          <w:tcPr>
            <w:tcW w:w="1467" w:type="dxa"/>
            <w:noWrap w:val="0"/>
            <w:vAlign w:val="center"/>
          </w:tcPr>
          <w:p>
            <w:pPr>
              <w:widowControl/>
              <w:spacing w:line="360" w:lineRule="auto"/>
              <w:jc w:val="center"/>
              <w:rPr>
                <w:rFonts w:ascii="Courier New" w:hAnsi="Courier New" w:cs="Courier New"/>
                <w:bCs/>
                <w:color w:val="000000"/>
                <w:kern w:val="0"/>
                <w:szCs w:val="21"/>
              </w:rPr>
            </w:pPr>
            <w:r>
              <w:rPr>
                <w:rFonts w:hint="eastAsia" w:ascii="Courier New" w:hAnsi="Courier New" w:cs="Courier New"/>
                <w:bCs/>
                <w:color w:val="000000"/>
                <w:kern w:val="0"/>
                <w:szCs w:val="21"/>
              </w:rPr>
              <w:t>80</w:t>
            </w:r>
          </w:p>
        </w:tc>
        <w:tc>
          <w:tcPr>
            <w:tcW w:w="1467" w:type="dxa"/>
            <w:noWrap/>
            <w:vAlign w:val="center"/>
          </w:tcPr>
          <w:p>
            <w:pPr>
              <w:widowControl/>
              <w:spacing w:line="360" w:lineRule="auto"/>
              <w:jc w:val="center"/>
              <w:rPr>
                <w:rFonts w:ascii="宋体" w:hAnsi="宋体" w:cs="Courier New"/>
                <w:bCs/>
                <w:iCs/>
                <w:caps/>
                <w:color w:val="000000"/>
                <w:kern w:val="0"/>
                <w:szCs w:val="21"/>
              </w:rPr>
            </w:pPr>
            <w:r>
              <w:rPr>
                <w:rFonts w:hint="eastAsia" w:ascii="宋体" w:hAnsi="宋体" w:cs="Courier New"/>
                <w:bCs/>
                <w:iCs/>
                <w:caps/>
                <w:color w:val="000000"/>
                <w:kern w:val="0"/>
                <w:szCs w:val="21"/>
              </w:rPr>
              <w:t>3</w:t>
            </w:r>
            <w:r>
              <w:rPr>
                <w:rFonts w:ascii="宋体" w:hAnsi="宋体" w:cs="Courier New"/>
                <w:bCs/>
                <w:iCs/>
                <w:caps/>
                <w:color w:val="000000"/>
                <w:kern w:val="0"/>
                <w:szCs w:val="21"/>
              </w:rPr>
              <w:t>7</w:t>
            </w:r>
          </w:p>
        </w:tc>
        <w:tc>
          <w:tcPr>
            <w:tcW w:w="1624" w:type="dxa"/>
            <w:noWrap/>
            <w:vAlign w:val="center"/>
          </w:tcPr>
          <w:p>
            <w:pPr>
              <w:widowControl/>
              <w:spacing w:line="360" w:lineRule="auto"/>
              <w:jc w:val="center"/>
              <w:rPr>
                <w:rFonts w:ascii="宋体" w:hAnsi="宋体" w:cs="Courier New"/>
                <w:bCs/>
                <w:iCs/>
                <w:caps/>
                <w:color w:val="000000"/>
                <w:kern w:val="0"/>
                <w:szCs w:val="21"/>
              </w:rPr>
            </w:pPr>
            <w:r>
              <w:rPr>
                <w:rFonts w:hint="eastAsia" w:ascii="宋体" w:hAnsi="宋体" w:cs="Courier New"/>
                <w:bCs/>
                <w:iCs/>
                <w:caps/>
                <w:color w:val="000000"/>
                <w:kern w:val="0"/>
                <w:szCs w:val="21"/>
              </w:rPr>
              <w:t>2</w:t>
            </w:r>
          </w:p>
        </w:tc>
        <w:tc>
          <w:tcPr>
            <w:tcW w:w="1624" w:type="dxa"/>
            <w:noWrap w:val="0"/>
            <w:vAlign w:val="center"/>
          </w:tcPr>
          <w:p>
            <w:pPr>
              <w:widowControl/>
              <w:spacing w:line="360" w:lineRule="auto"/>
              <w:jc w:val="center"/>
              <w:rPr>
                <w:rFonts w:hint="eastAsia" w:ascii="宋体" w:hAnsi="宋体" w:cs="Courier New"/>
                <w:bCs/>
                <w:iCs/>
                <w:caps/>
                <w:color w:val="000000"/>
                <w:kern w:val="0"/>
                <w:szCs w:val="21"/>
              </w:rPr>
            </w:pPr>
            <w:r>
              <w:rPr>
                <w:rFonts w:hint="eastAsia" w:ascii="宋体" w:hAnsi="宋体" w:cs="Courier New"/>
                <w:bCs/>
                <w:iCs/>
                <w:caps/>
                <w:color w:val="000000"/>
                <w:kern w:val="0"/>
                <w:szCs w:val="21"/>
              </w:rPr>
              <w:t>42</w:t>
            </w:r>
          </w:p>
        </w:tc>
      </w:tr>
    </w:tbl>
    <w:p>
      <w:pPr>
        <w:spacing w:line="360" w:lineRule="auto"/>
        <w:ind w:firstLine="420" w:firstLineChars="200"/>
        <w:rPr>
          <w:rFonts w:hint="eastAsia" w:ascii="宋体" w:hAnsi="宋体"/>
          <w:sz w:val="24"/>
        </w:rPr>
      </w:pPr>
      <w:r>
        <w:rPr>
          <w:rFonts w:hint="eastAsia" w:ascii="宋体" w:hAnsi="宋体"/>
          <w:szCs w:val="21"/>
        </w:rPr>
        <w:t xml:space="preserve">  </w:t>
      </w:r>
      <w:r>
        <w:rPr>
          <w:rFonts w:hint="eastAsia" w:ascii="宋体" w:hAnsi="宋体"/>
          <w:sz w:val="24"/>
        </w:rPr>
        <w:t xml:space="preserve"> </w:t>
      </w:r>
    </w:p>
    <w:p>
      <w:pPr>
        <w:spacing w:line="360" w:lineRule="auto"/>
        <w:jc w:val="center"/>
        <w:rPr>
          <w:rFonts w:hint="eastAsia" w:ascii="宋体" w:hAnsi="宋体"/>
          <w:b/>
          <w:sz w:val="32"/>
          <w:szCs w:val="32"/>
        </w:rPr>
      </w:pPr>
      <w:r>
        <w:rPr>
          <w:rFonts w:hint="eastAsia" w:ascii="宋体" w:hAnsi="宋体"/>
          <w:b/>
          <w:sz w:val="32"/>
          <w:szCs w:val="32"/>
        </w:rPr>
        <w:t>第二部分  就业结构分析</w:t>
      </w:r>
    </w:p>
    <w:p>
      <w:pPr>
        <w:spacing w:line="360" w:lineRule="auto"/>
        <w:ind w:firstLine="482" w:firstLineChars="200"/>
        <w:rPr>
          <w:rFonts w:ascii="宋体" w:hAnsi="宋体"/>
          <w:b/>
          <w:bCs/>
          <w:color w:val="000000"/>
          <w:sz w:val="24"/>
        </w:rPr>
      </w:pPr>
      <w:r>
        <w:rPr>
          <w:rFonts w:hint="eastAsia" w:ascii="宋体" w:hAnsi="宋体"/>
          <w:b/>
          <w:bCs/>
          <w:color w:val="000000"/>
          <w:sz w:val="24"/>
        </w:rPr>
        <w:t>一、生物工程专业就业结构分析</w:t>
      </w:r>
    </w:p>
    <w:p>
      <w:pPr>
        <w:spacing w:line="360" w:lineRule="auto"/>
        <w:ind w:firstLine="480" w:firstLineChars="200"/>
        <w:rPr>
          <w:rFonts w:ascii="宋体" w:hAnsi="宋体"/>
          <w:bCs/>
          <w:color w:val="000000"/>
          <w:sz w:val="24"/>
        </w:rPr>
      </w:pPr>
      <w:r>
        <w:rPr>
          <w:rFonts w:hint="eastAsia" w:ascii="宋体" w:hAnsi="宋体"/>
          <w:bCs/>
          <w:color w:val="000000"/>
          <w:sz w:val="24"/>
        </w:rPr>
        <w:t>我院2022届生物工程专业有3个本科行政班，共有90人，其中4人结业。截止2022年12月31日，提交就业协议60份，地方与国家基层项目各1人，应征入伍1人，考研录取24人，共86人就业，综合就业率为95.56%，考研录取率为26.67%。</w:t>
      </w:r>
    </w:p>
    <w:p>
      <w:pPr>
        <w:spacing w:line="360" w:lineRule="auto"/>
        <w:ind w:firstLine="480" w:firstLineChars="200"/>
        <w:rPr>
          <w:rFonts w:ascii="宋体" w:hAnsi="宋体"/>
          <w:color w:val="000000"/>
          <w:sz w:val="24"/>
        </w:rPr>
      </w:pPr>
      <w:r>
        <w:rPr>
          <w:rFonts w:ascii="宋体" w:hAnsi="宋体"/>
          <w:color w:val="000000"/>
          <w:sz w:val="24"/>
        </w:rPr>
        <w:t>初次就业情况：从就业单位看，行业内的为</w:t>
      </w:r>
      <w:r>
        <w:rPr>
          <w:rFonts w:hint="eastAsia" w:ascii="宋体" w:hAnsi="宋体"/>
          <w:color w:val="000000"/>
          <w:sz w:val="24"/>
        </w:rPr>
        <w:t>36</w:t>
      </w:r>
      <w:r>
        <w:rPr>
          <w:rFonts w:ascii="宋体" w:hAnsi="宋体"/>
          <w:color w:val="000000"/>
          <w:sz w:val="24"/>
        </w:rPr>
        <w:t>人，占</w:t>
      </w:r>
      <w:r>
        <w:rPr>
          <w:rFonts w:hint="eastAsia" w:ascii="宋体" w:hAnsi="宋体"/>
          <w:color w:val="000000"/>
          <w:sz w:val="24"/>
        </w:rPr>
        <w:t>毕业生</w:t>
      </w:r>
      <w:r>
        <w:rPr>
          <w:rFonts w:ascii="宋体" w:hAnsi="宋体"/>
          <w:color w:val="000000"/>
          <w:sz w:val="24"/>
        </w:rPr>
        <w:t>人数的</w:t>
      </w:r>
      <w:r>
        <w:rPr>
          <w:rFonts w:hint="eastAsia" w:ascii="宋体" w:hAnsi="宋体"/>
          <w:color w:val="000000"/>
          <w:sz w:val="24"/>
        </w:rPr>
        <w:t>40</w:t>
      </w:r>
      <w:r>
        <w:rPr>
          <w:rFonts w:ascii="宋体" w:hAnsi="宋体"/>
          <w:color w:val="000000"/>
          <w:sz w:val="24"/>
        </w:rPr>
        <w:t>%（升学</w:t>
      </w:r>
      <w:r>
        <w:rPr>
          <w:rFonts w:hint="eastAsia" w:ascii="宋体" w:hAnsi="宋体"/>
          <w:color w:val="000000"/>
          <w:sz w:val="24"/>
        </w:rPr>
        <w:t>21人为</w:t>
      </w:r>
      <w:r>
        <w:rPr>
          <w:rFonts w:ascii="宋体" w:hAnsi="宋体"/>
          <w:color w:val="000000"/>
          <w:sz w:val="24"/>
        </w:rPr>
        <w:t>行业内）；行业外的为</w:t>
      </w:r>
      <w:r>
        <w:rPr>
          <w:rFonts w:hint="eastAsia" w:ascii="宋体" w:hAnsi="宋体"/>
          <w:color w:val="000000"/>
          <w:sz w:val="24"/>
        </w:rPr>
        <w:t>22</w:t>
      </w:r>
      <w:r>
        <w:rPr>
          <w:rFonts w:ascii="宋体" w:hAnsi="宋体"/>
          <w:color w:val="000000"/>
          <w:sz w:val="24"/>
        </w:rPr>
        <w:t>人</w:t>
      </w:r>
      <w:r>
        <w:rPr>
          <w:rFonts w:hint="eastAsia" w:ascii="宋体" w:hAnsi="宋体"/>
          <w:color w:val="000000"/>
          <w:sz w:val="24"/>
        </w:rPr>
        <w:t>，</w:t>
      </w:r>
      <w:r>
        <w:rPr>
          <w:rFonts w:ascii="宋体" w:hAnsi="宋体"/>
          <w:color w:val="000000"/>
          <w:sz w:val="24"/>
        </w:rPr>
        <w:t>占</w:t>
      </w:r>
      <w:r>
        <w:rPr>
          <w:rFonts w:hint="eastAsia" w:ascii="宋体" w:hAnsi="宋体"/>
          <w:color w:val="000000"/>
          <w:sz w:val="24"/>
        </w:rPr>
        <w:t>毕业生</w:t>
      </w:r>
      <w:r>
        <w:rPr>
          <w:rFonts w:ascii="宋体" w:hAnsi="宋体"/>
          <w:color w:val="000000"/>
          <w:sz w:val="24"/>
        </w:rPr>
        <w:t>人数的</w:t>
      </w:r>
      <w:r>
        <w:rPr>
          <w:rFonts w:hint="eastAsia" w:ascii="宋体" w:hAnsi="宋体"/>
          <w:color w:val="000000"/>
          <w:sz w:val="24"/>
        </w:rPr>
        <w:t>24.44</w:t>
      </w:r>
      <w:r>
        <w:rPr>
          <w:rFonts w:ascii="宋体" w:hAnsi="宋体"/>
          <w:color w:val="000000"/>
          <w:sz w:val="24"/>
        </w:rPr>
        <w:t>%</w:t>
      </w:r>
      <w:r>
        <w:rPr>
          <w:rFonts w:hint="eastAsia" w:ascii="宋体" w:hAnsi="宋体"/>
          <w:color w:val="000000"/>
          <w:sz w:val="24"/>
        </w:rPr>
        <w:t>。其中顾凯旋同学参与国家基层项目到西藏山南市乃东区的西部计划中央基层项目，现服务与乃东区妇联办公室；胡晓楠同学参与其它地方基层项目在安徽省合肥经济技术开发区，现在经开区高刘街道社区工作；古道鹏同学应征入伍。</w:t>
      </w:r>
    </w:p>
    <w:p>
      <w:pPr>
        <w:spacing w:line="360" w:lineRule="auto"/>
        <w:ind w:firstLine="420" w:firstLineChars="200"/>
        <w:jc w:val="center"/>
        <w:rPr>
          <w:rFonts w:hint="eastAsia"/>
        </w:rPr>
      </w:pPr>
      <w:r>
        <w:rPr>
          <w:rFonts w:ascii="宋体" w:hAnsi="宋体"/>
          <w:color w:val="000000"/>
          <w:szCs w:val="21"/>
        </w:rPr>
        <w:object>
          <v:shape id="_x0000_i1037" o:spt="75" type="#_x0000_t75" style="height:138.25pt;width:250.1pt;" o:ole="t" filled="f" stroked="f" coordsize="21600,21600">
            <v:path/>
            <v:fill on="f" focussize="0,0"/>
            <v:stroke on="f"/>
            <v:imagedata r:id="rId29" o:title=""/>
            <o:lock v:ext="edit" grouping="f" rotation="f" text="f" aspectratio="f"/>
            <w10:wrap type="none"/>
            <w10:anchorlock/>
          </v:shape>
          <o:OLEObject Type="Embed" ProgID="Excel.Chart.8" ShapeID="_x0000_i1037" DrawAspect="Content" ObjectID="_1468075725" r:id="rId28">
            <o:LockedField>false</o:LockedField>
          </o:OLEObject>
        </w:object>
      </w:r>
    </w:p>
    <w:p>
      <w:pPr>
        <w:spacing w:line="360" w:lineRule="auto"/>
        <w:ind w:firstLine="422" w:firstLineChars="200"/>
        <w:jc w:val="center"/>
        <w:rPr>
          <w:rFonts w:ascii="宋体" w:hAnsi="宋体"/>
          <w:b/>
          <w:bCs/>
          <w:color w:val="000000"/>
          <w:szCs w:val="21"/>
        </w:rPr>
      </w:pPr>
      <w:r>
        <w:rPr>
          <w:rFonts w:hint="eastAsia" w:ascii="宋体" w:hAnsi="宋体"/>
          <w:b/>
          <w:bCs/>
          <w:color w:val="000000"/>
          <w:szCs w:val="21"/>
        </w:rPr>
        <w:t>图1：</w:t>
      </w:r>
      <w:r>
        <w:rPr>
          <w:rFonts w:ascii="宋体" w:hAnsi="宋体"/>
          <w:b/>
          <w:bCs/>
          <w:color w:val="000000"/>
          <w:szCs w:val="21"/>
        </w:rPr>
        <w:t>202</w:t>
      </w:r>
      <w:r>
        <w:rPr>
          <w:rFonts w:hint="eastAsia" w:ascii="宋体" w:hAnsi="宋体"/>
          <w:b/>
          <w:bCs/>
          <w:color w:val="000000"/>
          <w:szCs w:val="21"/>
        </w:rPr>
        <w:t>2</w:t>
      </w:r>
      <w:r>
        <w:rPr>
          <w:rFonts w:ascii="宋体" w:hAnsi="宋体"/>
          <w:b/>
          <w:bCs/>
          <w:color w:val="000000"/>
          <w:szCs w:val="21"/>
        </w:rPr>
        <w:t>届生物工程专业就业行业图</w:t>
      </w:r>
    </w:p>
    <w:p>
      <w:pPr>
        <w:spacing w:line="360" w:lineRule="auto"/>
        <w:ind w:firstLine="480" w:firstLineChars="200"/>
        <w:rPr>
          <w:rFonts w:ascii="宋体" w:hAnsi="宋体"/>
          <w:color w:val="000000"/>
          <w:sz w:val="24"/>
        </w:rPr>
      </w:pPr>
      <w:r>
        <w:rPr>
          <w:rFonts w:ascii="宋体" w:hAnsi="宋体"/>
          <w:color w:val="000000"/>
          <w:sz w:val="24"/>
        </w:rPr>
        <w:t>从就业地域看，在省内就业</w:t>
      </w:r>
      <w:r>
        <w:rPr>
          <w:rFonts w:hint="eastAsia" w:ascii="宋体" w:hAnsi="宋体"/>
          <w:color w:val="000000"/>
          <w:sz w:val="24"/>
        </w:rPr>
        <w:t>或升学</w:t>
      </w:r>
      <w:r>
        <w:rPr>
          <w:rFonts w:ascii="宋体" w:hAnsi="宋体"/>
          <w:color w:val="000000"/>
          <w:sz w:val="24"/>
        </w:rPr>
        <w:t>的</w:t>
      </w:r>
      <w:r>
        <w:rPr>
          <w:rFonts w:hint="eastAsia" w:ascii="宋体" w:hAnsi="宋体"/>
          <w:color w:val="000000"/>
          <w:sz w:val="24"/>
        </w:rPr>
        <w:t>有45</w:t>
      </w:r>
      <w:r>
        <w:rPr>
          <w:rFonts w:ascii="宋体" w:hAnsi="宋体"/>
          <w:color w:val="000000"/>
          <w:sz w:val="24"/>
        </w:rPr>
        <w:t>人，占已就业人数的</w:t>
      </w:r>
      <w:r>
        <w:rPr>
          <w:rFonts w:hint="eastAsia" w:ascii="宋体" w:hAnsi="宋体"/>
          <w:color w:val="000000"/>
          <w:sz w:val="24"/>
        </w:rPr>
        <w:t>52.94</w:t>
      </w:r>
      <w:r>
        <w:rPr>
          <w:rFonts w:ascii="宋体" w:hAnsi="宋体"/>
          <w:color w:val="000000"/>
          <w:sz w:val="24"/>
        </w:rPr>
        <w:t>%（其中在合肥就业的</w:t>
      </w:r>
      <w:r>
        <w:rPr>
          <w:rFonts w:hint="eastAsia" w:ascii="宋体" w:hAnsi="宋体"/>
          <w:color w:val="000000"/>
          <w:sz w:val="24"/>
        </w:rPr>
        <w:t>41</w:t>
      </w:r>
      <w:r>
        <w:rPr>
          <w:rFonts w:ascii="宋体" w:hAnsi="宋体"/>
          <w:color w:val="000000"/>
          <w:sz w:val="24"/>
        </w:rPr>
        <w:t>人，占已就业人数的</w:t>
      </w:r>
      <w:r>
        <w:rPr>
          <w:rFonts w:hint="eastAsia" w:ascii="宋体" w:hAnsi="宋体"/>
          <w:color w:val="000000"/>
          <w:sz w:val="24"/>
        </w:rPr>
        <w:t>48.24</w:t>
      </w:r>
      <w:r>
        <w:rPr>
          <w:rFonts w:ascii="宋体" w:hAnsi="宋体"/>
          <w:color w:val="000000"/>
          <w:sz w:val="24"/>
        </w:rPr>
        <w:t>%）；</w:t>
      </w:r>
      <w:r>
        <w:rPr>
          <w:rFonts w:hint="eastAsia" w:ascii="宋体" w:hAnsi="宋体"/>
          <w:color w:val="000000"/>
          <w:sz w:val="24"/>
        </w:rPr>
        <w:t>到上海就业或升学的有8人,占已就业人数的9.41%;</w:t>
      </w:r>
      <w:r>
        <w:rPr>
          <w:rFonts w:ascii="宋体" w:hAnsi="宋体"/>
          <w:color w:val="000000"/>
          <w:sz w:val="24"/>
        </w:rPr>
        <w:t>到江、浙就业</w:t>
      </w:r>
      <w:r>
        <w:rPr>
          <w:rFonts w:hint="eastAsia" w:ascii="宋体" w:hAnsi="宋体"/>
          <w:color w:val="000000"/>
          <w:sz w:val="24"/>
        </w:rPr>
        <w:t>或升学</w:t>
      </w:r>
      <w:r>
        <w:rPr>
          <w:rFonts w:ascii="宋体" w:hAnsi="宋体"/>
          <w:color w:val="000000"/>
          <w:sz w:val="24"/>
        </w:rPr>
        <w:t>的人</w:t>
      </w:r>
      <w:r>
        <w:rPr>
          <w:rFonts w:hint="eastAsia" w:ascii="宋体" w:hAnsi="宋体"/>
          <w:color w:val="000000"/>
          <w:sz w:val="24"/>
        </w:rPr>
        <w:t>有18人</w:t>
      </w:r>
      <w:r>
        <w:rPr>
          <w:rFonts w:ascii="宋体" w:hAnsi="宋体"/>
          <w:color w:val="000000"/>
          <w:sz w:val="24"/>
        </w:rPr>
        <w:t>，占已就业人数的</w:t>
      </w:r>
      <w:r>
        <w:rPr>
          <w:rFonts w:hint="eastAsia" w:ascii="宋体" w:hAnsi="宋体"/>
          <w:color w:val="000000"/>
          <w:sz w:val="24"/>
        </w:rPr>
        <w:t>21.18</w:t>
      </w:r>
      <w:r>
        <w:rPr>
          <w:rFonts w:ascii="宋体" w:hAnsi="宋体"/>
          <w:color w:val="000000"/>
          <w:sz w:val="24"/>
        </w:rPr>
        <w:t>%；</w:t>
      </w:r>
      <w:r>
        <w:rPr>
          <w:rFonts w:hint="eastAsia" w:ascii="宋体" w:hAnsi="宋体"/>
          <w:color w:val="000000"/>
          <w:sz w:val="24"/>
        </w:rPr>
        <w:t>其他地区共14人，占已就业人数的16.47%。</w:t>
      </w:r>
    </w:p>
    <w:p>
      <w:pPr>
        <w:spacing w:line="360" w:lineRule="auto"/>
        <w:ind w:firstLine="420" w:firstLineChars="200"/>
        <w:jc w:val="center"/>
        <w:rPr>
          <w:rFonts w:ascii="宋体" w:hAnsi="宋体"/>
          <w:color w:val="000000"/>
          <w:sz w:val="24"/>
        </w:rPr>
      </w:pPr>
      <w:r>
        <w:rPr>
          <w:rFonts w:ascii="宋体" w:hAnsi="宋体"/>
          <w:color w:val="000000"/>
          <w:sz w:val="24"/>
        </w:rPr>
        <w:object>
          <v:shape id="_x0000_i1038" o:spt="75" type="#_x0000_t75" style="height:301pt;width:400.85pt;" o:ole="t" filled="f" stroked="f" coordsize="21600,21600">
            <v:path/>
            <v:fill on="f" focussize="0,0"/>
            <v:stroke on="f"/>
            <v:imagedata r:id="rId31" o:title=""/>
            <o:lock v:ext="edit" grouping="f" rotation="f" text="f" aspectratio="f"/>
            <w10:wrap type="none"/>
            <w10:anchorlock/>
          </v:shape>
          <o:OLEObject Type="Embed" ProgID="Excel.Chart.8" ShapeID="_x0000_i1038" DrawAspect="Content" ObjectID="_1468075726" r:id="rId30">
            <o:LockedField>false</o:LockedField>
          </o:OLEObject>
        </w:object>
      </w:r>
    </w:p>
    <w:p>
      <w:pPr>
        <w:spacing w:line="360" w:lineRule="auto"/>
        <w:ind w:firstLine="422" w:firstLineChars="200"/>
        <w:jc w:val="center"/>
        <w:rPr>
          <w:rFonts w:ascii="宋体" w:hAnsi="宋体"/>
          <w:b/>
          <w:bCs/>
          <w:color w:val="000000"/>
          <w:szCs w:val="21"/>
        </w:rPr>
      </w:pPr>
      <w:r>
        <w:rPr>
          <w:rFonts w:hint="eastAsia" w:ascii="宋体" w:hAnsi="宋体"/>
          <w:b/>
          <w:bCs/>
          <w:color w:val="000000"/>
          <w:szCs w:val="21"/>
        </w:rPr>
        <w:t>图2：</w:t>
      </w:r>
      <w:r>
        <w:rPr>
          <w:rFonts w:ascii="宋体" w:hAnsi="宋体"/>
          <w:b/>
          <w:bCs/>
          <w:color w:val="000000"/>
          <w:szCs w:val="21"/>
        </w:rPr>
        <w:t>202</w:t>
      </w:r>
      <w:r>
        <w:rPr>
          <w:rFonts w:hint="eastAsia" w:ascii="宋体" w:hAnsi="宋体"/>
          <w:b/>
          <w:bCs/>
          <w:color w:val="000000"/>
          <w:szCs w:val="21"/>
        </w:rPr>
        <w:t>2</w:t>
      </w:r>
      <w:r>
        <w:rPr>
          <w:rFonts w:ascii="宋体" w:hAnsi="宋体"/>
          <w:b/>
          <w:bCs/>
          <w:color w:val="000000"/>
          <w:szCs w:val="21"/>
        </w:rPr>
        <w:t>届生物工程专业就业区域图</w:t>
      </w:r>
    </w:p>
    <w:p>
      <w:pPr>
        <w:spacing w:line="360" w:lineRule="auto"/>
        <w:ind w:firstLine="420" w:firstLineChars="200"/>
        <w:jc w:val="center"/>
        <w:rPr>
          <w:rFonts w:ascii="宋体" w:hAnsi="宋体"/>
          <w:bCs/>
          <w:color w:val="000000"/>
          <w:szCs w:val="21"/>
        </w:rPr>
      </w:pPr>
    </w:p>
    <w:p>
      <w:pPr>
        <w:spacing w:line="360" w:lineRule="auto"/>
        <w:ind w:firstLine="420" w:firstLineChars="200"/>
        <w:rPr>
          <w:rFonts w:ascii="宋体" w:hAnsi="宋体"/>
          <w:bCs/>
          <w:color w:val="000000"/>
          <w:szCs w:val="21"/>
        </w:rPr>
      </w:pPr>
      <w:r>
        <w:rPr>
          <w:rFonts w:hint="eastAsia" w:ascii="宋体" w:hAnsi="宋体"/>
          <w:bCs/>
          <w:color w:val="000000"/>
          <w:szCs w:val="21"/>
        </w:rPr>
        <w:t xml:space="preserve">    从单位性质看，2022届生物工程专业绝大多数都是在企业工作，其中5人在三资企业。</w:t>
      </w:r>
    </w:p>
    <w:p>
      <w:pPr>
        <w:spacing w:line="360" w:lineRule="auto"/>
        <w:ind w:firstLine="422" w:firstLineChars="200"/>
        <w:jc w:val="center"/>
        <w:rPr>
          <w:rFonts w:ascii="宋体" w:hAnsi="宋体"/>
          <w:b/>
          <w:color w:val="000000"/>
          <w:szCs w:val="21"/>
        </w:rPr>
      </w:pPr>
      <w:r>
        <w:rPr>
          <w:rFonts w:hint="eastAsia" w:ascii="宋体" w:hAnsi="宋体"/>
          <w:b/>
          <w:bCs/>
          <w:color w:val="000000"/>
          <w:szCs w:val="21"/>
        </w:rPr>
        <w:t>表3：</w:t>
      </w:r>
      <w:r>
        <w:rPr>
          <w:rFonts w:hint="eastAsia" w:ascii="宋体" w:hAnsi="宋体"/>
          <w:b/>
          <w:color w:val="000000"/>
          <w:szCs w:val="21"/>
        </w:rPr>
        <w:t>2022届生物工程专业就业单位性质构成</w:t>
      </w:r>
    </w:p>
    <w:tbl>
      <w:tblPr>
        <w:tblStyle w:val="13"/>
        <w:tblW w:w="0" w:type="auto"/>
        <w:jc w:val="center"/>
        <w:tblBorders>
          <w:top w:val="single" w:color="000000" w:sz="12" w:space="0"/>
          <w:left w:val="none" w:color="auto" w:sz="0" w:space="0"/>
          <w:bottom w:val="single" w:color="000000"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816"/>
        <w:gridCol w:w="1389"/>
        <w:gridCol w:w="1275"/>
        <w:gridCol w:w="1104"/>
        <w:gridCol w:w="2015"/>
      </w:tblGrid>
      <w:tr>
        <w:tblPrEx>
          <w:tblBorders>
            <w:top w:val="single" w:color="000000" w:sz="12" w:space="0"/>
            <w:left w:val="none" w:color="auto" w:sz="0" w:space="0"/>
            <w:bottom w:val="single" w:color="000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9" w:hRule="atLeast"/>
          <w:jc w:val="center"/>
        </w:trPr>
        <w:tc>
          <w:tcPr>
            <w:tcW w:w="1816" w:type="dxa"/>
            <w:tcBorders>
              <w:bottom w:val="single" w:color="000000" w:sz="6" w:space="0"/>
              <w:right w:val="single" w:color="000000" w:sz="6" w:space="0"/>
            </w:tcBorders>
            <w:noWrap w:val="0"/>
            <w:vAlign w:val="center"/>
          </w:tcPr>
          <w:p>
            <w:pPr>
              <w:spacing w:before="156" w:beforeLines="50" w:after="156" w:afterLines="50" w:line="360" w:lineRule="auto"/>
              <w:jc w:val="center"/>
              <w:outlineLvl w:val="0"/>
              <w:rPr>
                <w:rFonts w:ascii="宋体" w:hAnsi="宋体"/>
                <w:b/>
                <w:bCs/>
                <w:iCs/>
                <w:szCs w:val="21"/>
              </w:rPr>
            </w:pPr>
            <w:r>
              <w:rPr>
                <w:rFonts w:hint="eastAsia" w:ascii="宋体" w:hAnsi="宋体"/>
                <w:b/>
                <w:bCs/>
                <w:iCs/>
                <w:szCs w:val="21"/>
              </w:rPr>
              <w:t>单位性质</w:t>
            </w:r>
          </w:p>
        </w:tc>
        <w:tc>
          <w:tcPr>
            <w:tcW w:w="1389" w:type="dxa"/>
            <w:tcBorders>
              <w:bottom w:val="single" w:color="000000" w:sz="6" w:space="0"/>
            </w:tcBorders>
            <w:noWrap w:val="0"/>
            <w:vAlign w:val="center"/>
          </w:tcPr>
          <w:p>
            <w:pPr>
              <w:spacing w:before="156" w:beforeLines="50" w:after="156" w:afterLines="50" w:line="360" w:lineRule="auto"/>
              <w:jc w:val="center"/>
              <w:outlineLvl w:val="0"/>
              <w:rPr>
                <w:rFonts w:ascii="宋体" w:hAnsi="宋体"/>
                <w:b/>
                <w:bCs/>
                <w:iCs/>
                <w:szCs w:val="21"/>
              </w:rPr>
            </w:pPr>
            <w:r>
              <w:rPr>
                <w:rFonts w:hint="eastAsia" w:ascii="宋体" w:hAnsi="宋体"/>
                <w:b/>
                <w:bCs/>
                <w:iCs/>
                <w:szCs w:val="21"/>
              </w:rPr>
              <w:t>三资企业</w:t>
            </w:r>
          </w:p>
        </w:tc>
        <w:tc>
          <w:tcPr>
            <w:tcW w:w="1275" w:type="dxa"/>
            <w:tcBorders>
              <w:bottom w:val="single" w:color="000000" w:sz="6" w:space="0"/>
            </w:tcBorders>
            <w:noWrap w:val="0"/>
            <w:vAlign w:val="center"/>
          </w:tcPr>
          <w:p>
            <w:pPr>
              <w:spacing w:before="156" w:beforeLines="50" w:after="156" w:afterLines="50" w:line="360" w:lineRule="auto"/>
              <w:jc w:val="center"/>
              <w:outlineLvl w:val="0"/>
              <w:rPr>
                <w:rFonts w:ascii="宋体" w:hAnsi="宋体"/>
                <w:b/>
                <w:bCs/>
                <w:iCs/>
                <w:szCs w:val="21"/>
              </w:rPr>
            </w:pPr>
            <w:r>
              <w:rPr>
                <w:rFonts w:hint="eastAsia" w:ascii="宋体" w:hAnsi="宋体"/>
                <w:b/>
                <w:bCs/>
                <w:iCs/>
                <w:szCs w:val="21"/>
              </w:rPr>
              <w:t>其他企业</w:t>
            </w:r>
          </w:p>
        </w:tc>
        <w:tc>
          <w:tcPr>
            <w:tcW w:w="1104" w:type="dxa"/>
            <w:tcBorders>
              <w:bottom w:val="single" w:color="000000" w:sz="6" w:space="0"/>
            </w:tcBorders>
            <w:noWrap w:val="0"/>
            <w:vAlign w:val="center"/>
          </w:tcPr>
          <w:p>
            <w:pPr>
              <w:spacing w:before="156" w:beforeLines="50" w:after="156" w:afterLines="50" w:line="360" w:lineRule="auto"/>
              <w:jc w:val="center"/>
              <w:outlineLvl w:val="0"/>
              <w:rPr>
                <w:rFonts w:ascii="宋体" w:hAnsi="宋体"/>
                <w:b/>
                <w:bCs/>
                <w:iCs/>
                <w:szCs w:val="21"/>
              </w:rPr>
            </w:pPr>
            <w:r>
              <w:rPr>
                <w:rFonts w:hint="eastAsia" w:ascii="宋体" w:hAnsi="宋体"/>
                <w:b/>
                <w:bCs/>
                <w:iCs/>
                <w:szCs w:val="21"/>
              </w:rPr>
              <w:t>考研录取</w:t>
            </w:r>
          </w:p>
        </w:tc>
        <w:tc>
          <w:tcPr>
            <w:tcW w:w="2015" w:type="dxa"/>
            <w:tcBorders>
              <w:bottom w:val="single" w:color="000000" w:sz="6" w:space="0"/>
            </w:tcBorders>
            <w:noWrap w:val="0"/>
            <w:vAlign w:val="center"/>
          </w:tcPr>
          <w:p>
            <w:pPr>
              <w:spacing w:before="156" w:beforeLines="50" w:after="156" w:afterLines="50" w:line="360" w:lineRule="auto"/>
              <w:jc w:val="center"/>
              <w:outlineLvl w:val="0"/>
              <w:rPr>
                <w:rFonts w:hint="eastAsia" w:ascii="宋体" w:hAnsi="宋体"/>
                <w:b/>
                <w:bCs/>
                <w:iCs/>
                <w:szCs w:val="21"/>
              </w:rPr>
            </w:pPr>
            <w:r>
              <w:rPr>
                <w:rFonts w:hint="eastAsia" w:ascii="宋体" w:hAnsi="宋体"/>
                <w:b/>
                <w:bCs/>
                <w:iCs/>
                <w:szCs w:val="21"/>
              </w:rPr>
              <w:t>入伍及地方</w:t>
            </w:r>
          </w:p>
          <w:p>
            <w:pPr>
              <w:spacing w:before="156" w:beforeLines="50" w:after="156" w:afterLines="50" w:line="360" w:lineRule="auto"/>
              <w:jc w:val="center"/>
              <w:outlineLvl w:val="0"/>
              <w:rPr>
                <w:rFonts w:ascii="宋体" w:hAnsi="宋体"/>
                <w:b/>
                <w:bCs/>
                <w:iCs/>
                <w:szCs w:val="21"/>
              </w:rPr>
            </w:pPr>
            <w:r>
              <w:rPr>
                <w:rFonts w:hint="eastAsia" w:ascii="宋体" w:hAnsi="宋体"/>
                <w:b/>
                <w:bCs/>
                <w:iCs/>
                <w:szCs w:val="21"/>
              </w:rPr>
              <w:t>和国家计划</w:t>
            </w:r>
          </w:p>
        </w:tc>
      </w:tr>
      <w:tr>
        <w:tblPrEx>
          <w:tblBorders>
            <w:top w:val="single" w:color="000000" w:sz="12" w:space="0"/>
            <w:left w:val="none" w:color="auto" w:sz="0" w:space="0"/>
            <w:bottom w:val="single" w:color="000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9" w:hRule="atLeast"/>
          <w:jc w:val="center"/>
        </w:trPr>
        <w:tc>
          <w:tcPr>
            <w:tcW w:w="1816" w:type="dxa"/>
            <w:tcBorders>
              <w:right w:val="single" w:color="000000" w:sz="6" w:space="0"/>
            </w:tcBorders>
            <w:noWrap w:val="0"/>
            <w:vAlign w:val="center"/>
          </w:tcPr>
          <w:p>
            <w:pPr>
              <w:spacing w:before="156" w:beforeLines="50" w:after="156" w:afterLines="50" w:line="360" w:lineRule="auto"/>
              <w:jc w:val="center"/>
              <w:outlineLvl w:val="0"/>
              <w:rPr>
                <w:rFonts w:ascii="宋体" w:hAnsi="宋体"/>
                <w:bCs/>
                <w:szCs w:val="21"/>
              </w:rPr>
            </w:pPr>
            <w:r>
              <w:rPr>
                <w:rFonts w:hint="eastAsia" w:ascii="宋体" w:hAnsi="宋体"/>
                <w:bCs/>
                <w:szCs w:val="21"/>
              </w:rPr>
              <w:t>就业人数</w:t>
            </w:r>
          </w:p>
        </w:tc>
        <w:tc>
          <w:tcPr>
            <w:tcW w:w="1389" w:type="dxa"/>
            <w:noWrap w:val="0"/>
            <w:vAlign w:val="center"/>
          </w:tcPr>
          <w:p>
            <w:pPr>
              <w:spacing w:before="156" w:beforeLines="50" w:after="156" w:afterLines="50" w:line="360" w:lineRule="auto"/>
              <w:jc w:val="center"/>
              <w:outlineLvl w:val="0"/>
              <w:rPr>
                <w:rFonts w:ascii="宋体" w:hAnsi="宋体"/>
                <w:bCs/>
                <w:szCs w:val="21"/>
              </w:rPr>
            </w:pPr>
            <w:r>
              <w:rPr>
                <w:rFonts w:hint="eastAsia" w:ascii="宋体" w:hAnsi="宋体"/>
                <w:bCs/>
                <w:szCs w:val="21"/>
              </w:rPr>
              <w:t>5</w:t>
            </w:r>
          </w:p>
        </w:tc>
        <w:tc>
          <w:tcPr>
            <w:tcW w:w="1275" w:type="dxa"/>
            <w:noWrap w:val="0"/>
            <w:vAlign w:val="top"/>
          </w:tcPr>
          <w:p>
            <w:pPr>
              <w:spacing w:before="156" w:beforeLines="50" w:after="156" w:afterLines="50" w:line="360" w:lineRule="auto"/>
              <w:jc w:val="center"/>
              <w:outlineLvl w:val="0"/>
              <w:rPr>
                <w:rFonts w:ascii="宋体" w:hAnsi="宋体"/>
                <w:bCs/>
                <w:szCs w:val="21"/>
              </w:rPr>
            </w:pPr>
            <w:r>
              <w:rPr>
                <w:rFonts w:hint="eastAsia" w:ascii="宋体" w:hAnsi="宋体"/>
                <w:bCs/>
                <w:szCs w:val="21"/>
              </w:rPr>
              <w:t>53</w:t>
            </w:r>
          </w:p>
        </w:tc>
        <w:tc>
          <w:tcPr>
            <w:tcW w:w="1104" w:type="dxa"/>
            <w:noWrap w:val="0"/>
            <w:vAlign w:val="center"/>
          </w:tcPr>
          <w:p>
            <w:pPr>
              <w:spacing w:before="156" w:beforeLines="50" w:after="156" w:afterLines="50" w:line="360" w:lineRule="auto"/>
              <w:jc w:val="center"/>
              <w:outlineLvl w:val="0"/>
              <w:rPr>
                <w:rFonts w:ascii="宋体" w:hAnsi="宋体"/>
                <w:bCs/>
                <w:szCs w:val="21"/>
              </w:rPr>
            </w:pPr>
            <w:r>
              <w:rPr>
                <w:rFonts w:hint="eastAsia" w:ascii="宋体" w:hAnsi="宋体"/>
                <w:bCs/>
                <w:szCs w:val="21"/>
              </w:rPr>
              <w:t>24</w:t>
            </w:r>
          </w:p>
        </w:tc>
        <w:tc>
          <w:tcPr>
            <w:tcW w:w="2015" w:type="dxa"/>
            <w:noWrap w:val="0"/>
            <w:vAlign w:val="center"/>
          </w:tcPr>
          <w:p>
            <w:pPr>
              <w:spacing w:before="156" w:beforeLines="50" w:after="156" w:afterLines="50" w:line="360" w:lineRule="auto"/>
              <w:jc w:val="center"/>
              <w:outlineLvl w:val="0"/>
              <w:rPr>
                <w:rFonts w:ascii="宋体" w:hAnsi="宋体"/>
                <w:bCs/>
                <w:szCs w:val="21"/>
              </w:rPr>
            </w:pPr>
            <w:r>
              <w:rPr>
                <w:rFonts w:hint="eastAsia" w:ascii="宋体" w:hAnsi="宋体"/>
                <w:bCs/>
                <w:szCs w:val="21"/>
              </w:rPr>
              <w:t>3</w:t>
            </w:r>
          </w:p>
        </w:tc>
      </w:tr>
      <w:tr>
        <w:tblPrEx>
          <w:tblBorders>
            <w:top w:val="single" w:color="000000" w:sz="12" w:space="0"/>
            <w:left w:val="none" w:color="auto" w:sz="0" w:space="0"/>
            <w:bottom w:val="single" w:color="000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0" w:hRule="atLeast"/>
          <w:jc w:val="center"/>
        </w:trPr>
        <w:tc>
          <w:tcPr>
            <w:tcW w:w="1816" w:type="dxa"/>
            <w:tcBorders>
              <w:right w:val="single" w:color="000000" w:sz="6" w:space="0"/>
            </w:tcBorders>
            <w:noWrap w:val="0"/>
            <w:vAlign w:val="center"/>
          </w:tcPr>
          <w:p>
            <w:pPr>
              <w:spacing w:before="156" w:beforeLines="50" w:after="156" w:afterLines="50" w:line="360" w:lineRule="auto"/>
              <w:jc w:val="center"/>
              <w:outlineLvl w:val="0"/>
              <w:rPr>
                <w:rFonts w:ascii="宋体" w:hAnsi="宋体"/>
                <w:bCs/>
                <w:szCs w:val="21"/>
              </w:rPr>
            </w:pPr>
            <w:r>
              <w:rPr>
                <w:rFonts w:hint="eastAsia" w:ascii="宋体" w:hAnsi="宋体"/>
                <w:bCs/>
                <w:szCs w:val="21"/>
              </w:rPr>
              <w:t>就业占比（%）</w:t>
            </w:r>
          </w:p>
        </w:tc>
        <w:tc>
          <w:tcPr>
            <w:tcW w:w="1389" w:type="dxa"/>
            <w:noWrap w:val="0"/>
            <w:vAlign w:val="center"/>
          </w:tcPr>
          <w:p>
            <w:pPr>
              <w:spacing w:before="156" w:beforeLines="50" w:after="156" w:afterLines="50" w:line="360" w:lineRule="auto"/>
              <w:jc w:val="center"/>
              <w:outlineLvl w:val="0"/>
              <w:rPr>
                <w:rFonts w:ascii="宋体" w:hAnsi="宋体"/>
                <w:bCs/>
                <w:szCs w:val="21"/>
              </w:rPr>
            </w:pPr>
            <w:r>
              <w:rPr>
                <w:rFonts w:hint="eastAsia" w:ascii="宋体" w:hAnsi="宋体"/>
                <w:bCs/>
                <w:szCs w:val="21"/>
              </w:rPr>
              <w:t>5.88</w:t>
            </w:r>
          </w:p>
        </w:tc>
        <w:tc>
          <w:tcPr>
            <w:tcW w:w="1275" w:type="dxa"/>
            <w:noWrap w:val="0"/>
            <w:vAlign w:val="top"/>
          </w:tcPr>
          <w:p>
            <w:pPr>
              <w:spacing w:before="156" w:beforeLines="50" w:after="156" w:afterLines="50" w:line="360" w:lineRule="auto"/>
              <w:jc w:val="center"/>
              <w:outlineLvl w:val="0"/>
              <w:rPr>
                <w:rFonts w:ascii="宋体" w:hAnsi="宋体"/>
                <w:bCs/>
                <w:szCs w:val="21"/>
              </w:rPr>
            </w:pPr>
            <w:r>
              <w:rPr>
                <w:rFonts w:hint="eastAsia" w:ascii="宋体" w:hAnsi="宋体"/>
                <w:bCs/>
                <w:szCs w:val="21"/>
              </w:rPr>
              <w:t>62.35</w:t>
            </w:r>
          </w:p>
        </w:tc>
        <w:tc>
          <w:tcPr>
            <w:tcW w:w="1104" w:type="dxa"/>
            <w:noWrap w:val="0"/>
            <w:vAlign w:val="center"/>
          </w:tcPr>
          <w:p>
            <w:pPr>
              <w:spacing w:before="156" w:beforeLines="50" w:after="156" w:afterLines="50" w:line="360" w:lineRule="auto"/>
              <w:jc w:val="center"/>
              <w:outlineLvl w:val="0"/>
              <w:rPr>
                <w:rFonts w:ascii="宋体" w:hAnsi="宋体"/>
                <w:bCs/>
                <w:szCs w:val="21"/>
              </w:rPr>
            </w:pPr>
            <w:r>
              <w:rPr>
                <w:rFonts w:hint="eastAsia" w:ascii="宋体" w:hAnsi="宋体"/>
                <w:bCs/>
                <w:szCs w:val="21"/>
              </w:rPr>
              <w:t>28.24</w:t>
            </w:r>
          </w:p>
        </w:tc>
        <w:tc>
          <w:tcPr>
            <w:tcW w:w="2015" w:type="dxa"/>
            <w:noWrap w:val="0"/>
            <w:vAlign w:val="center"/>
          </w:tcPr>
          <w:p>
            <w:pPr>
              <w:spacing w:before="156" w:beforeLines="50" w:after="156" w:afterLines="50" w:line="360" w:lineRule="auto"/>
              <w:jc w:val="center"/>
              <w:outlineLvl w:val="0"/>
              <w:rPr>
                <w:rFonts w:ascii="宋体" w:hAnsi="宋体"/>
                <w:bCs/>
                <w:szCs w:val="21"/>
              </w:rPr>
            </w:pPr>
            <w:r>
              <w:rPr>
                <w:rFonts w:hint="eastAsia" w:ascii="宋体" w:hAnsi="宋体"/>
                <w:bCs/>
                <w:szCs w:val="21"/>
              </w:rPr>
              <w:t>3.53</w:t>
            </w:r>
          </w:p>
        </w:tc>
      </w:tr>
    </w:tbl>
    <w:p>
      <w:pPr>
        <w:spacing w:before="156" w:beforeLines="50" w:after="156" w:afterLines="50" w:line="360" w:lineRule="auto"/>
        <w:ind w:firstLine="831" w:firstLineChars="396"/>
        <w:outlineLvl w:val="0"/>
        <w:rPr>
          <w:rFonts w:ascii="宋体" w:hAnsi="宋体"/>
          <w:bCs/>
          <w:szCs w:val="21"/>
        </w:rPr>
      </w:pPr>
      <w:r>
        <w:rPr>
          <w:rFonts w:hint="eastAsia" w:ascii="宋体" w:hAnsi="宋体"/>
          <w:bCs/>
          <w:szCs w:val="21"/>
        </w:rPr>
        <w:t xml:space="preserve"> 生物工程毕业生从事其他专业技术岗和工程技术岗的占比较多，另外也有在科学研究岗位工作的学生。除此之外，还有部分学生选择了经济、商业以及办事等工作。</w:t>
      </w:r>
    </w:p>
    <w:p>
      <w:pPr>
        <w:spacing w:line="360" w:lineRule="auto"/>
        <w:ind w:firstLine="422" w:firstLineChars="200"/>
        <w:jc w:val="center"/>
        <w:rPr>
          <w:rFonts w:ascii="宋体" w:hAnsi="宋体"/>
          <w:b/>
          <w:bCs/>
          <w:color w:val="000000"/>
          <w:szCs w:val="21"/>
        </w:rPr>
      </w:pPr>
      <w:r>
        <w:rPr>
          <w:rFonts w:hint="eastAsia" w:ascii="宋体" w:hAnsi="宋体"/>
          <w:b/>
          <w:bCs/>
          <w:color w:val="000000"/>
          <w:szCs w:val="21"/>
        </w:rPr>
        <w:t>表4:2022届生物工程专业岗位分布情况</w:t>
      </w:r>
    </w:p>
    <w:tbl>
      <w:tblPr>
        <w:tblStyle w:val="13"/>
        <w:tblW w:w="7448" w:type="dxa"/>
        <w:jc w:val="center"/>
        <w:tblBorders>
          <w:top w:val="single" w:color="000000" w:sz="12" w:space="0"/>
          <w:left w:val="none" w:color="auto" w:sz="0" w:space="0"/>
          <w:bottom w:val="single" w:color="000000" w:sz="12"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520"/>
        <w:gridCol w:w="1199"/>
        <w:gridCol w:w="1068"/>
        <w:gridCol w:w="741"/>
        <w:gridCol w:w="636"/>
        <w:gridCol w:w="636"/>
        <w:gridCol w:w="741"/>
        <w:gridCol w:w="907"/>
      </w:tblGrid>
      <w:tr>
        <w:tblPrEx>
          <w:tblBorders>
            <w:top w:val="single" w:color="000000" w:sz="12" w:space="0"/>
            <w:left w:val="none" w:color="auto" w:sz="0" w:space="0"/>
            <w:bottom w:val="single" w:color="000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9" w:hRule="atLeast"/>
          <w:jc w:val="center"/>
        </w:trPr>
        <w:tc>
          <w:tcPr>
            <w:tcW w:w="1520" w:type="dxa"/>
            <w:tcBorders>
              <w:bottom w:val="single" w:color="000000" w:sz="6" w:space="0"/>
              <w:right w:val="single" w:color="000000" w:sz="6" w:space="0"/>
            </w:tcBorders>
            <w:noWrap w:val="0"/>
            <w:vAlign w:val="center"/>
          </w:tcPr>
          <w:p>
            <w:pPr>
              <w:spacing w:before="156" w:beforeLines="50" w:after="156" w:afterLines="50" w:line="360" w:lineRule="auto"/>
              <w:jc w:val="center"/>
              <w:outlineLvl w:val="0"/>
              <w:rPr>
                <w:rFonts w:ascii="宋体" w:hAnsi="宋体"/>
                <w:b/>
                <w:bCs/>
                <w:iCs/>
                <w:szCs w:val="21"/>
              </w:rPr>
            </w:pPr>
            <w:r>
              <w:rPr>
                <w:rFonts w:hint="eastAsia" w:ascii="宋体" w:hAnsi="宋体"/>
                <w:b/>
                <w:bCs/>
                <w:iCs/>
                <w:szCs w:val="21"/>
              </w:rPr>
              <w:t>岗位名称</w:t>
            </w:r>
          </w:p>
        </w:tc>
        <w:tc>
          <w:tcPr>
            <w:tcW w:w="1199" w:type="dxa"/>
            <w:tcBorders>
              <w:bottom w:val="single" w:color="000000" w:sz="6" w:space="0"/>
            </w:tcBorders>
            <w:noWrap w:val="0"/>
            <w:vAlign w:val="center"/>
          </w:tcPr>
          <w:p>
            <w:pPr>
              <w:spacing w:before="156" w:beforeLines="50" w:after="156" w:afterLines="50" w:line="360" w:lineRule="auto"/>
              <w:jc w:val="center"/>
              <w:outlineLvl w:val="0"/>
              <w:rPr>
                <w:rFonts w:ascii="宋体" w:hAnsi="宋体"/>
                <w:b/>
                <w:bCs/>
                <w:iCs/>
                <w:szCs w:val="21"/>
              </w:rPr>
            </w:pPr>
            <w:r>
              <w:rPr>
                <w:rFonts w:hint="eastAsia" w:ascii="宋体" w:hAnsi="宋体"/>
                <w:b/>
                <w:bCs/>
                <w:iCs/>
                <w:szCs w:val="21"/>
              </w:rPr>
              <w:t>其他专业技术</w:t>
            </w:r>
          </w:p>
        </w:tc>
        <w:tc>
          <w:tcPr>
            <w:tcW w:w="1068" w:type="dxa"/>
            <w:tcBorders>
              <w:bottom w:val="single" w:color="000000" w:sz="6" w:space="0"/>
            </w:tcBorders>
            <w:noWrap w:val="0"/>
            <w:vAlign w:val="center"/>
          </w:tcPr>
          <w:p>
            <w:pPr>
              <w:spacing w:before="156" w:beforeLines="50" w:after="156" w:afterLines="50" w:line="360" w:lineRule="auto"/>
              <w:jc w:val="center"/>
              <w:outlineLvl w:val="0"/>
              <w:rPr>
                <w:rFonts w:ascii="宋体" w:hAnsi="宋体"/>
                <w:b/>
                <w:bCs/>
                <w:iCs/>
                <w:szCs w:val="21"/>
              </w:rPr>
            </w:pPr>
            <w:r>
              <w:rPr>
                <w:rFonts w:hint="eastAsia" w:ascii="宋体" w:hAnsi="宋体"/>
                <w:b/>
                <w:bCs/>
                <w:iCs/>
                <w:szCs w:val="21"/>
              </w:rPr>
              <w:t>工程技术</w:t>
            </w:r>
          </w:p>
        </w:tc>
        <w:tc>
          <w:tcPr>
            <w:tcW w:w="0" w:type="auto"/>
            <w:tcBorders>
              <w:bottom w:val="single" w:color="000000" w:sz="6" w:space="0"/>
            </w:tcBorders>
            <w:noWrap w:val="0"/>
            <w:vAlign w:val="center"/>
          </w:tcPr>
          <w:p>
            <w:pPr>
              <w:spacing w:before="156" w:beforeLines="50" w:after="156" w:afterLines="50" w:line="360" w:lineRule="auto"/>
              <w:jc w:val="center"/>
              <w:outlineLvl w:val="0"/>
              <w:rPr>
                <w:rFonts w:ascii="宋体" w:hAnsi="宋体"/>
                <w:b/>
                <w:bCs/>
                <w:iCs/>
                <w:szCs w:val="21"/>
              </w:rPr>
            </w:pPr>
            <w:r>
              <w:rPr>
                <w:rFonts w:hint="eastAsia" w:ascii="宋体" w:hAnsi="宋体"/>
                <w:b/>
                <w:bCs/>
                <w:iCs/>
                <w:szCs w:val="21"/>
              </w:rPr>
              <w:t>科学研究</w:t>
            </w:r>
          </w:p>
        </w:tc>
        <w:tc>
          <w:tcPr>
            <w:tcW w:w="0" w:type="auto"/>
            <w:tcBorders>
              <w:bottom w:val="single" w:color="000000" w:sz="6" w:space="0"/>
            </w:tcBorders>
            <w:noWrap w:val="0"/>
            <w:vAlign w:val="center"/>
          </w:tcPr>
          <w:p>
            <w:pPr>
              <w:spacing w:before="156" w:beforeLines="50" w:after="156" w:afterLines="50" w:line="360" w:lineRule="auto"/>
              <w:jc w:val="center"/>
              <w:outlineLvl w:val="0"/>
              <w:rPr>
                <w:rFonts w:ascii="宋体" w:hAnsi="宋体"/>
                <w:b/>
                <w:bCs/>
                <w:iCs/>
                <w:szCs w:val="21"/>
              </w:rPr>
            </w:pPr>
            <w:r>
              <w:rPr>
                <w:rFonts w:hint="eastAsia" w:ascii="宋体" w:hAnsi="宋体"/>
                <w:b/>
                <w:bCs/>
                <w:iCs/>
                <w:szCs w:val="21"/>
              </w:rPr>
              <w:t>经济</w:t>
            </w:r>
          </w:p>
        </w:tc>
        <w:tc>
          <w:tcPr>
            <w:tcW w:w="0" w:type="auto"/>
            <w:tcBorders>
              <w:bottom w:val="single" w:color="000000" w:sz="6" w:space="0"/>
            </w:tcBorders>
            <w:noWrap w:val="0"/>
            <w:vAlign w:val="center"/>
          </w:tcPr>
          <w:p>
            <w:pPr>
              <w:spacing w:before="156" w:beforeLines="50" w:after="156" w:afterLines="50" w:line="360" w:lineRule="auto"/>
              <w:jc w:val="center"/>
              <w:outlineLvl w:val="0"/>
              <w:rPr>
                <w:rFonts w:ascii="宋体" w:hAnsi="宋体"/>
                <w:b/>
                <w:bCs/>
                <w:iCs/>
                <w:szCs w:val="21"/>
              </w:rPr>
            </w:pPr>
            <w:r>
              <w:rPr>
                <w:rFonts w:hint="eastAsia" w:ascii="宋体" w:hAnsi="宋体"/>
                <w:b/>
                <w:bCs/>
                <w:iCs/>
                <w:szCs w:val="21"/>
              </w:rPr>
              <w:t>商业和服务业</w:t>
            </w:r>
          </w:p>
        </w:tc>
        <w:tc>
          <w:tcPr>
            <w:tcW w:w="0" w:type="auto"/>
            <w:tcBorders>
              <w:bottom w:val="single" w:color="000000" w:sz="6" w:space="0"/>
            </w:tcBorders>
            <w:noWrap w:val="0"/>
            <w:vAlign w:val="center"/>
          </w:tcPr>
          <w:p>
            <w:pPr>
              <w:spacing w:before="156" w:beforeLines="50" w:after="156" w:afterLines="50" w:line="360" w:lineRule="auto"/>
              <w:jc w:val="center"/>
              <w:outlineLvl w:val="0"/>
              <w:rPr>
                <w:rFonts w:ascii="宋体" w:hAnsi="宋体"/>
                <w:b/>
                <w:bCs/>
                <w:iCs/>
                <w:szCs w:val="21"/>
              </w:rPr>
            </w:pPr>
            <w:r>
              <w:rPr>
                <w:rFonts w:hint="eastAsia" w:ascii="宋体" w:hAnsi="宋体"/>
                <w:b/>
                <w:bCs/>
                <w:iCs/>
                <w:szCs w:val="21"/>
              </w:rPr>
              <w:t>办事和其他人员</w:t>
            </w:r>
          </w:p>
        </w:tc>
        <w:tc>
          <w:tcPr>
            <w:tcW w:w="907" w:type="dxa"/>
            <w:tcBorders>
              <w:bottom w:val="single" w:color="000000" w:sz="6" w:space="0"/>
            </w:tcBorders>
            <w:noWrap w:val="0"/>
            <w:vAlign w:val="center"/>
          </w:tcPr>
          <w:p>
            <w:pPr>
              <w:spacing w:before="156" w:beforeLines="50" w:after="156" w:afterLines="50" w:line="360" w:lineRule="auto"/>
              <w:jc w:val="center"/>
              <w:outlineLvl w:val="0"/>
              <w:rPr>
                <w:rFonts w:ascii="宋体" w:hAnsi="宋体"/>
                <w:b/>
                <w:bCs/>
                <w:iCs/>
                <w:szCs w:val="21"/>
              </w:rPr>
            </w:pPr>
            <w:r>
              <w:rPr>
                <w:rFonts w:hint="eastAsia" w:ascii="宋体" w:hAnsi="宋体"/>
                <w:b/>
                <w:bCs/>
                <w:iCs/>
                <w:szCs w:val="21"/>
              </w:rPr>
              <w:t>其他</w:t>
            </w:r>
          </w:p>
        </w:tc>
      </w:tr>
      <w:tr>
        <w:tblPrEx>
          <w:tblBorders>
            <w:top w:val="single" w:color="000000" w:sz="12" w:space="0"/>
            <w:left w:val="none" w:color="auto" w:sz="0" w:space="0"/>
            <w:bottom w:val="single" w:color="000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6" w:hRule="atLeast"/>
          <w:jc w:val="center"/>
        </w:trPr>
        <w:tc>
          <w:tcPr>
            <w:tcW w:w="1520" w:type="dxa"/>
            <w:tcBorders>
              <w:right w:val="single" w:color="000000" w:sz="6" w:space="0"/>
            </w:tcBorders>
            <w:noWrap w:val="0"/>
            <w:vAlign w:val="center"/>
          </w:tcPr>
          <w:p>
            <w:pPr>
              <w:spacing w:before="156" w:beforeLines="50" w:after="156" w:afterLines="50" w:line="360" w:lineRule="auto"/>
              <w:jc w:val="center"/>
              <w:outlineLvl w:val="0"/>
              <w:rPr>
                <w:rFonts w:ascii="宋体" w:hAnsi="宋体"/>
                <w:bCs/>
                <w:szCs w:val="21"/>
              </w:rPr>
            </w:pPr>
            <w:r>
              <w:rPr>
                <w:rFonts w:hint="eastAsia" w:ascii="宋体" w:hAnsi="宋体"/>
                <w:bCs/>
                <w:szCs w:val="21"/>
              </w:rPr>
              <w:t>就业人数</w:t>
            </w:r>
          </w:p>
        </w:tc>
        <w:tc>
          <w:tcPr>
            <w:tcW w:w="1199" w:type="dxa"/>
            <w:noWrap w:val="0"/>
            <w:vAlign w:val="top"/>
          </w:tcPr>
          <w:p>
            <w:pPr>
              <w:spacing w:before="156" w:beforeLines="50" w:after="156" w:afterLines="50" w:line="360" w:lineRule="auto"/>
              <w:jc w:val="center"/>
              <w:outlineLvl w:val="0"/>
              <w:rPr>
                <w:rFonts w:ascii="宋体" w:hAnsi="宋体"/>
                <w:bCs/>
                <w:szCs w:val="21"/>
              </w:rPr>
            </w:pPr>
            <w:r>
              <w:rPr>
                <w:rFonts w:hint="eastAsia" w:ascii="宋体" w:hAnsi="宋体"/>
                <w:bCs/>
                <w:szCs w:val="21"/>
              </w:rPr>
              <w:t>23</w:t>
            </w:r>
          </w:p>
        </w:tc>
        <w:tc>
          <w:tcPr>
            <w:tcW w:w="1068" w:type="dxa"/>
            <w:noWrap w:val="0"/>
            <w:vAlign w:val="center"/>
          </w:tcPr>
          <w:p>
            <w:pPr>
              <w:spacing w:before="156" w:beforeLines="50" w:after="156" w:afterLines="50" w:line="360" w:lineRule="auto"/>
              <w:jc w:val="center"/>
              <w:outlineLvl w:val="0"/>
              <w:rPr>
                <w:rFonts w:ascii="宋体" w:hAnsi="宋体"/>
                <w:bCs/>
                <w:szCs w:val="21"/>
              </w:rPr>
            </w:pPr>
            <w:r>
              <w:rPr>
                <w:rFonts w:hint="eastAsia" w:ascii="宋体" w:hAnsi="宋体"/>
                <w:bCs/>
                <w:szCs w:val="21"/>
              </w:rPr>
              <w:t>5</w:t>
            </w:r>
          </w:p>
        </w:tc>
        <w:tc>
          <w:tcPr>
            <w:tcW w:w="0" w:type="auto"/>
            <w:noWrap w:val="0"/>
            <w:vAlign w:val="center"/>
          </w:tcPr>
          <w:p>
            <w:pPr>
              <w:spacing w:before="156" w:beforeLines="50" w:after="156" w:afterLines="50" w:line="360" w:lineRule="auto"/>
              <w:jc w:val="center"/>
              <w:outlineLvl w:val="0"/>
              <w:rPr>
                <w:rFonts w:ascii="宋体" w:hAnsi="宋体"/>
                <w:bCs/>
                <w:szCs w:val="21"/>
              </w:rPr>
            </w:pPr>
            <w:r>
              <w:rPr>
                <w:rFonts w:hint="eastAsia" w:ascii="宋体" w:hAnsi="宋体"/>
                <w:bCs/>
                <w:szCs w:val="21"/>
              </w:rPr>
              <w:t>9</w:t>
            </w:r>
          </w:p>
        </w:tc>
        <w:tc>
          <w:tcPr>
            <w:tcW w:w="0" w:type="auto"/>
            <w:noWrap w:val="0"/>
            <w:vAlign w:val="center"/>
          </w:tcPr>
          <w:p>
            <w:pPr>
              <w:spacing w:before="156" w:beforeLines="50" w:after="156" w:afterLines="50" w:line="360" w:lineRule="auto"/>
              <w:jc w:val="center"/>
              <w:outlineLvl w:val="0"/>
              <w:rPr>
                <w:rFonts w:ascii="宋体" w:hAnsi="宋体"/>
                <w:bCs/>
                <w:szCs w:val="21"/>
              </w:rPr>
            </w:pPr>
            <w:r>
              <w:rPr>
                <w:rFonts w:hint="eastAsia" w:ascii="宋体" w:hAnsi="宋体"/>
                <w:bCs/>
                <w:szCs w:val="21"/>
              </w:rPr>
              <w:t>1</w:t>
            </w:r>
          </w:p>
        </w:tc>
        <w:tc>
          <w:tcPr>
            <w:tcW w:w="0" w:type="auto"/>
            <w:noWrap w:val="0"/>
            <w:vAlign w:val="center"/>
          </w:tcPr>
          <w:p>
            <w:pPr>
              <w:spacing w:before="156" w:beforeLines="50" w:after="156" w:afterLines="50" w:line="360" w:lineRule="auto"/>
              <w:jc w:val="center"/>
              <w:outlineLvl w:val="0"/>
              <w:rPr>
                <w:rFonts w:ascii="宋体" w:hAnsi="宋体"/>
                <w:bCs/>
                <w:szCs w:val="21"/>
              </w:rPr>
            </w:pPr>
            <w:r>
              <w:rPr>
                <w:rFonts w:hint="eastAsia" w:ascii="宋体" w:hAnsi="宋体"/>
                <w:bCs/>
                <w:szCs w:val="21"/>
              </w:rPr>
              <w:t>6</w:t>
            </w:r>
          </w:p>
        </w:tc>
        <w:tc>
          <w:tcPr>
            <w:tcW w:w="0" w:type="auto"/>
            <w:noWrap w:val="0"/>
            <w:vAlign w:val="top"/>
          </w:tcPr>
          <w:p>
            <w:pPr>
              <w:spacing w:before="156" w:beforeLines="50" w:after="156" w:afterLines="50" w:line="360" w:lineRule="auto"/>
              <w:jc w:val="center"/>
              <w:outlineLvl w:val="0"/>
              <w:rPr>
                <w:rFonts w:ascii="宋体" w:hAnsi="宋体"/>
                <w:bCs/>
                <w:szCs w:val="21"/>
              </w:rPr>
            </w:pPr>
            <w:r>
              <w:rPr>
                <w:rFonts w:hint="eastAsia" w:ascii="宋体" w:hAnsi="宋体"/>
                <w:bCs/>
                <w:szCs w:val="21"/>
              </w:rPr>
              <w:t>11</w:t>
            </w:r>
          </w:p>
        </w:tc>
        <w:tc>
          <w:tcPr>
            <w:tcW w:w="907" w:type="dxa"/>
            <w:noWrap w:val="0"/>
            <w:vAlign w:val="center"/>
          </w:tcPr>
          <w:p>
            <w:pPr>
              <w:spacing w:before="156" w:beforeLines="50" w:after="156" w:afterLines="50" w:line="360" w:lineRule="auto"/>
              <w:jc w:val="center"/>
              <w:outlineLvl w:val="0"/>
              <w:rPr>
                <w:rFonts w:ascii="宋体" w:hAnsi="宋体"/>
                <w:bCs/>
                <w:szCs w:val="21"/>
              </w:rPr>
            </w:pPr>
            <w:r>
              <w:rPr>
                <w:rFonts w:hint="eastAsia" w:ascii="宋体" w:hAnsi="宋体"/>
                <w:bCs/>
                <w:szCs w:val="21"/>
              </w:rPr>
              <w:t>6</w:t>
            </w:r>
          </w:p>
        </w:tc>
      </w:tr>
      <w:tr>
        <w:tblPrEx>
          <w:tblBorders>
            <w:top w:val="single" w:color="000000" w:sz="12" w:space="0"/>
            <w:left w:val="none" w:color="auto" w:sz="0" w:space="0"/>
            <w:bottom w:val="single" w:color="000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0" w:hRule="exact"/>
          <w:jc w:val="center"/>
        </w:trPr>
        <w:tc>
          <w:tcPr>
            <w:tcW w:w="1520" w:type="dxa"/>
            <w:tcBorders>
              <w:right w:val="single" w:color="000000" w:sz="6" w:space="0"/>
            </w:tcBorders>
            <w:noWrap w:val="0"/>
            <w:vAlign w:val="center"/>
          </w:tcPr>
          <w:p>
            <w:pPr>
              <w:spacing w:before="156" w:beforeLines="50" w:after="156" w:afterLines="50" w:line="360" w:lineRule="auto"/>
              <w:jc w:val="center"/>
              <w:outlineLvl w:val="0"/>
              <w:rPr>
                <w:rFonts w:ascii="宋体" w:hAnsi="宋体"/>
                <w:bCs/>
                <w:szCs w:val="21"/>
              </w:rPr>
            </w:pPr>
            <w:r>
              <w:rPr>
                <w:rFonts w:hint="eastAsia" w:ascii="宋体" w:hAnsi="宋体"/>
                <w:bCs/>
                <w:szCs w:val="21"/>
              </w:rPr>
              <w:t>就业占比（%）</w:t>
            </w:r>
          </w:p>
        </w:tc>
        <w:tc>
          <w:tcPr>
            <w:tcW w:w="1199" w:type="dxa"/>
            <w:noWrap w:val="0"/>
            <w:vAlign w:val="top"/>
          </w:tcPr>
          <w:p>
            <w:pPr>
              <w:spacing w:before="156" w:beforeLines="50" w:after="156" w:afterLines="50" w:line="360" w:lineRule="auto"/>
              <w:jc w:val="center"/>
              <w:outlineLvl w:val="0"/>
              <w:rPr>
                <w:rFonts w:ascii="宋体" w:hAnsi="宋体"/>
                <w:bCs/>
                <w:szCs w:val="21"/>
              </w:rPr>
            </w:pPr>
            <w:r>
              <w:rPr>
                <w:rFonts w:hint="eastAsia" w:ascii="宋体" w:hAnsi="宋体"/>
                <w:bCs/>
                <w:szCs w:val="21"/>
              </w:rPr>
              <w:t>37.70</w:t>
            </w:r>
          </w:p>
        </w:tc>
        <w:tc>
          <w:tcPr>
            <w:tcW w:w="1068" w:type="dxa"/>
            <w:noWrap w:val="0"/>
            <w:vAlign w:val="center"/>
          </w:tcPr>
          <w:p>
            <w:pPr>
              <w:spacing w:before="156" w:beforeLines="50" w:after="156" w:afterLines="50" w:line="360" w:lineRule="auto"/>
              <w:jc w:val="center"/>
              <w:outlineLvl w:val="0"/>
              <w:rPr>
                <w:rFonts w:ascii="宋体" w:hAnsi="宋体"/>
                <w:bCs/>
                <w:szCs w:val="21"/>
              </w:rPr>
            </w:pPr>
            <w:r>
              <w:rPr>
                <w:rFonts w:hint="eastAsia" w:ascii="宋体" w:hAnsi="宋体"/>
                <w:bCs/>
                <w:szCs w:val="21"/>
              </w:rPr>
              <w:t>8.20</w:t>
            </w:r>
          </w:p>
        </w:tc>
        <w:tc>
          <w:tcPr>
            <w:tcW w:w="0" w:type="auto"/>
            <w:noWrap w:val="0"/>
            <w:vAlign w:val="center"/>
          </w:tcPr>
          <w:p>
            <w:pPr>
              <w:spacing w:before="156" w:beforeLines="50" w:after="156" w:afterLines="50" w:line="360" w:lineRule="auto"/>
              <w:jc w:val="center"/>
              <w:outlineLvl w:val="0"/>
              <w:rPr>
                <w:rFonts w:ascii="宋体" w:hAnsi="宋体"/>
                <w:bCs/>
                <w:szCs w:val="21"/>
              </w:rPr>
            </w:pPr>
            <w:r>
              <w:rPr>
                <w:rFonts w:hint="eastAsia" w:ascii="宋体" w:hAnsi="宋体"/>
                <w:bCs/>
                <w:szCs w:val="21"/>
              </w:rPr>
              <w:t>14.75</w:t>
            </w:r>
          </w:p>
        </w:tc>
        <w:tc>
          <w:tcPr>
            <w:tcW w:w="0" w:type="auto"/>
            <w:noWrap w:val="0"/>
            <w:vAlign w:val="center"/>
          </w:tcPr>
          <w:p>
            <w:pPr>
              <w:spacing w:before="156" w:beforeLines="50" w:after="156" w:afterLines="50" w:line="360" w:lineRule="auto"/>
              <w:jc w:val="center"/>
              <w:outlineLvl w:val="0"/>
              <w:rPr>
                <w:rFonts w:ascii="宋体" w:hAnsi="宋体"/>
                <w:bCs/>
                <w:szCs w:val="21"/>
              </w:rPr>
            </w:pPr>
            <w:r>
              <w:rPr>
                <w:rFonts w:hint="eastAsia" w:ascii="宋体" w:hAnsi="宋体"/>
                <w:bCs/>
                <w:szCs w:val="21"/>
              </w:rPr>
              <w:t>1.64</w:t>
            </w:r>
          </w:p>
        </w:tc>
        <w:tc>
          <w:tcPr>
            <w:tcW w:w="0" w:type="auto"/>
            <w:noWrap w:val="0"/>
            <w:vAlign w:val="center"/>
          </w:tcPr>
          <w:p>
            <w:pPr>
              <w:spacing w:before="156" w:beforeLines="50" w:after="156" w:afterLines="50" w:line="360" w:lineRule="auto"/>
              <w:jc w:val="center"/>
              <w:outlineLvl w:val="0"/>
              <w:rPr>
                <w:rFonts w:ascii="宋体" w:hAnsi="宋体"/>
                <w:bCs/>
                <w:szCs w:val="21"/>
              </w:rPr>
            </w:pPr>
            <w:r>
              <w:rPr>
                <w:rFonts w:hint="eastAsia" w:ascii="宋体" w:hAnsi="宋体"/>
                <w:bCs/>
                <w:szCs w:val="21"/>
              </w:rPr>
              <w:t>9.84</w:t>
            </w:r>
          </w:p>
        </w:tc>
        <w:tc>
          <w:tcPr>
            <w:tcW w:w="0" w:type="auto"/>
            <w:noWrap w:val="0"/>
            <w:vAlign w:val="top"/>
          </w:tcPr>
          <w:p>
            <w:pPr>
              <w:spacing w:before="156" w:beforeLines="50" w:after="156" w:afterLines="50" w:line="360" w:lineRule="auto"/>
              <w:jc w:val="center"/>
              <w:outlineLvl w:val="0"/>
              <w:rPr>
                <w:rFonts w:ascii="宋体" w:hAnsi="宋体"/>
                <w:bCs/>
                <w:szCs w:val="21"/>
              </w:rPr>
            </w:pPr>
            <w:r>
              <w:rPr>
                <w:rFonts w:hint="eastAsia" w:ascii="宋体" w:hAnsi="宋体"/>
                <w:bCs/>
                <w:szCs w:val="21"/>
              </w:rPr>
              <w:t>18.03</w:t>
            </w:r>
          </w:p>
        </w:tc>
        <w:tc>
          <w:tcPr>
            <w:tcW w:w="907" w:type="dxa"/>
            <w:noWrap w:val="0"/>
            <w:vAlign w:val="center"/>
          </w:tcPr>
          <w:p>
            <w:pPr>
              <w:spacing w:before="156" w:beforeLines="50" w:after="156" w:afterLines="50" w:line="360" w:lineRule="auto"/>
              <w:jc w:val="center"/>
              <w:outlineLvl w:val="0"/>
              <w:rPr>
                <w:rFonts w:ascii="宋体" w:hAnsi="宋体"/>
                <w:bCs/>
                <w:szCs w:val="21"/>
              </w:rPr>
            </w:pPr>
            <w:r>
              <w:rPr>
                <w:rFonts w:hint="eastAsia" w:ascii="宋体" w:hAnsi="宋体"/>
                <w:bCs/>
                <w:szCs w:val="21"/>
              </w:rPr>
              <w:t>9.84</w:t>
            </w:r>
          </w:p>
        </w:tc>
      </w:tr>
    </w:tbl>
    <w:p>
      <w:pPr>
        <w:spacing w:line="360" w:lineRule="auto"/>
        <w:ind w:firstLine="482" w:firstLineChars="200"/>
        <w:rPr>
          <w:rFonts w:hint="eastAsia" w:ascii="宋体" w:hAnsi="宋体"/>
          <w:b/>
          <w:bCs/>
          <w:color w:val="000000"/>
          <w:sz w:val="24"/>
        </w:rPr>
      </w:pPr>
    </w:p>
    <w:p>
      <w:pPr>
        <w:spacing w:line="360" w:lineRule="auto"/>
        <w:ind w:firstLine="482" w:firstLineChars="200"/>
        <w:rPr>
          <w:rFonts w:ascii="宋体" w:hAnsi="宋体"/>
          <w:b/>
          <w:color w:val="000000"/>
          <w:sz w:val="24"/>
        </w:rPr>
      </w:pPr>
      <w:r>
        <w:rPr>
          <w:rFonts w:hint="eastAsia" w:ascii="宋体" w:hAnsi="宋体"/>
          <w:b/>
          <w:bCs/>
          <w:color w:val="000000"/>
          <w:sz w:val="24"/>
        </w:rPr>
        <w:t>二、</w:t>
      </w:r>
      <w:r>
        <w:rPr>
          <w:rFonts w:hint="eastAsia" w:ascii="宋体" w:hAnsi="宋体"/>
          <w:b/>
          <w:color w:val="000000"/>
          <w:sz w:val="24"/>
        </w:rPr>
        <w:t>环境工程专业就业结构分析</w:t>
      </w:r>
    </w:p>
    <w:p>
      <w:pPr>
        <w:spacing w:line="360" w:lineRule="auto"/>
        <w:ind w:firstLine="480" w:firstLineChars="200"/>
        <w:rPr>
          <w:rFonts w:hint="eastAsia" w:ascii="宋体" w:hAnsi="宋体"/>
          <w:sz w:val="24"/>
        </w:rPr>
      </w:pPr>
      <w:r>
        <w:rPr>
          <w:rFonts w:hint="eastAsia" w:ascii="宋体" w:hAnsi="宋体"/>
          <w:bCs/>
          <w:color w:val="000000"/>
          <w:sz w:val="24"/>
        </w:rPr>
        <w:t>2022届环境工程专业有2个本科行政班，共有65人</w:t>
      </w:r>
      <w:r>
        <w:rPr>
          <w:rFonts w:hint="eastAsia" w:ascii="宋体" w:hAnsi="宋体"/>
          <w:sz w:val="24"/>
        </w:rPr>
        <w:t>。</w:t>
      </w:r>
      <w:r>
        <w:rPr>
          <w:rFonts w:hint="eastAsia" w:ascii="宋体" w:hAnsi="宋体"/>
          <w:bCs/>
          <w:color w:val="000000"/>
          <w:sz w:val="24"/>
        </w:rPr>
        <w:t>截止2021年12月，提交就业协议26份，西部计划2人，考研录取34人，共62人就业，就业率为95%，考研录取率为52.3%</w:t>
      </w:r>
      <w:r>
        <w:rPr>
          <w:rFonts w:ascii="宋体" w:hAnsi="宋体"/>
          <w:color w:val="000000"/>
          <w:sz w:val="24"/>
        </w:rPr>
        <w:t>。</w:t>
      </w:r>
      <w:r>
        <w:rPr>
          <w:rFonts w:hint="eastAsia" w:ascii="宋体" w:hAnsi="宋体"/>
          <w:sz w:val="24"/>
        </w:rPr>
        <w:t>整体就业情况统计如下：</w:t>
      </w:r>
    </w:p>
    <w:p>
      <w:pPr>
        <w:spacing w:line="360" w:lineRule="auto"/>
        <w:ind w:firstLine="480" w:firstLineChars="200"/>
        <w:rPr>
          <w:rFonts w:hint="eastAsia" w:ascii="宋体" w:hAnsi="宋体"/>
          <w:color w:val="000000"/>
          <w:sz w:val="24"/>
        </w:rPr>
      </w:pPr>
      <w:r>
        <w:rPr>
          <w:rFonts w:ascii="宋体" w:hAnsi="宋体"/>
          <w:color w:val="000000"/>
          <w:sz w:val="24"/>
        </w:rPr>
        <w:t>初次就业情况：从就业单位看，行业内的为</w:t>
      </w:r>
      <w:r>
        <w:rPr>
          <w:rFonts w:hint="eastAsia" w:ascii="宋体" w:hAnsi="宋体"/>
          <w:color w:val="000000"/>
          <w:sz w:val="24"/>
        </w:rPr>
        <w:t>39</w:t>
      </w:r>
      <w:r>
        <w:rPr>
          <w:rFonts w:ascii="宋体" w:hAnsi="宋体"/>
          <w:color w:val="000000"/>
          <w:sz w:val="24"/>
        </w:rPr>
        <w:t>人，占</w:t>
      </w:r>
      <w:r>
        <w:rPr>
          <w:rFonts w:hint="eastAsia" w:ascii="宋体" w:hAnsi="宋体"/>
          <w:color w:val="000000"/>
          <w:sz w:val="24"/>
        </w:rPr>
        <w:t>毕业生</w:t>
      </w:r>
      <w:r>
        <w:rPr>
          <w:rFonts w:ascii="宋体" w:hAnsi="宋体"/>
          <w:color w:val="000000"/>
          <w:sz w:val="24"/>
        </w:rPr>
        <w:t>人数的</w:t>
      </w:r>
      <w:r>
        <w:rPr>
          <w:rFonts w:hint="eastAsia" w:ascii="宋体" w:hAnsi="宋体"/>
          <w:color w:val="000000"/>
          <w:sz w:val="24"/>
        </w:rPr>
        <w:t>60</w:t>
      </w:r>
      <w:r>
        <w:rPr>
          <w:rFonts w:ascii="宋体" w:hAnsi="宋体"/>
          <w:color w:val="000000"/>
          <w:sz w:val="24"/>
        </w:rPr>
        <w:t>%（升学</w:t>
      </w:r>
      <w:r>
        <w:rPr>
          <w:rFonts w:hint="eastAsia" w:ascii="宋体" w:hAnsi="宋体"/>
          <w:color w:val="000000"/>
          <w:sz w:val="24"/>
        </w:rPr>
        <w:t>29人为</w:t>
      </w:r>
      <w:r>
        <w:rPr>
          <w:rFonts w:ascii="宋体" w:hAnsi="宋体"/>
          <w:color w:val="000000"/>
          <w:sz w:val="24"/>
        </w:rPr>
        <w:t>行业内）；行业外的为</w:t>
      </w:r>
      <w:r>
        <w:rPr>
          <w:rFonts w:hint="eastAsia" w:ascii="宋体" w:hAnsi="宋体"/>
          <w:color w:val="000000"/>
          <w:sz w:val="24"/>
        </w:rPr>
        <w:t>23</w:t>
      </w:r>
      <w:r>
        <w:rPr>
          <w:rFonts w:ascii="宋体" w:hAnsi="宋体"/>
          <w:color w:val="000000"/>
          <w:sz w:val="24"/>
        </w:rPr>
        <w:t>人</w:t>
      </w:r>
      <w:r>
        <w:rPr>
          <w:rFonts w:hint="eastAsia" w:ascii="宋体" w:hAnsi="宋体"/>
          <w:color w:val="000000"/>
          <w:sz w:val="24"/>
        </w:rPr>
        <w:t>，</w:t>
      </w:r>
      <w:r>
        <w:rPr>
          <w:rFonts w:ascii="宋体" w:hAnsi="宋体"/>
          <w:color w:val="000000"/>
          <w:sz w:val="24"/>
        </w:rPr>
        <w:t>占</w:t>
      </w:r>
      <w:r>
        <w:rPr>
          <w:rFonts w:hint="eastAsia" w:ascii="宋体" w:hAnsi="宋体"/>
          <w:color w:val="000000"/>
          <w:sz w:val="24"/>
        </w:rPr>
        <w:t>毕业生</w:t>
      </w:r>
      <w:r>
        <w:rPr>
          <w:rFonts w:ascii="宋体" w:hAnsi="宋体"/>
          <w:color w:val="000000"/>
          <w:sz w:val="24"/>
        </w:rPr>
        <w:t>人数的</w:t>
      </w:r>
      <w:r>
        <w:rPr>
          <w:rFonts w:hint="eastAsia" w:ascii="宋体" w:hAnsi="宋体"/>
          <w:color w:val="000000"/>
          <w:sz w:val="24"/>
        </w:rPr>
        <w:t>35</w:t>
      </w:r>
      <w:r>
        <w:rPr>
          <w:rFonts w:ascii="宋体" w:hAnsi="宋体"/>
          <w:color w:val="000000"/>
          <w:sz w:val="24"/>
        </w:rPr>
        <w:t>%；从就业地域看，在省内就业</w:t>
      </w:r>
      <w:r>
        <w:rPr>
          <w:rFonts w:hint="eastAsia" w:ascii="宋体" w:hAnsi="宋体"/>
          <w:color w:val="000000"/>
          <w:sz w:val="24"/>
        </w:rPr>
        <w:t>、升学</w:t>
      </w:r>
      <w:r>
        <w:rPr>
          <w:rFonts w:ascii="宋体" w:hAnsi="宋体"/>
          <w:color w:val="000000"/>
          <w:sz w:val="24"/>
        </w:rPr>
        <w:t>的</w:t>
      </w:r>
      <w:r>
        <w:rPr>
          <w:rFonts w:hint="eastAsia" w:ascii="宋体" w:hAnsi="宋体"/>
          <w:color w:val="000000"/>
          <w:sz w:val="24"/>
        </w:rPr>
        <w:t>有24</w:t>
      </w:r>
      <w:r>
        <w:rPr>
          <w:rFonts w:ascii="宋体" w:hAnsi="宋体"/>
          <w:color w:val="000000"/>
          <w:sz w:val="24"/>
        </w:rPr>
        <w:t>人，占</w:t>
      </w:r>
      <w:r>
        <w:rPr>
          <w:rFonts w:hint="eastAsia" w:ascii="宋体" w:hAnsi="宋体"/>
          <w:color w:val="000000"/>
          <w:sz w:val="24"/>
        </w:rPr>
        <w:t>毕业生</w:t>
      </w:r>
      <w:r>
        <w:rPr>
          <w:rFonts w:ascii="宋体" w:hAnsi="宋体"/>
          <w:color w:val="000000"/>
          <w:sz w:val="24"/>
        </w:rPr>
        <w:t>人数的</w:t>
      </w:r>
      <w:r>
        <w:rPr>
          <w:rFonts w:hint="eastAsia" w:ascii="宋体" w:hAnsi="宋体"/>
          <w:color w:val="000000"/>
          <w:sz w:val="24"/>
        </w:rPr>
        <w:t>37</w:t>
      </w:r>
      <w:r>
        <w:rPr>
          <w:rFonts w:ascii="宋体" w:hAnsi="宋体"/>
          <w:color w:val="000000"/>
          <w:sz w:val="24"/>
        </w:rPr>
        <w:t>%（其中在合肥就业的</w:t>
      </w:r>
      <w:r>
        <w:rPr>
          <w:rFonts w:hint="eastAsia" w:ascii="宋体" w:hAnsi="宋体"/>
          <w:color w:val="000000"/>
          <w:sz w:val="24"/>
        </w:rPr>
        <w:t>20</w:t>
      </w:r>
      <w:r>
        <w:rPr>
          <w:rFonts w:ascii="宋体" w:hAnsi="宋体"/>
          <w:color w:val="000000"/>
          <w:sz w:val="24"/>
        </w:rPr>
        <w:t>人，占</w:t>
      </w:r>
      <w:r>
        <w:rPr>
          <w:rFonts w:hint="eastAsia" w:ascii="宋体" w:hAnsi="宋体"/>
          <w:color w:val="000000"/>
          <w:sz w:val="24"/>
        </w:rPr>
        <w:t>毕业生</w:t>
      </w:r>
      <w:r>
        <w:rPr>
          <w:rFonts w:ascii="宋体" w:hAnsi="宋体"/>
          <w:color w:val="000000"/>
          <w:sz w:val="24"/>
        </w:rPr>
        <w:t>人数的</w:t>
      </w:r>
      <w:r>
        <w:rPr>
          <w:rFonts w:hint="eastAsia" w:ascii="宋体" w:hAnsi="宋体"/>
          <w:color w:val="000000"/>
          <w:sz w:val="24"/>
        </w:rPr>
        <w:t>31</w:t>
      </w:r>
      <w:r>
        <w:rPr>
          <w:rFonts w:ascii="宋体" w:hAnsi="宋体"/>
          <w:color w:val="000000"/>
          <w:sz w:val="24"/>
        </w:rPr>
        <w:t>%）；到</w:t>
      </w:r>
      <w:r>
        <w:rPr>
          <w:rFonts w:hint="eastAsia" w:ascii="宋体" w:hAnsi="宋体"/>
          <w:color w:val="000000"/>
          <w:sz w:val="24"/>
        </w:rPr>
        <w:t>北京、上海、广东、江苏、浙江</w:t>
      </w:r>
      <w:r>
        <w:rPr>
          <w:rFonts w:ascii="宋体" w:hAnsi="宋体"/>
          <w:color w:val="000000"/>
          <w:sz w:val="24"/>
        </w:rPr>
        <w:t>就业</w:t>
      </w:r>
      <w:r>
        <w:rPr>
          <w:rFonts w:hint="eastAsia" w:ascii="宋体" w:hAnsi="宋体"/>
          <w:color w:val="000000"/>
          <w:sz w:val="24"/>
        </w:rPr>
        <w:t>、升学</w:t>
      </w:r>
      <w:r>
        <w:rPr>
          <w:rFonts w:ascii="宋体" w:hAnsi="宋体"/>
          <w:color w:val="000000"/>
          <w:sz w:val="24"/>
        </w:rPr>
        <w:t>的</w:t>
      </w:r>
      <w:r>
        <w:rPr>
          <w:rFonts w:hint="eastAsia" w:ascii="宋体" w:hAnsi="宋体"/>
          <w:color w:val="000000"/>
          <w:sz w:val="24"/>
        </w:rPr>
        <w:t>18</w:t>
      </w:r>
      <w:r>
        <w:rPr>
          <w:rFonts w:ascii="宋体" w:hAnsi="宋体"/>
          <w:color w:val="000000"/>
          <w:sz w:val="24"/>
        </w:rPr>
        <w:t>人，占</w:t>
      </w:r>
      <w:r>
        <w:rPr>
          <w:rFonts w:hint="eastAsia" w:ascii="宋体" w:hAnsi="宋体"/>
          <w:color w:val="000000"/>
          <w:sz w:val="24"/>
        </w:rPr>
        <w:t>毕业生</w:t>
      </w:r>
      <w:r>
        <w:rPr>
          <w:rFonts w:ascii="宋体" w:hAnsi="宋体"/>
          <w:color w:val="000000"/>
          <w:sz w:val="24"/>
        </w:rPr>
        <w:t>人数的</w:t>
      </w:r>
      <w:r>
        <w:rPr>
          <w:rFonts w:hint="eastAsia" w:ascii="宋体" w:hAnsi="宋体"/>
          <w:color w:val="000000"/>
          <w:sz w:val="24"/>
        </w:rPr>
        <w:t>28</w:t>
      </w:r>
      <w:r>
        <w:rPr>
          <w:rFonts w:ascii="宋体" w:hAnsi="宋体"/>
          <w:color w:val="000000"/>
          <w:sz w:val="24"/>
        </w:rPr>
        <w:t>%；到</w:t>
      </w:r>
      <w:r>
        <w:rPr>
          <w:rFonts w:hint="eastAsia" w:ascii="宋体" w:hAnsi="宋体"/>
          <w:color w:val="000000"/>
          <w:sz w:val="24"/>
        </w:rPr>
        <w:t>其他地</w:t>
      </w:r>
      <w:r>
        <w:rPr>
          <w:rFonts w:ascii="宋体" w:hAnsi="宋体"/>
          <w:color w:val="000000"/>
          <w:sz w:val="24"/>
        </w:rPr>
        <w:t>就业</w:t>
      </w:r>
      <w:r>
        <w:rPr>
          <w:rFonts w:hint="eastAsia" w:ascii="宋体" w:hAnsi="宋体"/>
          <w:color w:val="000000"/>
          <w:sz w:val="24"/>
        </w:rPr>
        <w:t>、升学</w:t>
      </w:r>
      <w:r>
        <w:rPr>
          <w:rFonts w:ascii="宋体" w:hAnsi="宋体"/>
          <w:color w:val="000000"/>
          <w:sz w:val="24"/>
        </w:rPr>
        <w:t>的</w:t>
      </w:r>
      <w:r>
        <w:rPr>
          <w:rFonts w:hint="eastAsia" w:ascii="宋体" w:hAnsi="宋体"/>
          <w:color w:val="000000"/>
          <w:sz w:val="24"/>
        </w:rPr>
        <w:t>20</w:t>
      </w:r>
      <w:r>
        <w:rPr>
          <w:rFonts w:ascii="宋体" w:hAnsi="宋体"/>
          <w:color w:val="000000"/>
          <w:sz w:val="24"/>
        </w:rPr>
        <w:t>人，占</w:t>
      </w:r>
      <w:r>
        <w:rPr>
          <w:rFonts w:hint="eastAsia" w:ascii="宋体" w:hAnsi="宋体"/>
          <w:color w:val="000000"/>
          <w:sz w:val="24"/>
        </w:rPr>
        <w:t>毕业生</w:t>
      </w:r>
      <w:r>
        <w:rPr>
          <w:rFonts w:ascii="宋体" w:hAnsi="宋体"/>
          <w:color w:val="000000"/>
          <w:sz w:val="24"/>
        </w:rPr>
        <w:t>人数的</w:t>
      </w:r>
      <w:r>
        <w:rPr>
          <w:rFonts w:hint="eastAsia" w:ascii="宋体" w:hAnsi="宋体"/>
          <w:color w:val="000000"/>
          <w:sz w:val="24"/>
        </w:rPr>
        <w:t>31</w:t>
      </w:r>
      <w:r>
        <w:rPr>
          <w:rFonts w:ascii="宋体" w:hAnsi="宋体"/>
          <w:color w:val="000000"/>
          <w:sz w:val="24"/>
        </w:rPr>
        <w:t>%</w:t>
      </w:r>
      <w:r>
        <w:rPr>
          <w:rFonts w:hint="eastAsia" w:ascii="宋体" w:hAnsi="宋体"/>
          <w:color w:val="000000"/>
          <w:sz w:val="24"/>
        </w:rPr>
        <w:t>。</w:t>
      </w:r>
      <w:r>
        <w:rPr>
          <w:rFonts w:hint="eastAsia" w:ascii="宋体" w:hAnsi="宋体" w:cs="宋体"/>
          <w:sz w:val="24"/>
        </w:rPr>
        <w:t>孙欣茹和黄淑琦</w:t>
      </w:r>
      <w:r>
        <w:rPr>
          <w:rFonts w:ascii="宋体" w:hAnsi="宋体" w:cs="宋体"/>
          <w:sz w:val="24"/>
        </w:rPr>
        <w:t>由安徽省项目办</w:t>
      </w:r>
      <w:r>
        <w:rPr>
          <w:rFonts w:hint="eastAsia" w:ascii="宋体" w:hAnsi="宋体" w:cs="宋体"/>
          <w:sz w:val="24"/>
        </w:rPr>
        <w:t>分别派遣到新疆皮山县和墨玉县</w:t>
      </w:r>
      <w:r>
        <w:rPr>
          <w:rFonts w:ascii="宋体" w:hAnsi="宋体" w:cs="宋体"/>
          <w:sz w:val="24"/>
        </w:rPr>
        <w:t>进行大学生西部计划基层社会管理项目服务</w:t>
      </w:r>
      <w:r>
        <w:rPr>
          <w:rFonts w:hint="eastAsia" w:ascii="宋体" w:hAnsi="宋体" w:cs="宋体"/>
          <w:sz w:val="24"/>
        </w:rPr>
        <w:t>。</w:t>
      </w:r>
    </w:p>
    <w:p>
      <w:pPr>
        <w:spacing w:line="360" w:lineRule="auto"/>
        <w:ind w:firstLine="480" w:firstLineChars="200"/>
        <w:rPr>
          <w:rFonts w:hint="eastAsia" w:ascii="宋体" w:hAnsi="宋体"/>
          <w:color w:val="000000"/>
          <w:sz w:val="24"/>
        </w:rPr>
      </w:pPr>
      <w:r>
        <w:rPr>
          <w:rFonts w:ascii="宋体" w:hAnsi="宋体"/>
          <w:color w:val="000000"/>
          <w:sz w:val="24"/>
        </w:rPr>
        <w:t>有</w:t>
      </w:r>
      <w:r>
        <w:rPr>
          <w:rFonts w:hint="eastAsia" w:ascii="宋体" w:hAnsi="宋体"/>
          <w:color w:val="000000"/>
          <w:sz w:val="24"/>
        </w:rPr>
        <w:t>11</w:t>
      </w:r>
      <w:r>
        <w:rPr>
          <w:rFonts w:ascii="宋体" w:hAnsi="宋体"/>
          <w:color w:val="000000"/>
          <w:sz w:val="24"/>
        </w:rPr>
        <w:t>人在合肥本市及周边地区工作，如</w:t>
      </w:r>
      <w:r>
        <w:rPr>
          <w:rFonts w:hint="eastAsia" w:ascii="宋体" w:hAnsi="宋体"/>
          <w:color w:val="000000"/>
          <w:sz w:val="24"/>
        </w:rPr>
        <w:t>安徽工和环境监测有限责任公司、同兴环保科技股份有限公司、合肥市浩悦环境工程有限公司</w:t>
      </w:r>
      <w:r>
        <w:rPr>
          <w:rFonts w:ascii="宋体" w:hAnsi="宋体"/>
          <w:color w:val="000000"/>
          <w:sz w:val="24"/>
        </w:rPr>
        <w:t>等</w:t>
      </w:r>
      <w:r>
        <w:rPr>
          <w:rFonts w:hint="eastAsia" w:ascii="宋体" w:hAnsi="宋体"/>
          <w:color w:val="000000"/>
          <w:sz w:val="24"/>
        </w:rPr>
        <w:t>。</w:t>
      </w:r>
      <w:r>
        <w:rPr>
          <w:rFonts w:ascii="宋体" w:hAnsi="宋体"/>
          <w:color w:val="000000"/>
          <w:sz w:val="24"/>
        </w:rPr>
        <w:t>有</w:t>
      </w:r>
      <w:r>
        <w:rPr>
          <w:rFonts w:hint="eastAsia" w:ascii="宋体" w:hAnsi="宋体"/>
          <w:color w:val="000000"/>
          <w:sz w:val="24"/>
        </w:rPr>
        <w:t>13</w:t>
      </w:r>
      <w:r>
        <w:rPr>
          <w:rFonts w:ascii="宋体" w:hAnsi="宋体"/>
          <w:color w:val="000000"/>
          <w:sz w:val="24"/>
        </w:rPr>
        <w:t>人在省外工作，如</w:t>
      </w:r>
      <w:r>
        <w:rPr>
          <w:rFonts w:hint="eastAsia" w:ascii="宋体" w:hAnsi="宋体"/>
          <w:color w:val="000000"/>
          <w:sz w:val="24"/>
        </w:rPr>
        <w:t>深圳市朗坤环境集团股份有限公司、大唐环境产业集团股份有限公司特许经营分公司、中国电子系统工程第二建设有限公司等</w:t>
      </w:r>
      <w:r>
        <w:rPr>
          <w:rFonts w:ascii="宋体" w:hAnsi="宋体"/>
          <w:color w:val="000000"/>
          <w:sz w:val="24"/>
        </w:rPr>
        <w:t>。</w:t>
      </w:r>
    </w:p>
    <w:p>
      <w:pPr>
        <w:spacing w:line="360" w:lineRule="auto"/>
        <w:ind w:firstLine="480" w:firstLineChars="200"/>
        <w:rPr>
          <w:rFonts w:hint="eastAsia" w:ascii="宋体" w:hAnsi="宋体"/>
          <w:bCs/>
          <w:color w:val="000000"/>
          <w:sz w:val="24"/>
        </w:rPr>
      </w:pPr>
      <w:r>
        <w:rPr>
          <w:rFonts w:ascii="宋体" w:hAnsi="宋体"/>
          <w:bCs/>
          <w:color w:val="000000"/>
          <w:sz w:val="24"/>
        </w:rPr>
        <w:t>有</w:t>
      </w:r>
      <w:r>
        <w:rPr>
          <w:rFonts w:hint="eastAsia" w:ascii="宋体" w:hAnsi="宋体"/>
          <w:bCs/>
          <w:color w:val="000000"/>
          <w:sz w:val="24"/>
        </w:rPr>
        <w:t>34</w:t>
      </w:r>
      <w:r>
        <w:rPr>
          <w:rFonts w:ascii="宋体" w:hAnsi="宋体"/>
          <w:bCs/>
          <w:color w:val="000000"/>
          <w:sz w:val="24"/>
        </w:rPr>
        <w:t>人考取了国内硕士研究生</w:t>
      </w:r>
      <w:r>
        <w:rPr>
          <w:rFonts w:hint="eastAsia" w:ascii="宋体" w:hAnsi="宋体"/>
          <w:bCs/>
          <w:color w:val="000000"/>
          <w:sz w:val="24"/>
        </w:rPr>
        <w:t>，</w:t>
      </w:r>
      <w:r>
        <w:rPr>
          <w:rFonts w:ascii="宋体" w:hAnsi="宋体"/>
          <w:bCs/>
          <w:color w:val="000000"/>
          <w:sz w:val="24"/>
        </w:rPr>
        <w:t>录取率为</w:t>
      </w:r>
      <w:r>
        <w:rPr>
          <w:rFonts w:hint="eastAsia" w:ascii="宋体" w:hAnsi="宋体"/>
          <w:bCs/>
          <w:color w:val="000000"/>
          <w:sz w:val="24"/>
        </w:rPr>
        <w:t>52.3%，其中1人就读法律专业硕士，其余均在环境工程</w:t>
      </w:r>
      <w:r>
        <w:rPr>
          <w:rFonts w:ascii="宋体" w:hAnsi="宋体"/>
          <w:bCs/>
          <w:color w:val="000000"/>
          <w:sz w:val="24"/>
        </w:rPr>
        <w:t>学科范畴之内</w:t>
      </w:r>
      <w:r>
        <w:rPr>
          <w:rFonts w:hint="eastAsia" w:ascii="宋体" w:hAnsi="宋体"/>
          <w:bCs/>
          <w:color w:val="000000"/>
          <w:sz w:val="24"/>
        </w:rPr>
        <w:t>。其中，两人考取华东师范大学硕士研究生，一人考取东南大学硕士研究生，三人被本校录取。</w:t>
      </w:r>
    </w:p>
    <w:p>
      <w:pPr>
        <w:spacing w:line="360" w:lineRule="auto"/>
        <w:ind w:firstLine="480" w:firstLineChars="200"/>
        <w:rPr>
          <w:rFonts w:ascii="宋体" w:hAnsi="宋体"/>
          <w:color w:val="000000"/>
          <w:sz w:val="24"/>
        </w:rPr>
      </w:pPr>
      <w:r>
        <w:rPr>
          <w:rFonts w:hint="eastAsia" w:ascii="宋体" w:hAnsi="宋体"/>
          <w:color w:val="000000"/>
          <w:sz w:val="24"/>
        </w:rPr>
        <w:t>从毕业生从事岗位性质来看，从事专业技术工作（含考取研究生）共50人，占毕业生人数的77%；从事商业等服务岗位共6人，占毕业生人数的9%，</w:t>
      </w:r>
      <w:r>
        <w:rPr>
          <w:rFonts w:hint="eastAsia" w:ascii="宋体" w:hAnsi="宋体"/>
          <w:bCs/>
          <w:sz w:val="24"/>
        </w:rPr>
        <w:t>有14%的学生从事企业办事人员岗位</w:t>
      </w:r>
      <w:r>
        <w:rPr>
          <w:rFonts w:hint="eastAsia" w:ascii="宋体" w:hAnsi="宋体"/>
          <w:color w:val="000000"/>
          <w:sz w:val="24"/>
        </w:rPr>
        <w:t>。</w:t>
      </w:r>
    </w:p>
    <w:p>
      <w:pPr>
        <w:spacing w:line="360" w:lineRule="auto"/>
        <w:ind w:firstLine="482" w:firstLineChars="200"/>
        <w:rPr>
          <w:rFonts w:hint="eastAsia" w:ascii="宋体" w:hAnsi="宋体"/>
          <w:b/>
          <w:bCs/>
          <w:sz w:val="24"/>
        </w:rPr>
      </w:pPr>
      <w:r>
        <w:rPr>
          <w:rFonts w:hint="eastAsia" w:ascii="宋体" w:hAnsi="宋体"/>
          <w:b/>
          <w:bCs/>
          <w:sz w:val="24"/>
        </w:rPr>
        <w:t>三、食品科学与工程专业就业结构分析</w:t>
      </w:r>
    </w:p>
    <w:p>
      <w:pPr>
        <w:spacing w:line="360" w:lineRule="auto"/>
        <w:ind w:firstLine="480" w:firstLineChars="200"/>
        <w:rPr>
          <w:rFonts w:ascii="宋体" w:hAnsi="宋体"/>
          <w:bCs/>
          <w:color w:val="000000"/>
          <w:sz w:val="24"/>
        </w:rPr>
      </w:pPr>
      <w:r>
        <w:rPr>
          <w:rFonts w:hint="eastAsia" w:ascii="宋体" w:hAnsi="宋体"/>
          <w:color w:val="000000"/>
          <w:sz w:val="24"/>
        </w:rPr>
        <w:t>2022届，我院食品科学与工程共有毕业生24名，其中1人结业。其中提交就业协议15份，8人攻读硕士研究生，综合就业率为96%。</w:t>
      </w:r>
      <w:r>
        <w:rPr>
          <w:rFonts w:hint="eastAsia" w:ascii="宋体" w:hAnsi="宋体"/>
          <w:bCs/>
          <w:color w:val="000000"/>
          <w:sz w:val="24"/>
        </w:rPr>
        <w:t>考研录取率为33%。</w:t>
      </w:r>
    </w:p>
    <w:p>
      <w:pPr>
        <w:spacing w:line="360" w:lineRule="auto"/>
        <w:ind w:firstLine="480" w:firstLineChars="200"/>
        <w:rPr>
          <w:rFonts w:hint="eastAsia" w:ascii="宋体" w:hAnsi="宋体"/>
          <w:color w:val="000000"/>
          <w:sz w:val="24"/>
        </w:rPr>
      </w:pPr>
      <w:r>
        <w:rPr>
          <w:rFonts w:ascii="宋体" w:hAnsi="宋体"/>
          <w:sz w:val="24"/>
        </w:rPr>
        <w:t>初次就业情况：从就业单位看，行业内的</w:t>
      </w:r>
      <w:r>
        <w:rPr>
          <w:rFonts w:ascii="宋体" w:hAnsi="宋体"/>
          <w:color w:val="000000"/>
          <w:sz w:val="24"/>
        </w:rPr>
        <w:t>为</w:t>
      </w:r>
      <w:r>
        <w:rPr>
          <w:rFonts w:hint="eastAsia" w:ascii="宋体" w:hAnsi="宋体"/>
          <w:color w:val="000000"/>
          <w:sz w:val="24"/>
        </w:rPr>
        <w:t>15</w:t>
      </w:r>
      <w:r>
        <w:rPr>
          <w:rFonts w:ascii="宋体" w:hAnsi="宋体"/>
          <w:color w:val="000000"/>
          <w:sz w:val="24"/>
        </w:rPr>
        <w:t>人，占</w:t>
      </w:r>
      <w:r>
        <w:rPr>
          <w:rFonts w:hint="eastAsia" w:ascii="宋体" w:hAnsi="宋体"/>
          <w:color w:val="000000"/>
          <w:sz w:val="24"/>
        </w:rPr>
        <w:t>毕业生</w:t>
      </w:r>
      <w:r>
        <w:rPr>
          <w:rFonts w:ascii="宋体" w:hAnsi="宋体"/>
          <w:color w:val="000000"/>
          <w:sz w:val="24"/>
        </w:rPr>
        <w:t>人数的</w:t>
      </w:r>
      <w:r>
        <w:rPr>
          <w:rFonts w:hint="eastAsia" w:ascii="宋体" w:hAnsi="宋体"/>
          <w:color w:val="000000"/>
          <w:sz w:val="24"/>
        </w:rPr>
        <w:t>62.5</w:t>
      </w:r>
      <w:r>
        <w:rPr>
          <w:rFonts w:ascii="宋体" w:hAnsi="宋体"/>
          <w:color w:val="000000"/>
          <w:sz w:val="24"/>
        </w:rPr>
        <w:t>%</w:t>
      </w:r>
      <w:r>
        <w:rPr>
          <w:rFonts w:hint="eastAsia" w:ascii="宋体" w:hAnsi="宋体"/>
          <w:color w:val="000000"/>
          <w:sz w:val="24"/>
        </w:rPr>
        <w:t>,其中,</w:t>
      </w:r>
      <w:r>
        <w:rPr>
          <w:rFonts w:ascii="宋体" w:hAnsi="宋体"/>
          <w:color w:val="000000"/>
          <w:sz w:val="24"/>
        </w:rPr>
        <w:t>升学</w:t>
      </w:r>
      <w:r>
        <w:rPr>
          <w:rFonts w:hint="eastAsia" w:ascii="宋体" w:hAnsi="宋体"/>
          <w:color w:val="000000"/>
          <w:sz w:val="24"/>
        </w:rPr>
        <w:t>全部8人均</w:t>
      </w:r>
      <w:r>
        <w:rPr>
          <w:rFonts w:ascii="宋体" w:hAnsi="宋体"/>
          <w:color w:val="000000"/>
          <w:sz w:val="24"/>
        </w:rPr>
        <w:t>为行业内</w:t>
      </w:r>
      <w:r>
        <w:rPr>
          <w:rFonts w:hint="eastAsia" w:ascii="宋体" w:hAnsi="宋体"/>
          <w:color w:val="000000"/>
          <w:sz w:val="24"/>
        </w:rPr>
        <w:t>。</w:t>
      </w:r>
      <w:r>
        <w:rPr>
          <w:rFonts w:ascii="宋体" w:hAnsi="宋体"/>
          <w:color w:val="000000"/>
          <w:sz w:val="24"/>
        </w:rPr>
        <w:t>从就业地域看，在省内就业</w:t>
      </w:r>
      <w:r>
        <w:rPr>
          <w:rFonts w:hint="eastAsia" w:ascii="宋体" w:hAnsi="宋体"/>
          <w:color w:val="000000"/>
          <w:sz w:val="24"/>
        </w:rPr>
        <w:t>或升学</w:t>
      </w:r>
      <w:r>
        <w:rPr>
          <w:rFonts w:ascii="宋体" w:hAnsi="宋体"/>
          <w:color w:val="000000"/>
          <w:sz w:val="24"/>
        </w:rPr>
        <w:t>的</w:t>
      </w:r>
      <w:r>
        <w:rPr>
          <w:rFonts w:hint="eastAsia" w:ascii="宋体" w:hAnsi="宋体"/>
          <w:color w:val="000000"/>
          <w:sz w:val="24"/>
        </w:rPr>
        <w:t>有12</w:t>
      </w:r>
      <w:r>
        <w:rPr>
          <w:rFonts w:ascii="宋体" w:hAnsi="宋体"/>
          <w:color w:val="000000"/>
          <w:sz w:val="24"/>
        </w:rPr>
        <w:t>人，占</w:t>
      </w:r>
      <w:r>
        <w:rPr>
          <w:rFonts w:hint="eastAsia" w:ascii="宋体" w:hAnsi="宋体"/>
          <w:color w:val="000000"/>
          <w:sz w:val="24"/>
        </w:rPr>
        <w:t>毕业生</w:t>
      </w:r>
      <w:r>
        <w:rPr>
          <w:rFonts w:ascii="宋体" w:hAnsi="宋体"/>
          <w:color w:val="000000"/>
          <w:sz w:val="24"/>
        </w:rPr>
        <w:t>人数的</w:t>
      </w:r>
      <w:r>
        <w:rPr>
          <w:rFonts w:hint="eastAsia" w:ascii="宋体" w:hAnsi="宋体"/>
          <w:color w:val="000000"/>
          <w:sz w:val="24"/>
        </w:rPr>
        <w:t>50</w:t>
      </w:r>
      <w:r>
        <w:rPr>
          <w:rFonts w:ascii="宋体" w:hAnsi="宋体"/>
          <w:color w:val="000000"/>
          <w:sz w:val="24"/>
        </w:rPr>
        <w:t>%（其中在合肥就业的</w:t>
      </w:r>
      <w:r>
        <w:rPr>
          <w:rFonts w:hint="eastAsia" w:ascii="宋体" w:hAnsi="宋体"/>
          <w:color w:val="000000"/>
          <w:sz w:val="24"/>
        </w:rPr>
        <w:t>6</w:t>
      </w:r>
      <w:r>
        <w:rPr>
          <w:rFonts w:ascii="宋体" w:hAnsi="宋体"/>
          <w:color w:val="000000"/>
          <w:sz w:val="24"/>
        </w:rPr>
        <w:t>人，占</w:t>
      </w:r>
      <w:r>
        <w:rPr>
          <w:rFonts w:hint="eastAsia" w:ascii="宋体" w:hAnsi="宋体"/>
          <w:color w:val="000000"/>
          <w:sz w:val="24"/>
        </w:rPr>
        <w:t>毕业生</w:t>
      </w:r>
      <w:r>
        <w:rPr>
          <w:rFonts w:ascii="宋体" w:hAnsi="宋体"/>
          <w:color w:val="000000"/>
          <w:sz w:val="24"/>
        </w:rPr>
        <w:t>人数的</w:t>
      </w:r>
      <w:r>
        <w:rPr>
          <w:rFonts w:hint="eastAsia" w:ascii="宋体" w:hAnsi="宋体"/>
          <w:color w:val="000000"/>
          <w:sz w:val="24"/>
        </w:rPr>
        <w:t>25</w:t>
      </w:r>
      <w:r>
        <w:rPr>
          <w:rFonts w:ascii="宋体" w:hAnsi="宋体"/>
          <w:color w:val="000000"/>
          <w:sz w:val="24"/>
        </w:rPr>
        <w:t>%）；</w:t>
      </w:r>
      <w:r>
        <w:rPr>
          <w:rFonts w:hint="eastAsia" w:ascii="宋体" w:hAnsi="宋体"/>
          <w:color w:val="000000"/>
          <w:sz w:val="24"/>
        </w:rPr>
        <w:t>到浙江、上海</w:t>
      </w:r>
      <w:r>
        <w:rPr>
          <w:rFonts w:ascii="宋体" w:hAnsi="宋体"/>
          <w:color w:val="000000"/>
          <w:sz w:val="24"/>
        </w:rPr>
        <w:t>就业的</w:t>
      </w:r>
      <w:r>
        <w:rPr>
          <w:rFonts w:hint="eastAsia" w:ascii="宋体" w:hAnsi="宋体"/>
          <w:color w:val="000000"/>
          <w:sz w:val="24"/>
        </w:rPr>
        <w:t>6人，共占毕业生</w:t>
      </w:r>
      <w:r>
        <w:rPr>
          <w:rFonts w:ascii="宋体" w:hAnsi="宋体"/>
          <w:color w:val="000000"/>
          <w:sz w:val="24"/>
        </w:rPr>
        <w:t>人数的</w:t>
      </w:r>
      <w:r>
        <w:rPr>
          <w:rFonts w:hint="eastAsia" w:ascii="宋体" w:hAnsi="宋体"/>
          <w:color w:val="000000"/>
          <w:sz w:val="24"/>
        </w:rPr>
        <w:t>25%。</w:t>
      </w:r>
      <w:r>
        <w:rPr>
          <w:rFonts w:ascii="宋体" w:hAnsi="宋体"/>
          <w:color w:val="000000"/>
          <w:sz w:val="24"/>
        </w:rPr>
        <w:t>有</w:t>
      </w:r>
      <w:r>
        <w:rPr>
          <w:rFonts w:hint="eastAsia" w:ascii="宋体" w:hAnsi="宋体"/>
          <w:color w:val="000000"/>
          <w:sz w:val="24"/>
        </w:rPr>
        <w:t>6</w:t>
      </w:r>
      <w:r>
        <w:rPr>
          <w:rFonts w:ascii="宋体" w:hAnsi="宋体"/>
          <w:color w:val="000000"/>
          <w:sz w:val="24"/>
        </w:rPr>
        <w:t>人在合肥本市及周边地区工作，如</w:t>
      </w:r>
      <w:r>
        <w:rPr>
          <w:rFonts w:hint="eastAsia" w:ascii="宋体" w:hAnsi="宋体"/>
          <w:color w:val="000000"/>
          <w:sz w:val="24"/>
        </w:rPr>
        <w:t>合肥伊利乳业有限责任公司、合肥卡旺卡品牌管理有限公司、安徽省公众检验研究院有限公司等。</w:t>
      </w:r>
    </w:p>
    <w:p>
      <w:pPr>
        <w:spacing w:line="360" w:lineRule="auto"/>
        <w:ind w:firstLine="480" w:firstLineChars="200"/>
        <w:rPr>
          <w:rFonts w:hint="eastAsia" w:ascii="宋体" w:hAnsi="宋体"/>
          <w:color w:val="000000"/>
          <w:szCs w:val="21"/>
        </w:rPr>
      </w:pPr>
      <w:r>
        <w:rPr>
          <w:rFonts w:hint="eastAsia" w:ascii="宋体" w:hAnsi="宋体"/>
          <w:sz w:val="24"/>
        </w:rPr>
        <w:t>从单位性质看，食科专业毕业生绝大多数都在企业就业。</w:t>
      </w:r>
      <w:r>
        <w:rPr>
          <w:rFonts w:hint="eastAsia" w:ascii="宋体" w:hAnsi="宋体"/>
          <w:bCs/>
          <w:sz w:val="24"/>
        </w:rPr>
        <w:t>从岗位分布看，已就业的学生有58.3%的学生都从事专业技术岗（含研究生），还有29%的学生</w:t>
      </w:r>
      <w:r>
        <w:rPr>
          <w:rFonts w:hint="eastAsia" w:ascii="宋体" w:hAnsi="宋体"/>
          <w:color w:val="000000"/>
          <w:sz w:val="24"/>
        </w:rPr>
        <w:t>从事商业等服务岗位</w:t>
      </w:r>
      <w:r>
        <w:rPr>
          <w:rFonts w:hint="eastAsia" w:ascii="宋体" w:hAnsi="宋体"/>
          <w:bCs/>
          <w:sz w:val="24"/>
        </w:rPr>
        <w:t>，还有1名学生从事教学岗位。</w:t>
      </w:r>
    </w:p>
    <w:p>
      <w:pPr>
        <w:spacing w:line="360" w:lineRule="auto"/>
        <w:ind w:firstLine="482" w:firstLineChars="200"/>
        <w:rPr>
          <w:rFonts w:hint="eastAsia" w:ascii="宋体" w:hAnsi="宋体"/>
          <w:b/>
          <w:bCs/>
          <w:sz w:val="24"/>
        </w:rPr>
      </w:pPr>
      <w:r>
        <w:rPr>
          <w:rFonts w:hint="eastAsia" w:ascii="宋体" w:hAnsi="宋体"/>
          <w:b/>
          <w:bCs/>
          <w:sz w:val="24"/>
        </w:rPr>
        <w:t>四、食品质量与安全专业就业结构分析</w:t>
      </w:r>
    </w:p>
    <w:p>
      <w:pPr>
        <w:spacing w:line="360" w:lineRule="auto"/>
        <w:ind w:firstLine="480" w:firstLineChars="200"/>
        <w:rPr>
          <w:rFonts w:ascii="宋体" w:hAnsi="宋体"/>
          <w:bCs/>
          <w:color w:val="000000"/>
          <w:sz w:val="24"/>
        </w:rPr>
      </w:pPr>
      <w:r>
        <w:rPr>
          <w:rFonts w:hint="eastAsia" w:ascii="宋体" w:hAnsi="宋体"/>
          <w:bCs/>
          <w:color w:val="000000"/>
          <w:sz w:val="24"/>
        </w:rPr>
        <w:t>我院2022届食品质量与安全专业有</w:t>
      </w:r>
      <w:r>
        <w:rPr>
          <w:rFonts w:ascii="宋体" w:hAnsi="宋体"/>
          <w:bCs/>
          <w:color w:val="000000"/>
          <w:sz w:val="24"/>
        </w:rPr>
        <w:t>1</w:t>
      </w:r>
      <w:r>
        <w:rPr>
          <w:rFonts w:hint="eastAsia" w:ascii="宋体" w:hAnsi="宋体"/>
          <w:bCs/>
          <w:color w:val="000000"/>
          <w:sz w:val="24"/>
        </w:rPr>
        <w:t>个本科行政班，共有毕业生37人。截止2022年12月，提交就业协议19份，考研录取14人，共33人就业，就业率为89.19%，考研录取率为37.84%。</w:t>
      </w:r>
    </w:p>
    <w:p>
      <w:pPr>
        <w:spacing w:line="360" w:lineRule="auto"/>
        <w:ind w:firstLine="480" w:firstLineChars="200"/>
        <w:rPr>
          <w:rFonts w:hint="eastAsia" w:ascii="宋体" w:hAnsi="宋体"/>
          <w:color w:val="000000"/>
          <w:sz w:val="24"/>
        </w:rPr>
      </w:pPr>
      <w:r>
        <w:rPr>
          <w:rFonts w:ascii="宋体" w:hAnsi="宋体"/>
          <w:color w:val="000000"/>
          <w:sz w:val="24"/>
        </w:rPr>
        <w:t>初次就业情况：从就业单位看，</w:t>
      </w:r>
      <w:r>
        <w:rPr>
          <w:rFonts w:hint="eastAsia" w:ascii="宋体" w:hAnsi="宋体"/>
          <w:color w:val="000000"/>
          <w:sz w:val="24"/>
        </w:rPr>
        <w:t>行业内的为26人（含升学人数），占毕业生</w:t>
      </w:r>
      <w:r>
        <w:rPr>
          <w:rFonts w:ascii="宋体" w:hAnsi="宋体"/>
          <w:color w:val="000000"/>
          <w:sz w:val="24"/>
        </w:rPr>
        <w:t>人数的</w:t>
      </w:r>
      <w:r>
        <w:rPr>
          <w:rFonts w:hint="eastAsia" w:ascii="宋体" w:hAnsi="宋体"/>
          <w:color w:val="000000"/>
          <w:sz w:val="24"/>
        </w:rPr>
        <w:t>70.27%；行业外的为6人，占毕业生</w:t>
      </w:r>
      <w:r>
        <w:rPr>
          <w:rFonts w:ascii="宋体" w:hAnsi="宋体"/>
          <w:color w:val="000000"/>
          <w:sz w:val="24"/>
        </w:rPr>
        <w:t>人数的</w:t>
      </w:r>
      <w:r>
        <w:rPr>
          <w:rFonts w:hint="eastAsia" w:ascii="宋体" w:hAnsi="宋体"/>
          <w:color w:val="000000"/>
          <w:sz w:val="24"/>
        </w:rPr>
        <w:t>32.61%；从就业地域看，在省内就业或升学的有15人，占毕业生</w:t>
      </w:r>
      <w:r>
        <w:rPr>
          <w:rFonts w:ascii="宋体" w:hAnsi="宋体"/>
          <w:color w:val="000000"/>
          <w:sz w:val="24"/>
        </w:rPr>
        <w:t>人数的</w:t>
      </w:r>
      <w:r>
        <w:rPr>
          <w:rFonts w:hint="eastAsia" w:ascii="宋体" w:hAnsi="宋体"/>
          <w:color w:val="000000"/>
          <w:sz w:val="24"/>
        </w:rPr>
        <w:t>40.5%（其中在合肥就业的11人，占毕业生</w:t>
      </w:r>
      <w:r>
        <w:rPr>
          <w:rFonts w:ascii="宋体" w:hAnsi="宋体"/>
          <w:color w:val="000000"/>
          <w:sz w:val="24"/>
        </w:rPr>
        <w:t>人数的</w:t>
      </w:r>
      <w:r>
        <w:rPr>
          <w:rFonts w:hint="eastAsia" w:ascii="宋体" w:hAnsi="宋体"/>
          <w:color w:val="000000"/>
          <w:sz w:val="24"/>
        </w:rPr>
        <w:t>29.7%）；江、浙就业的6人，占毕业生</w:t>
      </w:r>
      <w:r>
        <w:rPr>
          <w:rFonts w:ascii="宋体" w:hAnsi="宋体"/>
          <w:color w:val="000000"/>
          <w:sz w:val="24"/>
        </w:rPr>
        <w:t>人数的</w:t>
      </w:r>
      <w:r>
        <w:rPr>
          <w:rFonts w:hint="eastAsia" w:ascii="宋体" w:hAnsi="宋体"/>
          <w:color w:val="000000"/>
          <w:sz w:val="24"/>
        </w:rPr>
        <w:t>16.2%；到北京、上海就业的3人，占毕业生</w:t>
      </w:r>
      <w:r>
        <w:rPr>
          <w:rFonts w:ascii="宋体" w:hAnsi="宋体"/>
          <w:color w:val="000000"/>
          <w:sz w:val="24"/>
        </w:rPr>
        <w:t>人数的</w:t>
      </w:r>
      <w:r>
        <w:rPr>
          <w:rFonts w:hint="eastAsia" w:ascii="宋体" w:hAnsi="宋体"/>
          <w:color w:val="000000"/>
          <w:sz w:val="24"/>
        </w:rPr>
        <w:t>8.1%。</w:t>
      </w:r>
    </w:p>
    <w:p>
      <w:pPr>
        <w:spacing w:line="360" w:lineRule="auto"/>
        <w:ind w:firstLine="480" w:firstLineChars="200"/>
      </w:pPr>
      <w:r>
        <w:rPr>
          <w:rFonts w:hint="eastAsia" w:ascii="宋体" w:hAnsi="宋体"/>
          <w:sz w:val="24"/>
        </w:rPr>
        <w:t>目前，有6人在合肥本市工作，占</w:t>
      </w:r>
      <w:r>
        <w:rPr>
          <w:rFonts w:hint="eastAsia" w:ascii="宋体" w:hAnsi="宋体"/>
          <w:color w:val="000000"/>
          <w:sz w:val="24"/>
        </w:rPr>
        <w:t>毕业生</w:t>
      </w:r>
      <w:r>
        <w:rPr>
          <w:rFonts w:ascii="宋体" w:hAnsi="宋体"/>
          <w:color w:val="000000"/>
          <w:sz w:val="24"/>
        </w:rPr>
        <w:t>人数的</w:t>
      </w:r>
      <w:r>
        <w:rPr>
          <w:rFonts w:hint="eastAsia" w:ascii="宋体" w:hAnsi="宋体"/>
          <w:sz w:val="24"/>
        </w:rPr>
        <w:t>16.2%，如安徽省农业科学院植物保护与农产品质量安全研究所、洽洽食品股份有限公司、合肥伊利乳业有限责任公司、合肥莘莘医药科技有限公司等；有8人在省外工作，占</w:t>
      </w:r>
      <w:r>
        <w:rPr>
          <w:rFonts w:hint="eastAsia" w:ascii="宋体" w:hAnsi="宋体"/>
          <w:color w:val="000000"/>
          <w:sz w:val="24"/>
        </w:rPr>
        <w:t>毕业生</w:t>
      </w:r>
      <w:r>
        <w:rPr>
          <w:rFonts w:ascii="宋体" w:hAnsi="宋体"/>
          <w:color w:val="000000"/>
          <w:sz w:val="24"/>
        </w:rPr>
        <w:t>人数的</w:t>
      </w:r>
      <w:r>
        <w:rPr>
          <w:rFonts w:hint="eastAsia" w:ascii="宋体" w:hAnsi="宋体"/>
          <w:sz w:val="24"/>
        </w:rPr>
        <w:t>21.6%，如武汉药明康德新药开发有限公司、常州合全药业有限公司、江苏百英生物科技有限公司等。有14人考取了国内硕士研究生，录取率为37.84%，其中13人为食品专业生物及相关学科范畴之内，专业相关度达92.86%，其中1人考取中国海洋大学，1人考取中国农业大学，1人考取中国林业科学研究院，</w:t>
      </w:r>
      <w:r>
        <w:rPr>
          <w:rFonts w:hint="eastAsia" w:ascii="宋体" w:hAnsi="宋体"/>
          <w:bCs/>
          <w:color w:val="000000"/>
          <w:sz w:val="24"/>
        </w:rPr>
        <w:t>2人被本校录取</w:t>
      </w:r>
      <w:r>
        <w:rPr>
          <w:rFonts w:hint="eastAsia" w:ascii="宋体" w:hAnsi="宋体"/>
          <w:sz w:val="24"/>
        </w:rPr>
        <w:t>。</w:t>
      </w:r>
    </w:p>
    <w:p>
      <w:pPr>
        <w:spacing w:line="360" w:lineRule="auto"/>
        <w:rPr>
          <w:rFonts w:hint="eastAsia" w:ascii="宋体" w:hAnsi="宋体"/>
          <w:b/>
          <w:color w:val="000000"/>
          <w:sz w:val="24"/>
        </w:rPr>
      </w:pPr>
    </w:p>
    <w:p>
      <w:pPr>
        <w:spacing w:line="360" w:lineRule="auto"/>
        <w:jc w:val="center"/>
        <w:rPr>
          <w:rFonts w:hint="eastAsia" w:ascii="宋体" w:hAnsi="宋体"/>
          <w:b/>
          <w:sz w:val="32"/>
          <w:szCs w:val="32"/>
        </w:rPr>
      </w:pPr>
      <w:r>
        <w:rPr>
          <w:rFonts w:hint="eastAsia" w:ascii="宋体" w:hAnsi="宋体"/>
          <w:b/>
          <w:sz w:val="32"/>
          <w:szCs w:val="32"/>
        </w:rPr>
        <w:t>第三部分  市场需求调查情况</w:t>
      </w:r>
    </w:p>
    <w:p>
      <w:pPr>
        <w:spacing w:line="360" w:lineRule="auto"/>
        <w:ind w:firstLine="480" w:firstLineChars="200"/>
        <w:rPr>
          <w:rFonts w:hint="eastAsia" w:ascii="宋体" w:hAnsi="宋体"/>
          <w:sz w:val="24"/>
        </w:rPr>
      </w:pPr>
      <w:r>
        <w:rPr>
          <w:rFonts w:hint="eastAsia" w:ascii="宋体" w:hAnsi="宋体"/>
          <w:sz w:val="24"/>
        </w:rPr>
        <w:t>生物学院本科教育设置了生物工程、环境工程、食品科学与工程、食品质量与安全四个专业，学院就业工作领导小组非常重视毕业生就业工作，通过多种途径宣传毕业生，积极与用人单位建立联系，拓宽就业渠道。</w:t>
      </w:r>
    </w:p>
    <w:p>
      <w:pPr>
        <w:widowControl/>
        <w:spacing w:line="360" w:lineRule="auto"/>
        <w:ind w:firstLine="480"/>
        <w:jc w:val="left"/>
        <w:rPr>
          <w:rFonts w:hint="eastAsia" w:ascii="宋体" w:hAnsi="宋体"/>
          <w:sz w:val="24"/>
        </w:rPr>
      </w:pPr>
      <w:r>
        <w:rPr>
          <w:rFonts w:hint="eastAsia" w:ascii="宋体" w:hAnsi="宋体"/>
          <w:sz w:val="24"/>
        </w:rPr>
        <w:t>同时，我们</w:t>
      </w:r>
      <w:r>
        <w:rPr>
          <w:rFonts w:ascii="宋体" w:hAnsi="宋体"/>
          <w:sz w:val="24"/>
        </w:rPr>
        <w:t>密切关注国家就业政策导向，切实加强对毕业生就业工作的管理和指导，通过就业指导课帮助学生根据自己的兴趣爱好和特长进行职业生涯的规划与设计，培养职业意识；加强学生职业技能教育，提高职业能力；培养学生职业道德，教育学生树立科学的就业观，不盲目追求高待遇，能正确分析自己，准确定位；教育学生认清就业形势，转变就业观念，具有适应一线工作的能力，不怕苦，乐于向上，能尽快地成长起来。针对我</w:t>
      </w:r>
      <w:r>
        <w:rPr>
          <w:rFonts w:hint="eastAsia" w:ascii="宋体" w:hAnsi="宋体"/>
          <w:sz w:val="24"/>
        </w:rPr>
        <w:t>院</w:t>
      </w:r>
      <w:r>
        <w:rPr>
          <w:rFonts w:ascii="宋体" w:hAnsi="宋体"/>
          <w:sz w:val="24"/>
        </w:rPr>
        <w:t>历年来就业工作的经验，对</w:t>
      </w:r>
      <w:r>
        <w:rPr>
          <w:rFonts w:hint="eastAsia" w:ascii="宋体" w:hAnsi="宋体"/>
          <w:sz w:val="24"/>
        </w:rPr>
        <w:t>2022</w:t>
      </w:r>
      <w:r>
        <w:rPr>
          <w:rFonts w:ascii="宋体" w:hAnsi="宋体"/>
          <w:sz w:val="24"/>
        </w:rPr>
        <w:t>届毕业生及早进行就业训练，包括就业定位、自我</w:t>
      </w:r>
      <w:r>
        <w:rPr>
          <w:rFonts w:hint="eastAsia" w:ascii="宋体" w:hAnsi="宋体"/>
          <w:sz w:val="24"/>
        </w:rPr>
        <w:t>认知</w:t>
      </w:r>
      <w:r>
        <w:rPr>
          <w:rFonts w:ascii="宋体" w:hAnsi="宋体"/>
          <w:sz w:val="24"/>
        </w:rPr>
        <w:t>、求职方法、面试技巧以及求职信的书写、言行举止等，增强就业竞争力。</w:t>
      </w:r>
    </w:p>
    <w:p>
      <w:pPr>
        <w:spacing w:line="360" w:lineRule="auto"/>
        <w:ind w:firstLine="482" w:firstLineChars="200"/>
        <w:rPr>
          <w:rFonts w:hint="eastAsia" w:ascii="宋体" w:hAnsi="宋体"/>
          <w:b/>
          <w:bCs/>
          <w:sz w:val="24"/>
        </w:rPr>
      </w:pPr>
      <w:r>
        <w:rPr>
          <w:rFonts w:hint="eastAsia" w:ascii="宋体" w:hAnsi="宋体"/>
          <w:b/>
          <w:bCs/>
          <w:sz w:val="24"/>
        </w:rPr>
        <w:t>一、生物工程专业就业前景</w:t>
      </w:r>
    </w:p>
    <w:p>
      <w:pPr>
        <w:widowControl/>
        <w:spacing w:line="360" w:lineRule="auto"/>
        <w:ind w:firstLine="480" w:firstLineChars="200"/>
        <w:jc w:val="left"/>
        <w:rPr>
          <w:rFonts w:hint="eastAsia" w:ascii="宋体" w:hAnsi="宋体"/>
          <w:sz w:val="24"/>
        </w:rPr>
      </w:pPr>
      <w:r>
        <w:rPr>
          <w:rFonts w:hint="eastAsia" w:ascii="宋体" w:hAnsi="宋体"/>
          <w:sz w:val="24"/>
        </w:rPr>
        <w:t>生物制药专业特色是生物制药已成为国际和国内增长最快的行业之一，21世纪是生物技术的世纪，生物制药已成为侦破中国高新技述发展的熏点。</w:t>
      </w:r>
    </w:p>
    <w:p>
      <w:pPr>
        <w:widowControl/>
        <w:spacing w:line="360" w:lineRule="auto"/>
        <w:ind w:firstLine="480" w:firstLineChars="200"/>
        <w:jc w:val="left"/>
        <w:rPr>
          <w:rFonts w:hint="eastAsia" w:ascii="宋体" w:hAnsi="宋体"/>
          <w:sz w:val="24"/>
        </w:rPr>
      </w:pPr>
      <w:r>
        <w:rPr>
          <w:rFonts w:hint="eastAsia" w:ascii="宋体" w:hAnsi="宋体"/>
          <w:sz w:val="24"/>
        </w:rPr>
        <w:t>在全球金融危机和新冠肺炎疫情的阴影下，新兴国家医药市场却表现得风光这边独好。中国作为“金砖四国”之一、生物制药市场也分外亮丽。国家发展改革委安排新增中央投资4.42亿元，支持生物医药、生物育种、生物医学工程高技术产业化专项以及国家生物产业基地公共服务条件建设专项的建设。此举为今后生物制药的发展注入了新的动力。</w:t>
      </w:r>
    </w:p>
    <w:p>
      <w:pPr>
        <w:widowControl/>
        <w:spacing w:line="360" w:lineRule="auto"/>
        <w:ind w:firstLine="480" w:firstLineChars="200"/>
        <w:jc w:val="left"/>
        <w:rPr>
          <w:rFonts w:hint="eastAsia" w:ascii="宋体" w:hAnsi="宋体"/>
          <w:sz w:val="24"/>
        </w:rPr>
      </w:pPr>
      <w:r>
        <w:rPr>
          <w:rFonts w:hint="eastAsia" w:ascii="宋体" w:hAnsi="宋体"/>
          <w:sz w:val="24"/>
        </w:rPr>
        <w:t>我院生物工程专业本科生会学习生物化学及生物化学实验、分子生物学及分子生物学实验、药理学及药理学实验、药剂学及药剂学实验、生物技术制药、生物制药工艺学、发酵工程、药品与生物制品检验等专业知识，还有相关类课程的见习、实验操作和实习等，这些学习为毕业生走上工作岗位奠定了一定的专业基础。</w:t>
      </w:r>
    </w:p>
    <w:p>
      <w:pPr>
        <w:widowControl/>
        <w:spacing w:line="360" w:lineRule="auto"/>
        <w:ind w:firstLine="480" w:firstLineChars="200"/>
        <w:jc w:val="left"/>
        <w:rPr>
          <w:rFonts w:hint="eastAsia" w:ascii="宋体" w:hAnsi="宋体"/>
          <w:sz w:val="24"/>
        </w:rPr>
      </w:pPr>
      <w:r>
        <w:rPr>
          <w:rFonts w:hint="eastAsia" w:ascii="宋体" w:hAnsi="宋体"/>
          <w:sz w:val="24"/>
        </w:rPr>
        <w:t>而安徽省尤其是合肥市在生物医药方面的发展也是突飞猛进，</w:t>
      </w:r>
      <w:r>
        <w:rPr>
          <w:rFonts w:ascii="宋体" w:hAnsi="宋体"/>
          <w:sz w:val="24"/>
        </w:rPr>
        <w:t>《合肥市“十四五”生物医药产业发展规划》加快推动了合肥生物医药产业发展，智飞龙科马、安科生物、立方制药等一批有代表性的生物医药企业也与我院逐步建立了就业实习意向。</w:t>
      </w:r>
    </w:p>
    <w:p>
      <w:pPr>
        <w:spacing w:line="360" w:lineRule="auto"/>
        <w:ind w:firstLine="482" w:firstLineChars="200"/>
        <w:rPr>
          <w:rFonts w:hint="eastAsia" w:ascii="宋体" w:hAnsi="宋体"/>
          <w:b/>
          <w:bCs/>
          <w:sz w:val="24"/>
        </w:rPr>
      </w:pPr>
      <w:r>
        <w:rPr>
          <w:rFonts w:hint="eastAsia" w:ascii="宋体" w:hAnsi="宋体"/>
          <w:b/>
          <w:bCs/>
          <w:sz w:val="24"/>
        </w:rPr>
        <w:t>二、环境工程专业就业前景</w:t>
      </w:r>
    </w:p>
    <w:p>
      <w:pPr>
        <w:widowControl/>
        <w:spacing w:line="360" w:lineRule="auto"/>
        <w:ind w:firstLine="480" w:firstLineChars="200"/>
        <w:jc w:val="left"/>
        <w:rPr>
          <w:rFonts w:hint="eastAsia" w:ascii="宋体" w:hAnsi="宋体"/>
          <w:sz w:val="24"/>
        </w:rPr>
      </w:pPr>
      <w:r>
        <w:rPr>
          <w:rFonts w:hint="eastAsia" w:ascii="宋体" w:hAnsi="宋体"/>
          <w:sz w:val="24"/>
        </w:rPr>
        <w:t>环境工程是一门应用性很强的专业，该专业学生毕业后可在各级环境部门从事环境管理工作，也可在大型企业、公司从事环境产品和技术的检验分析、研发等工作，还可在研究所和高校从事科研、设计及教学工作，或进一步学习深造。具体岗位如:环保技术、污水处理工程师、环保工程师、水处理工程师、实习生、环境管理/保护、技术员、环境影响评价工程师、环保检测、销售工程师等。</w:t>
      </w:r>
    </w:p>
    <w:p>
      <w:pPr>
        <w:widowControl/>
        <w:spacing w:line="360" w:lineRule="auto"/>
        <w:ind w:firstLine="480" w:firstLineChars="200"/>
        <w:jc w:val="left"/>
        <w:rPr>
          <w:rFonts w:hint="eastAsia" w:ascii="宋体" w:hAnsi="宋体"/>
          <w:sz w:val="24"/>
        </w:rPr>
      </w:pPr>
      <w:r>
        <w:rPr>
          <w:rFonts w:hint="eastAsia" w:ascii="宋体" w:hAnsi="宋体"/>
          <w:sz w:val="24"/>
        </w:rPr>
        <w:t>随着各种环境问题日益突出和影响范围的不断扩大，环保问题成为全球的焦点，环境保护观念日益深入，人们的环境意识不断加强，环保产业也成为我国重点发展的产业之一。为了实现社会、经济的可持续发展和促进人民生活质量的不断提高，国家已经把环境保护作为一项基本国策。而环境工程学科的内涵日益丰富，使得它已成为21世纪的带头学科之一，该专业毕业生就业前景比较广阔。</w:t>
      </w:r>
    </w:p>
    <w:p>
      <w:pPr>
        <w:widowControl/>
        <w:spacing w:line="360" w:lineRule="auto"/>
        <w:ind w:firstLine="480" w:firstLineChars="200"/>
        <w:jc w:val="left"/>
        <w:rPr>
          <w:rFonts w:hint="eastAsia" w:ascii="宋体" w:hAnsi="宋体"/>
          <w:sz w:val="24"/>
        </w:rPr>
      </w:pPr>
      <w:r>
        <w:rPr>
          <w:rFonts w:hint="eastAsia" w:ascii="宋体" w:hAnsi="宋体"/>
          <w:sz w:val="24"/>
        </w:rPr>
        <w:t>我院环境工程专业毕业生就业思路宽阔，与多家单位建立了一定的就业合作意向，如同兴环保科技有限公司、大唐环境产业集团股份有限公司、安庆京环环境服务有限公司等，并在这些公司成长迅速。</w:t>
      </w:r>
    </w:p>
    <w:p>
      <w:pPr>
        <w:spacing w:line="360" w:lineRule="auto"/>
        <w:ind w:firstLine="482" w:firstLineChars="200"/>
        <w:rPr>
          <w:rFonts w:hint="eastAsia" w:ascii="宋体" w:hAnsi="宋体"/>
          <w:b/>
          <w:bCs/>
          <w:sz w:val="24"/>
        </w:rPr>
      </w:pPr>
      <w:r>
        <w:rPr>
          <w:rFonts w:hint="eastAsia" w:ascii="宋体" w:hAnsi="宋体"/>
          <w:b/>
          <w:bCs/>
          <w:sz w:val="24"/>
        </w:rPr>
        <w:t>三、食品专业就业前景</w:t>
      </w:r>
    </w:p>
    <w:p>
      <w:pPr>
        <w:widowControl/>
        <w:spacing w:line="360" w:lineRule="auto"/>
        <w:ind w:firstLine="480" w:firstLineChars="200"/>
        <w:jc w:val="left"/>
        <w:rPr>
          <w:rFonts w:hint="eastAsia" w:ascii="宋体" w:hAnsi="宋体"/>
          <w:sz w:val="24"/>
        </w:rPr>
      </w:pPr>
      <w:r>
        <w:rPr>
          <w:rFonts w:hint="eastAsia" w:ascii="宋体" w:hAnsi="宋体"/>
          <w:sz w:val="24"/>
        </w:rPr>
        <w:t>“民以食为天”，食品是人类赖以生存的物质基础，是人类维持生命与健康的第一需要。</w:t>
      </w:r>
    </w:p>
    <w:p>
      <w:pPr>
        <w:widowControl/>
        <w:spacing w:line="360" w:lineRule="auto"/>
        <w:ind w:firstLine="480" w:firstLineChars="200"/>
        <w:jc w:val="left"/>
        <w:rPr>
          <w:rFonts w:hint="eastAsia" w:ascii="宋体" w:hAnsi="宋体"/>
          <w:sz w:val="24"/>
        </w:rPr>
      </w:pPr>
      <w:r>
        <w:rPr>
          <w:rFonts w:hint="eastAsia" w:ascii="宋体" w:hAnsi="宋体"/>
          <w:sz w:val="24"/>
        </w:rPr>
        <w:t>然而，随着时代的不断进步，传统的食品制造与食品简单加工在食品工业中所占的比重日益下降。富裕起来的人们开始关注健康、营养，并形成一个庞大的潜在市场。高科技、高附加值的食品企业不断出现，营养保健食品、生物食品、食品的精深加工业宜居创出了很多驰名品牌。这些都为食品工业毕业生大显身手提供了广阔的舞台。</w:t>
      </w:r>
    </w:p>
    <w:p>
      <w:pPr>
        <w:widowControl/>
        <w:spacing w:line="360" w:lineRule="auto"/>
        <w:ind w:firstLine="480" w:firstLineChars="200"/>
        <w:jc w:val="left"/>
        <w:rPr>
          <w:rFonts w:hint="eastAsia" w:ascii="宋体" w:hAnsi="宋体"/>
          <w:sz w:val="24"/>
        </w:rPr>
      </w:pPr>
      <w:r>
        <w:rPr>
          <w:rFonts w:hint="eastAsia" w:ascii="宋体" w:hAnsi="宋体"/>
          <w:sz w:val="24"/>
        </w:rPr>
        <w:t>食品质量与安全专业是以生命科学和食品科学为基础，研究食品的营养、安全与健康的关系，食品营养的保障和食品安全卫生质量管理的学科，是食品科学与预防医学的重要组成部分，是连接食品与预防医学的重要桥梁。通过对食品生产、加工的`管理和控制，保证食品的营养品质和卫生质量，促进人体的健康。食品营养与安全的保证主要依靠食品生产全面系统的质量管理，从而使营养与食品安全从过去的监督管理，扩展成包括食品生产、食品营养、食品安全、食品管理、食品质量控制的诸多领域，在生命科学和食品科学的各个领域中发挥越来越重要的作用。</w:t>
      </w:r>
    </w:p>
    <w:p>
      <w:pPr>
        <w:widowControl/>
        <w:spacing w:line="360" w:lineRule="auto"/>
        <w:ind w:firstLine="480" w:firstLineChars="200"/>
        <w:jc w:val="left"/>
        <w:rPr>
          <w:rFonts w:hint="eastAsia" w:ascii="宋体" w:hAnsi="宋体"/>
          <w:sz w:val="24"/>
        </w:rPr>
      </w:pPr>
      <w:r>
        <w:rPr>
          <w:rFonts w:hint="eastAsia" w:ascii="宋体" w:hAnsi="宋体"/>
          <w:sz w:val="24"/>
        </w:rPr>
        <w:t>我院食品科学与工程、食品质量与安全两个专业在全球的食品问题大背景下，展现出了一定的优越的就业前景。学生毕业后能从事各类食品生产企业的食品工程设计、新产品开发、食品营养研究、质量检测、品质控制、技术管理、技术监督、食品机械设备管理、食品包装设计、食品贮藏管理、食品运输管理、企业经营管理等工作。</w:t>
      </w:r>
    </w:p>
    <w:p>
      <w:pPr>
        <w:widowControl/>
        <w:spacing w:line="360" w:lineRule="auto"/>
        <w:ind w:firstLine="480" w:firstLineChars="200"/>
        <w:jc w:val="left"/>
        <w:rPr>
          <w:rFonts w:hint="eastAsia" w:ascii="宋体" w:hAnsi="宋体"/>
          <w:sz w:val="24"/>
        </w:rPr>
      </w:pPr>
      <w:r>
        <w:rPr>
          <w:rFonts w:hint="eastAsia" w:ascii="宋体" w:hAnsi="宋体"/>
          <w:sz w:val="24"/>
        </w:rPr>
        <w:t>随着后疫情时代的到来，食品行业在疫情初期的萧条气象逐渐褪去，并展现初了巨大的潜力。我院毕业生在老乡鸡、合肥伊利乳业、卡旺卡等知名食品类企业的就业数量与日俱增。</w:t>
      </w:r>
    </w:p>
    <w:p>
      <w:pPr>
        <w:widowControl/>
        <w:spacing w:line="360" w:lineRule="auto"/>
        <w:ind w:firstLine="480"/>
        <w:jc w:val="left"/>
        <w:rPr>
          <w:rFonts w:hint="eastAsia" w:ascii="宋体" w:hAnsi="宋体"/>
          <w:sz w:val="24"/>
        </w:rPr>
      </w:pPr>
    </w:p>
    <w:p>
      <w:pPr>
        <w:spacing w:line="360" w:lineRule="auto"/>
        <w:jc w:val="center"/>
        <w:rPr>
          <w:rFonts w:hint="eastAsia" w:ascii="宋体" w:hAnsi="宋体"/>
          <w:b/>
          <w:sz w:val="32"/>
          <w:szCs w:val="32"/>
        </w:rPr>
      </w:pPr>
      <w:r>
        <w:rPr>
          <w:rFonts w:hint="eastAsia" w:ascii="宋体" w:hAnsi="宋体"/>
          <w:b/>
          <w:sz w:val="32"/>
          <w:szCs w:val="32"/>
        </w:rPr>
        <w:t>第四部分  就业工作的重点、亮点</w:t>
      </w:r>
    </w:p>
    <w:p>
      <w:pPr>
        <w:spacing w:line="360" w:lineRule="auto"/>
        <w:ind w:firstLine="482" w:firstLineChars="200"/>
        <w:rPr>
          <w:rFonts w:hint="eastAsia" w:ascii="宋体" w:hAnsi="宋体"/>
          <w:b/>
          <w:sz w:val="24"/>
        </w:rPr>
      </w:pPr>
      <w:r>
        <w:rPr>
          <w:rFonts w:hint="eastAsia" w:ascii="宋体" w:hAnsi="宋体"/>
          <w:b/>
          <w:sz w:val="24"/>
        </w:rPr>
        <w:t>一、强化组织领导，凝聚就业同心力</w:t>
      </w:r>
    </w:p>
    <w:p>
      <w:pPr>
        <w:spacing w:line="360" w:lineRule="auto"/>
        <w:ind w:firstLine="480" w:firstLineChars="200"/>
        <w:rPr>
          <w:rFonts w:ascii="宋体" w:hAnsi="宋体"/>
          <w:bCs/>
          <w:sz w:val="24"/>
        </w:rPr>
      </w:pPr>
      <w:r>
        <w:rPr>
          <w:rFonts w:hint="eastAsia" w:ascii="宋体" w:hAnsi="宋体"/>
          <w:bCs/>
          <w:sz w:val="24"/>
        </w:rPr>
        <w:t>我院专门成立以院党委书记、院长为组长，党委副书记、副院长为副组长，各系主任、专业负责人、学工办副主任、各毕业班辅导员为成员的院就业工作领导小组。各部门综合协调、落实日常等工作，形成上下贯通、执行有力、衔接有序的就业工作体系，确保事有人干、责有人负。</w:t>
      </w:r>
    </w:p>
    <w:p>
      <w:pPr>
        <w:spacing w:line="360" w:lineRule="auto"/>
        <w:ind w:firstLine="482" w:firstLineChars="200"/>
        <w:rPr>
          <w:rFonts w:hint="eastAsia" w:ascii="宋体" w:hAnsi="宋体"/>
          <w:b/>
          <w:sz w:val="24"/>
        </w:rPr>
      </w:pPr>
      <w:r>
        <w:rPr>
          <w:rFonts w:hint="eastAsia" w:ascii="宋体" w:hAnsi="宋体"/>
          <w:b/>
          <w:sz w:val="24"/>
        </w:rPr>
        <w:t>二、精心制定方案，画好目标同心圆</w:t>
      </w:r>
    </w:p>
    <w:p>
      <w:pPr>
        <w:spacing w:line="360" w:lineRule="auto"/>
        <w:ind w:firstLine="480" w:firstLineChars="200"/>
        <w:rPr>
          <w:rFonts w:hint="eastAsia" w:ascii="宋体" w:hAnsi="宋体"/>
          <w:sz w:val="24"/>
        </w:rPr>
      </w:pPr>
      <w:r>
        <w:rPr>
          <w:rFonts w:hint="eastAsia" w:ascii="宋体" w:hAnsi="宋体"/>
          <w:sz w:val="24"/>
        </w:rPr>
        <w:t>我院立足实际，结合上一学年就业工作经验教训，制定了相应的工作计划，确定了就业工作在整个学年的核心地位，学院就业工作领导小组不断推进就业质量的稳步提升。就业指导工作由专门的就业联络员负责，使得就业工作具有连贯性，保证就业工作高位起步，顺利完成。另外，根据毕业生的生源地、就业意愿、就业方向等多方面调查，每周更新毕业生就业求职状态，实施“一生一策”就业动态管理方法，对毕业生适时有效指导。推进就业工作全员参与机制，将毕业生就业指导纳入毕业论文指导教师工作量进行考核，实时跟踪，定期公告。这些工作的实施大大提高了我院就业工作的成效，确保了就业工作的圆满完成。</w:t>
      </w:r>
    </w:p>
    <w:p>
      <w:pPr>
        <w:spacing w:line="360" w:lineRule="auto"/>
        <w:ind w:firstLine="482" w:firstLineChars="200"/>
        <w:rPr>
          <w:rFonts w:ascii="宋体" w:hAnsi="宋体"/>
          <w:b/>
          <w:sz w:val="24"/>
        </w:rPr>
      </w:pPr>
      <w:r>
        <w:rPr>
          <w:rFonts w:hint="eastAsia" w:ascii="宋体" w:hAnsi="宋体"/>
          <w:b/>
          <w:sz w:val="24"/>
        </w:rPr>
        <w:t>三、入学教育</w:t>
      </w:r>
      <w:r>
        <w:rPr>
          <w:rFonts w:ascii="宋体" w:hAnsi="宋体"/>
          <w:b/>
          <w:sz w:val="24"/>
        </w:rPr>
        <w:t>，</w:t>
      </w:r>
      <w:r>
        <w:rPr>
          <w:rFonts w:hint="eastAsia" w:ascii="宋体" w:hAnsi="宋体"/>
          <w:b/>
          <w:sz w:val="24"/>
        </w:rPr>
        <w:t>打好专业预防针</w:t>
      </w:r>
    </w:p>
    <w:p>
      <w:pPr>
        <w:spacing w:line="360" w:lineRule="auto"/>
        <w:ind w:firstLine="470" w:firstLineChars="196"/>
        <w:rPr>
          <w:rFonts w:ascii="宋体" w:hAnsi="宋体"/>
          <w:sz w:val="24"/>
        </w:rPr>
      </w:pPr>
      <w:r>
        <w:rPr>
          <w:rFonts w:ascii="宋体" w:hAnsi="宋体"/>
          <w:sz w:val="24"/>
        </w:rPr>
        <w:t>我院在</w:t>
      </w:r>
      <w:r>
        <w:rPr>
          <w:rFonts w:hint="eastAsia" w:ascii="宋体" w:hAnsi="宋体"/>
          <w:sz w:val="24"/>
        </w:rPr>
        <w:t>各专业</w:t>
      </w:r>
      <w:r>
        <w:rPr>
          <w:rFonts w:ascii="宋体" w:hAnsi="宋体"/>
          <w:sz w:val="24"/>
        </w:rPr>
        <w:t>开设专业导论课，</w:t>
      </w:r>
      <w:r>
        <w:rPr>
          <w:rFonts w:hint="eastAsia" w:ascii="宋体" w:hAnsi="宋体"/>
          <w:sz w:val="24"/>
        </w:rPr>
        <w:t>由专业主任、各专业教师为学生讲解本专业的构成，促使学生在刚一入学就对本专业有清晰地认识，教育引导学生从大一就开始树立目标，</w:t>
      </w:r>
      <w:r>
        <w:rPr>
          <w:rFonts w:ascii="宋体" w:hAnsi="宋体"/>
          <w:sz w:val="24"/>
        </w:rPr>
        <w:t>对同学们后面的专业方向选择，树立牢固的专业思想都是大有裨益的。</w:t>
      </w:r>
      <w:r>
        <w:rPr>
          <w:rFonts w:hint="eastAsia" w:ascii="宋体" w:hAnsi="宋体"/>
          <w:sz w:val="24"/>
        </w:rPr>
        <w:t>同时</w:t>
      </w:r>
      <w:r>
        <w:rPr>
          <w:rFonts w:ascii="宋体" w:hAnsi="宋体"/>
          <w:sz w:val="24"/>
        </w:rPr>
        <w:t>，在大二大三时期，实施综合技能训练，</w:t>
      </w:r>
      <w:r>
        <w:rPr>
          <w:rFonts w:hint="eastAsia" w:ascii="宋体" w:hAnsi="宋体"/>
          <w:sz w:val="24"/>
        </w:rPr>
        <w:t>带领学生线上线下参观企业，</w:t>
      </w:r>
      <w:r>
        <w:rPr>
          <w:rFonts w:ascii="宋体" w:hAnsi="宋体"/>
          <w:sz w:val="24"/>
        </w:rPr>
        <w:t>极大地提高同学们学习实践课的兴趣，并在享受乐趣的过程中获得熟练的动手实践能力。</w:t>
      </w:r>
    </w:p>
    <w:p>
      <w:pPr>
        <w:spacing w:line="360" w:lineRule="auto"/>
        <w:ind w:firstLine="472" w:firstLineChars="196"/>
        <w:rPr>
          <w:rFonts w:ascii="宋体" w:hAnsi="宋体"/>
          <w:b/>
          <w:sz w:val="24"/>
        </w:rPr>
      </w:pPr>
      <w:r>
        <w:rPr>
          <w:rFonts w:hint="eastAsia" w:ascii="宋体" w:hAnsi="宋体"/>
          <w:b/>
          <w:sz w:val="24"/>
        </w:rPr>
        <w:t>四、以行践知</w:t>
      </w:r>
      <w:r>
        <w:rPr>
          <w:rFonts w:ascii="宋体" w:hAnsi="宋体"/>
          <w:b/>
          <w:sz w:val="24"/>
        </w:rPr>
        <w:t>，</w:t>
      </w:r>
      <w:r>
        <w:rPr>
          <w:rFonts w:hint="eastAsia" w:ascii="宋体" w:hAnsi="宋体"/>
          <w:b/>
          <w:sz w:val="24"/>
        </w:rPr>
        <w:t>筑好就业奠基石</w:t>
      </w:r>
    </w:p>
    <w:p>
      <w:pPr>
        <w:spacing w:line="360" w:lineRule="auto"/>
        <w:ind w:firstLine="480" w:firstLineChars="200"/>
        <w:rPr>
          <w:rFonts w:hint="eastAsia" w:ascii="宋体" w:hAnsi="宋体"/>
          <w:sz w:val="24"/>
        </w:rPr>
      </w:pPr>
      <w:r>
        <w:rPr>
          <w:rFonts w:hint="eastAsia" w:ascii="宋体" w:hAnsi="宋体"/>
          <w:sz w:val="24"/>
        </w:rPr>
        <w:t>立足我院工作实际，</w:t>
      </w:r>
      <w:r>
        <w:rPr>
          <w:rFonts w:ascii="宋体" w:hAnsi="宋体"/>
          <w:sz w:val="24"/>
        </w:rPr>
        <w:t>充分调动全体师生的积极性，动员各方面的力量，</w:t>
      </w:r>
      <w:r>
        <w:rPr>
          <w:rFonts w:hint="eastAsia" w:ascii="宋体" w:hAnsi="宋体"/>
          <w:sz w:val="24"/>
        </w:rPr>
        <w:t>搭建各类创新创业平台</w:t>
      </w:r>
      <w:r>
        <w:rPr>
          <w:rFonts w:ascii="宋体" w:hAnsi="宋体"/>
          <w:sz w:val="24"/>
        </w:rPr>
        <w:t>，让大学生</w:t>
      </w:r>
      <w:r>
        <w:rPr>
          <w:rFonts w:hint="eastAsia" w:ascii="宋体" w:hAnsi="宋体"/>
          <w:sz w:val="24"/>
        </w:rPr>
        <w:t>将所学所思所悟融入到专业实践中去，教育引导学生</w:t>
      </w:r>
      <w:r>
        <w:rPr>
          <w:rFonts w:ascii="宋体" w:hAnsi="宋体"/>
          <w:sz w:val="24"/>
        </w:rPr>
        <w:t>走出课堂，投身实践，将专业实践、思政教育结合起来，培养大学生的科学素养</w:t>
      </w:r>
      <w:r>
        <w:rPr>
          <w:rFonts w:hint="eastAsia" w:ascii="宋体" w:hAnsi="宋体"/>
          <w:sz w:val="24"/>
        </w:rPr>
        <w:t>，培育应用型人才。辅导员、专业班主任向学生介绍专业教师，积极引导</w:t>
      </w:r>
      <w:r>
        <w:rPr>
          <w:rFonts w:ascii="宋体" w:hAnsi="宋体"/>
          <w:sz w:val="24"/>
        </w:rPr>
        <w:t>大二、大三</w:t>
      </w:r>
      <w:r>
        <w:rPr>
          <w:rFonts w:hint="eastAsia" w:ascii="宋体" w:hAnsi="宋体"/>
          <w:sz w:val="24"/>
        </w:rPr>
        <w:t>学生参加专业教师的科研项目</w:t>
      </w:r>
      <w:r>
        <w:rPr>
          <w:rFonts w:ascii="宋体" w:hAnsi="宋体"/>
          <w:sz w:val="24"/>
        </w:rPr>
        <w:t>，将自身能力的培养与毕业论文两者有机的结合起来，收效颇佳</w:t>
      </w:r>
      <w:r>
        <w:rPr>
          <w:rFonts w:hint="eastAsia" w:ascii="宋体" w:hAnsi="宋体"/>
          <w:sz w:val="24"/>
        </w:rPr>
        <w:t>；积极动员组织同学申报国家级、省级大学生创新创业训练项目，进一步提高大学生的实践能力，2021-2022学年我院获立项的国家级、省级大学生创新创业项目共64项。</w:t>
      </w:r>
    </w:p>
    <w:p>
      <w:pPr>
        <w:spacing w:line="360" w:lineRule="auto"/>
        <w:ind w:firstLine="482" w:firstLineChars="200"/>
        <w:rPr>
          <w:rFonts w:ascii="宋体" w:hAnsi="宋体"/>
          <w:b/>
          <w:sz w:val="24"/>
        </w:rPr>
      </w:pPr>
      <w:r>
        <w:rPr>
          <w:rFonts w:hint="eastAsia" w:ascii="宋体" w:hAnsi="宋体"/>
          <w:b/>
          <w:sz w:val="24"/>
        </w:rPr>
        <w:t>五、提升能力</w:t>
      </w:r>
      <w:r>
        <w:rPr>
          <w:rFonts w:ascii="宋体" w:hAnsi="宋体"/>
          <w:b/>
          <w:sz w:val="24"/>
        </w:rPr>
        <w:t>，</w:t>
      </w:r>
      <w:r>
        <w:rPr>
          <w:rFonts w:hint="eastAsia" w:ascii="宋体" w:hAnsi="宋体"/>
          <w:b/>
          <w:sz w:val="24"/>
        </w:rPr>
        <w:t>激发学生创新力</w:t>
      </w:r>
    </w:p>
    <w:p>
      <w:pPr>
        <w:spacing w:line="360" w:lineRule="auto"/>
        <w:ind w:firstLine="480" w:firstLineChars="200"/>
        <w:rPr>
          <w:rFonts w:ascii="宋体" w:hAnsi="宋体"/>
          <w:sz w:val="24"/>
        </w:rPr>
      </w:pPr>
      <w:r>
        <w:rPr>
          <w:rFonts w:hint="eastAsia" w:ascii="宋体" w:hAnsi="宋体"/>
          <w:sz w:val="24"/>
        </w:rPr>
        <w:t>为提升我院学生就业竞争力，培养学生创新意识，以保证学生在就业、择业、创业中有更多地选择，</w:t>
      </w:r>
      <w:r>
        <w:rPr>
          <w:rFonts w:ascii="宋体" w:hAnsi="宋体"/>
          <w:sz w:val="24"/>
        </w:rPr>
        <w:t>我院积极为同学的科研能力发展创造机会，帮助、鼓励、支持他们去充分挖掘潜能，燃放自我。</w:t>
      </w:r>
      <w:r>
        <w:rPr>
          <w:rFonts w:hint="eastAsia" w:ascii="宋体" w:hAnsi="宋体"/>
          <w:sz w:val="24"/>
        </w:rPr>
        <w:t>我院支持专业教师与学生组成科研研发小组，开展课题研究，在研究的同时培养学生创新思维、动手能力。</w:t>
      </w:r>
      <w:r>
        <w:rPr>
          <w:rFonts w:ascii="宋体" w:hAnsi="宋体"/>
          <w:sz w:val="24"/>
        </w:rPr>
        <w:t>这些研究工作的开展，一方面提高了学生的创新性思维和科研设计能力，另一方面也产生了一系列的科研成果，进而扩大了同学们在专业技术领域内的影响，进一步提升同学们的就业能力。</w:t>
      </w:r>
    </w:p>
    <w:p>
      <w:pPr>
        <w:spacing w:line="360" w:lineRule="auto"/>
        <w:ind w:firstLine="482" w:firstLineChars="200"/>
        <w:rPr>
          <w:rFonts w:ascii="宋体" w:hAnsi="宋体"/>
          <w:b/>
          <w:sz w:val="24"/>
        </w:rPr>
      </w:pPr>
      <w:r>
        <w:rPr>
          <w:rFonts w:hint="eastAsia" w:ascii="宋体" w:hAnsi="宋体"/>
          <w:b/>
          <w:sz w:val="24"/>
        </w:rPr>
        <w:t>六、特色实验</w:t>
      </w:r>
      <w:r>
        <w:rPr>
          <w:rFonts w:ascii="宋体" w:hAnsi="宋体"/>
          <w:b/>
          <w:sz w:val="24"/>
        </w:rPr>
        <w:t>，</w:t>
      </w:r>
      <w:r>
        <w:rPr>
          <w:rFonts w:hint="eastAsia" w:ascii="宋体" w:hAnsi="宋体"/>
          <w:b/>
          <w:sz w:val="24"/>
        </w:rPr>
        <w:t>培养能力强实践</w:t>
      </w:r>
    </w:p>
    <w:p>
      <w:pPr>
        <w:spacing w:line="360" w:lineRule="auto"/>
        <w:ind w:firstLine="480" w:firstLineChars="200"/>
        <w:rPr>
          <w:rFonts w:ascii="宋体" w:hAnsi="宋体"/>
          <w:sz w:val="24"/>
        </w:rPr>
      </w:pPr>
      <w:r>
        <w:rPr>
          <w:rFonts w:ascii="宋体" w:hAnsi="宋体"/>
          <w:sz w:val="24"/>
        </w:rPr>
        <w:t>我院在生物工程专业开设了生物工程综合大实验</w:t>
      </w:r>
      <w:r>
        <w:rPr>
          <w:rFonts w:hint="eastAsia" w:ascii="宋体" w:hAnsi="宋体"/>
          <w:sz w:val="24"/>
        </w:rPr>
        <w:t>。实验课可以</w:t>
      </w:r>
      <w:r>
        <w:rPr>
          <w:rFonts w:ascii="宋体" w:hAnsi="宋体"/>
          <w:sz w:val="24"/>
        </w:rPr>
        <w:t>锻炼和提高学生的动手能力，进一步激发了学生对未知领域的探索精神，发展了学生的创造性思维和创造性能力，受到受训同学的普遍欢迎。提升学生的实践动手能力只是手段，我们的最终目的还是为了提升学生的综合素养，为毕业后能够顺利就业打下扎实的基础。</w:t>
      </w:r>
    </w:p>
    <w:p>
      <w:pPr>
        <w:spacing w:line="360" w:lineRule="auto"/>
        <w:ind w:firstLine="482" w:firstLineChars="200"/>
        <w:rPr>
          <w:rFonts w:ascii="宋体" w:hAnsi="宋体"/>
          <w:b/>
          <w:sz w:val="24"/>
        </w:rPr>
      </w:pPr>
      <w:r>
        <w:rPr>
          <w:rFonts w:hint="eastAsia" w:ascii="宋体" w:hAnsi="宋体"/>
          <w:b/>
          <w:sz w:val="24"/>
        </w:rPr>
        <w:t>七、提供渠道，搭建就业大平台</w:t>
      </w:r>
    </w:p>
    <w:p>
      <w:pPr>
        <w:spacing w:line="360" w:lineRule="auto"/>
        <w:ind w:firstLine="480" w:firstLineChars="200"/>
        <w:rPr>
          <w:rFonts w:hint="eastAsia" w:ascii="宋体" w:hAnsi="宋体"/>
          <w:sz w:val="24"/>
        </w:rPr>
      </w:pPr>
      <w:r>
        <w:rPr>
          <w:rFonts w:hint="eastAsia" w:ascii="宋体" w:hAnsi="宋体"/>
          <w:sz w:val="24"/>
        </w:rPr>
        <w:t>为了更好地推进22届毕业生就业工作，自21年9月始我院即启动22届毕业生就业工作，10月份开始，专场招聘会陆续举行，我院针对22届毕业生举办了线上线下宣讲会共计69场，推荐岗位数逾500个。</w:t>
      </w:r>
    </w:p>
    <w:p>
      <w:pPr>
        <w:spacing w:line="360" w:lineRule="auto"/>
        <w:ind w:firstLine="422" w:firstLineChars="200"/>
        <w:jc w:val="center"/>
        <w:rPr>
          <w:rFonts w:ascii="宋体" w:hAnsi="宋体"/>
          <w:b/>
          <w:bCs/>
          <w:color w:val="000000"/>
          <w:szCs w:val="21"/>
        </w:rPr>
      </w:pPr>
      <w:r>
        <w:rPr>
          <w:rFonts w:hint="eastAsia" w:ascii="宋体" w:hAnsi="宋体"/>
          <w:b/>
          <w:bCs/>
          <w:color w:val="000000"/>
          <w:szCs w:val="21"/>
        </w:rPr>
        <w:t>表5: 生物学院2022届毕业生部分专场招聘会统计</w:t>
      </w:r>
    </w:p>
    <w:p>
      <w:pPr>
        <w:spacing w:line="360" w:lineRule="auto"/>
      </w:pPr>
      <w:r>
        <w:drawing>
          <wp:inline distT="0" distB="0" distL="114300" distR="114300">
            <wp:extent cx="2973070" cy="3200400"/>
            <wp:effectExtent l="0" t="0" r="8255" b="0"/>
            <wp:docPr id="4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5"/>
                    <pic:cNvPicPr>
                      <a:picLocks noChangeAspect="1"/>
                    </pic:cNvPicPr>
                  </pic:nvPicPr>
                  <pic:blipFill>
                    <a:blip r:embed="rId32"/>
                    <a:stretch>
                      <a:fillRect/>
                    </a:stretch>
                  </pic:blipFill>
                  <pic:spPr>
                    <a:xfrm>
                      <a:off x="0" y="0"/>
                      <a:ext cx="2973070" cy="3200400"/>
                    </a:xfrm>
                    <a:prstGeom prst="rect">
                      <a:avLst/>
                    </a:prstGeom>
                    <a:noFill/>
                    <a:ln>
                      <a:noFill/>
                    </a:ln>
                  </pic:spPr>
                </pic:pic>
              </a:graphicData>
            </a:graphic>
          </wp:inline>
        </w:drawing>
      </w:r>
      <w:r>
        <w:drawing>
          <wp:inline distT="0" distB="0" distL="114300" distR="114300">
            <wp:extent cx="3049270" cy="3195955"/>
            <wp:effectExtent l="0" t="0" r="8255" b="4445"/>
            <wp:docPr id="5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6"/>
                    <pic:cNvPicPr>
                      <a:picLocks noChangeAspect="1"/>
                    </pic:cNvPicPr>
                  </pic:nvPicPr>
                  <pic:blipFill>
                    <a:blip r:embed="rId33"/>
                    <a:stretch>
                      <a:fillRect/>
                    </a:stretch>
                  </pic:blipFill>
                  <pic:spPr>
                    <a:xfrm>
                      <a:off x="0" y="0"/>
                      <a:ext cx="3049270" cy="3195955"/>
                    </a:xfrm>
                    <a:prstGeom prst="rect">
                      <a:avLst/>
                    </a:prstGeom>
                    <a:noFill/>
                    <a:ln>
                      <a:noFill/>
                    </a:ln>
                  </pic:spPr>
                </pic:pic>
              </a:graphicData>
            </a:graphic>
          </wp:inline>
        </w:drawing>
      </w:r>
    </w:p>
    <w:p>
      <w:pPr>
        <w:spacing w:line="360" w:lineRule="auto"/>
        <w:ind w:firstLine="482" w:firstLineChars="200"/>
        <w:rPr>
          <w:rFonts w:ascii="宋体" w:hAnsi="宋体"/>
          <w:b/>
          <w:sz w:val="24"/>
        </w:rPr>
      </w:pPr>
      <w:r>
        <w:rPr>
          <w:rFonts w:hint="eastAsia" w:ascii="宋体" w:hAnsi="宋体"/>
          <w:b/>
          <w:sz w:val="24"/>
        </w:rPr>
        <w:t>八、</w:t>
      </w:r>
      <w:r>
        <w:rPr>
          <w:rFonts w:ascii="宋体" w:hAnsi="宋体"/>
          <w:b/>
          <w:sz w:val="24"/>
        </w:rPr>
        <w:t>量身定做，积极开展就业引导</w:t>
      </w:r>
    </w:p>
    <w:p>
      <w:pPr>
        <w:spacing w:line="360" w:lineRule="auto"/>
        <w:ind w:firstLine="480" w:firstLineChars="200"/>
        <w:rPr>
          <w:rFonts w:ascii="宋体" w:hAnsi="宋体" w:cs="宋体"/>
          <w:sz w:val="24"/>
        </w:rPr>
      </w:pPr>
      <w:r>
        <w:rPr>
          <w:rFonts w:ascii="宋体" w:hAnsi="宋体"/>
          <w:bCs/>
          <w:sz w:val="24"/>
        </w:rPr>
        <w:t>大学生个人兴趣、爱好，特长、家庭情况、生活阅历等千差万别，就业心态也不尽相同，因此，要有针对性地对学生开展个性化指导。例如：</w:t>
      </w:r>
      <w:r>
        <w:rPr>
          <w:rFonts w:ascii="宋体" w:hAnsi="宋体" w:cs="宋体"/>
          <w:sz w:val="24"/>
        </w:rPr>
        <w:t>我院积极响应中央号召、动员202</w:t>
      </w:r>
      <w:r>
        <w:rPr>
          <w:rFonts w:hint="eastAsia" w:ascii="宋体" w:hAnsi="宋体" w:cs="宋体"/>
          <w:sz w:val="24"/>
        </w:rPr>
        <w:t>2</w:t>
      </w:r>
      <w:r>
        <w:rPr>
          <w:rFonts w:ascii="宋体" w:hAnsi="宋体" w:cs="宋体"/>
          <w:sz w:val="24"/>
        </w:rPr>
        <w:t>届毕业生服务于基层项目，尤其是在202</w:t>
      </w:r>
      <w:r>
        <w:rPr>
          <w:rFonts w:hint="eastAsia" w:ascii="宋体" w:hAnsi="宋体" w:cs="宋体"/>
          <w:sz w:val="24"/>
        </w:rPr>
        <w:t>2</w:t>
      </w:r>
      <w:r>
        <w:rPr>
          <w:rFonts w:ascii="宋体" w:hAnsi="宋体" w:cs="宋体"/>
          <w:sz w:val="24"/>
        </w:rPr>
        <w:t>年西部计划工作中，我院生物工程专业顾凯旋、</w:t>
      </w:r>
      <w:r>
        <w:rPr>
          <w:rFonts w:hint="eastAsia" w:ascii="宋体" w:hAnsi="宋体" w:cs="宋体"/>
          <w:sz w:val="24"/>
        </w:rPr>
        <w:t>环境工程专业</w:t>
      </w:r>
      <w:r>
        <w:rPr>
          <w:rFonts w:ascii="宋体" w:hAnsi="宋体" w:cs="宋体"/>
          <w:sz w:val="24"/>
        </w:rPr>
        <w:t>孙欣茹、黄淑琦共</w:t>
      </w:r>
      <w:r>
        <w:rPr>
          <w:rFonts w:hint="eastAsia" w:ascii="宋体" w:hAnsi="宋体" w:cs="宋体"/>
          <w:sz w:val="24"/>
        </w:rPr>
        <w:t>3位同学成功</w:t>
      </w:r>
      <w:r>
        <w:rPr>
          <w:rFonts w:ascii="宋体" w:hAnsi="宋体" w:cs="宋体"/>
          <w:sz w:val="24"/>
        </w:rPr>
        <w:t>申报，学院党委高度重视，专门与申请人进行谈话，根据个人意愿、志愿服务经历、个人能力等条件，与校团委沟通协调西部计划推荐名额，最终成功派遣到西藏和新疆。</w:t>
      </w:r>
    </w:p>
    <w:p>
      <w:pPr>
        <w:spacing w:line="360" w:lineRule="auto"/>
        <w:ind w:firstLine="482" w:firstLineChars="200"/>
        <w:rPr>
          <w:rFonts w:ascii="宋体" w:hAnsi="宋体"/>
          <w:b/>
          <w:sz w:val="24"/>
        </w:rPr>
      </w:pPr>
      <w:r>
        <w:rPr>
          <w:rFonts w:hint="eastAsia" w:ascii="宋体" w:hAnsi="宋体"/>
          <w:b/>
          <w:sz w:val="24"/>
        </w:rPr>
        <w:t>九、引导竞赛</w:t>
      </w:r>
      <w:r>
        <w:rPr>
          <w:rFonts w:ascii="宋体" w:hAnsi="宋体"/>
          <w:b/>
          <w:sz w:val="24"/>
        </w:rPr>
        <w:t>，拓宽</w:t>
      </w:r>
      <w:r>
        <w:rPr>
          <w:rFonts w:hint="eastAsia" w:ascii="宋体" w:hAnsi="宋体"/>
          <w:b/>
          <w:sz w:val="24"/>
        </w:rPr>
        <w:t>就业新途径</w:t>
      </w:r>
    </w:p>
    <w:p>
      <w:pPr>
        <w:spacing w:line="360" w:lineRule="auto"/>
        <w:ind w:firstLine="480" w:firstLineChars="200"/>
        <w:rPr>
          <w:rFonts w:hint="eastAsia" w:ascii="宋体" w:hAnsi="宋体"/>
          <w:sz w:val="24"/>
        </w:rPr>
      </w:pPr>
      <w:r>
        <w:rPr>
          <w:rFonts w:ascii="宋体" w:hAnsi="宋体"/>
          <w:sz w:val="24"/>
        </w:rPr>
        <w:t>我院在各年级中开展培养学生的创业意识活动，引导学生参加“挑战杯”创业计划大赛等，在院内营造创业、设计的浓厚氛围。</w:t>
      </w:r>
      <w:r>
        <w:rPr>
          <w:rFonts w:hint="eastAsia" w:ascii="宋体" w:hAnsi="宋体"/>
          <w:sz w:val="24"/>
        </w:rPr>
        <w:t>为创业的毕业生提供有针对性的创业指导和帮扶。</w:t>
      </w:r>
    </w:p>
    <w:p>
      <w:pPr>
        <w:pStyle w:val="5"/>
        <w:tabs>
          <w:tab w:val="left" w:pos="2310"/>
        </w:tabs>
        <w:rPr>
          <w:rFonts w:hint="eastAsia"/>
        </w:rPr>
      </w:pPr>
      <w:r>
        <w:t>20</w:t>
      </w:r>
      <w:r>
        <w:rPr>
          <w:rFonts w:hint="eastAsia"/>
        </w:rPr>
        <w:t>21—</w:t>
      </w:r>
      <w:r>
        <w:t>2</w:t>
      </w:r>
      <w:r>
        <w:rPr>
          <w:rFonts w:hint="eastAsia"/>
        </w:rPr>
        <w:t>022学年</w:t>
      </w:r>
      <w:r>
        <w:t>，我院学子在社会实践、学科竞赛、文体竞赛等方面共获省市级以上奖项30项。其中，获全国大学生生命科学竞赛（创新创业类）国家级二等奖1项、三等奖2项；2021年“华骐-中旭杯”安徽省大学生生态环境创新创大赛一等奖2项、二等奖2项；第八届安徽省“互联网+”大学生创新创业大赛省级金奖2项、银奖1项；第十届“挑战杯•华安证券”安徽省大学生创业计划竞赛银奖2项；2022年“华骐-通源杯”安徽省大学生生态环境创新创业大赛一等奖2项，二等奖5项；2022年安徽省大学生生物标本制作大赛一等奖1项，荣获优秀组织奖；2022年安徽省大学生食品设计创新大赛一等奖2项，获优秀组织奖。学院学生作为主持人申报专利2项。学院获校2022年“挑战杯”课外学术课技作品竞赛“优秀组织奖”等。</w:t>
      </w:r>
    </w:p>
    <w:p>
      <w:pPr>
        <w:spacing w:line="360" w:lineRule="auto"/>
        <w:ind w:firstLine="482" w:firstLineChars="200"/>
        <w:rPr>
          <w:rFonts w:ascii="宋体" w:hAnsi="宋体"/>
          <w:b/>
          <w:sz w:val="24"/>
        </w:rPr>
      </w:pPr>
      <w:r>
        <w:rPr>
          <w:rFonts w:hint="eastAsia" w:ascii="宋体" w:hAnsi="宋体"/>
          <w:b/>
          <w:sz w:val="24"/>
        </w:rPr>
        <w:t>十、助力考研，保障就业高质量</w:t>
      </w:r>
    </w:p>
    <w:p>
      <w:pPr>
        <w:spacing w:line="360" w:lineRule="auto"/>
        <w:ind w:firstLine="480" w:firstLineChars="200"/>
        <w:rPr>
          <w:rFonts w:hint="eastAsia" w:ascii="宋体" w:hAnsi="宋体"/>
          <w:sz w:val="24"/>
        </w:rPr>
      </w:pPr>
      <w:r>
        <w:rPr>
          <w:rFonts w:hint="eastAsia" w:ascii="宋体" w:hAnsi="宋体"/>
          <w:sz w:val="24"/>
        </w:rPr>
        <w:t>近年来，我院学子选择考研深造的越来越多，这一方面源于我院多数专业都需要社会的高精尖人才，另一方面也与学院高标准的人才培养战略有关。</w:t>
      </w:r>
    </w:p>
    <w:p>
      <w:pPr>
        <w:spacing w:line="360" w:lineRule="auto"/>
        <w:ind w:firstLine="480" w:firstLineChars="200"/>
        <w:rPr>
          <w:rFonts w:ascii="宋体" w:hAnsi="宋体"/>
          <w:sz w:val="24"/>
        </w:rPr>
      </w:pPr>
      <w:r>
        <w:rPr>
          <w:rFonts w:hint="eastAsia" w:ascii="宋体" w:hAnsi="宋体"/>
          <w:sz w:val="24"/>
        </w:rPr>
        <w:t>但面对疫情防控工作的突然严峻，校园封控管理，学生不得随意进出，缺乏线上复试经验和场地的困难，备考学生焦虑异常。学院党政领导、辅导员及专业教师集体出动，上下一心，全员、全过程、全方位解决学生考研复试问题。积极联系专业教师一对一帮扶，帮助学生梳理学业知识；组织辅导员面试培训，一对一进行“预面试”，传授面试经验；辅导员主动为心理焦虑的学生进行心理辅导，帮助学生释放压力，舒缓情绪。</w:t>
      </w:r>
    </w:p>
    <w:p>
      <w:pPr>
        <w:widowControl/>
        <w:spacing w:line="480" w:lineRule="atLeast"/>
        <w:ind w:firstLine="555"/>
        <w:jc w:val="left"/>
        <w:rPr>
          <w:rFonts w:hint="eastAsia" w:ascii="宋体" w:hAnsi="宋体"/>
          <w:sz w:val="24"/>
        </w:rPr>
      </w:pPr>
      <w:r>
        <w:rPr>
          <w:rFonts w:hint="eastAsia" w:ascii="宋体" w:hAnsi="宋体"/>
          <w:sz w:val="24"/>
        </w:rPr>
        <w:t>针对考研复试场地问题，由于我院复试学生较多、场地要求较高，学院积极协调安排院会议室、智慧教室、心理健康工作站等场地，组织专人负责这些场地的卫生清扫，为复试学生提供良好的物质保障和环境保障。学院根据学生的复试时间合理安排，制定复试场地安排表，有序开展学生复试工作。</w:t>
      </w:r>
    </w:p>
    <w:p>
      <w:pPr>
        <w:widowControl/>
        <w:spacing w:line="480" w:lineRule="atLeast"/>
        <w:ind w:firstLine="555"/>
        <w:jc w:val="left"/>
        <w:rPr>
          <w:rFonts w:hint="eastAsia" w:ascii="宋体" w:hAnsi="宋体"/>
          <w:sz w:val="24"/>
        </w:rPr>
      </w:pPr>
      <w:r>
        <w:rPr>
          <w:rFonts w:hint="eastAsia" w:ascii="宋体" w:hAnsi="宋体"/>
          <w:sz w:val="24"/>
        </w:rPr>
        <w:t>我院共有88名复试学生，达线率为40.6%，最终80名学生顺利考上理想院校，考研录取率达37.04%，其中环境工程专业考研录取率为52.3%，再创历史新高。</w:t>
      </w:r>
    </w:p>
    <w:p>
      <w:pPr>
        <w:spacing w:line="360" w:lineRule="auto"/>
        <w:ind w:firstLine="482" w:firstLineChars="200"/>
        <w:rPr>
          <w:rFonts w:ascii="宋体" w:hAnsi="宋体"/>
          <w:b/>
          <w:sz w:val="24"/>
        </w:rPr>
      </w:pPr>
      <w:r>
        <w:rPr>
          <w:rFonts w:hint="eastAsia" w:ascii="宋体" w:hAnsi="宋体"/>
          <w:b/>
          <w:sz w:val="24"/>
        </w:rPr>
        <w:t>十一、抓实做细</w:t>
      </w:r>
      <w:r>
        <w:rPr>
          <w:rFonts w:ascii="宋体" w:hAnsi="宋体"/>
          <w:b/>
          <w:sz w:val="24"/>
        </w:rPr>
        <w:t>，</w:t>
      </w:r>
      <w:r>
        <w:rPr>
          <w:rFonts w:hint="eastAsia" w:ascii="宋体" w:hAnsi="宋体"/>
          <w:b/>
          <w:sz w:val="24"/>
        </w:rPr>
        <w:t>落实服务一条龙</w:t>
      </w:r>
    </w:p>
    <w:p>
      <w:pPr>
        <w:spacing w:line="360" w:lineRule="auto"/>
        <w:ind w:firstLine="480" w:firstLineChars="200"/>
        <w:rPr>
          <w:rFonts w:ascii="宋体" w:hAnsi="宋体"/>
          <w:sz w:val="24"/>
        </w:rPr>
      </w:pPr>
      <w:r>
        <w:rPr>
          <w:rFonts w:hint="eastAsia" w:ascii="宋体" w:hAnsi="宋体"/>
          <w:sz w:val="24"/>
        </w:rPr>
        <w:t>毕业生离校牵涉到档案托管、户口转接、组织关系接转、各类证件发放等诸多事宜。学院开展“毕业生文明离校活动”，各毕业班辅导员主动开展毕业生离校班会，下宿舍走访看望毕业生，解读好就业政策，主动解决毕业生就业、毕业相关问题；考虑到毕业生完成毕业答辩后即奔赴工作岗位的现实，我院加强学生在校期间各类信息的收集和整理工作，确保信息准确无误。我院特别安排学院辅导员留校值班，负责第二批毕业生毕业证、学位证的发放以及档案的邮寄等事宜。</w:t>
      </w:r>
    </w:p>
    <w:p>
      <w:pPr>
        <w:spacing w:line="360" w:lineRule="auto"/>
        <w:jc w:val="center"/>
        <w:rPr>
          <w:rFonts w:hint="eastAsia" w:ascii="宋体" w:hAnsi="宋体"/>
          <w:b/>
          <w:sz w:val="28"/>
          <w:szCs w:val="28"/>
        </w:rPr>
      </w:pPr>
    </w:p>
    <w:p>
      <w:pPr>
        <w:spacing w:line="360" w:lineRule="auto"/>
        <w:jc w:val="center"/>
        <w:rPr>
          <w:rFonts w:hint="eastAsia" w:ascii="宋体" w:hAnsi="宋体"/>
          <w:b/>
          <w:sz w:val="32"/>
          <w:szCs w:val="32"/>
        </w:rPr>
      </w:pPr>
      <w:r>
        <w:rPr>
          <w:rFonts w:hint="eastAsia" w:ascii="宋体" w:hAnsi="宋体"/>
          <w:b/>
          <w:sz w:val="32"/>
          <w:szCs w:val="32"/>
        </w:rPr>
        <w:t xml:space="preserve">第五部分  </w:t>
      </w:r>
      <w:r>
        <w:rPr>
          <w:rFonts w:ascii="宋体" w:hAnsi="宋体"/>
          <w:b/>
          <w:sz w:val="32"/>
          <w:szCs w:val="32"/>
        </w:rPr>
        <w:t>对就业困难、弱势群体、特殊问题、建档立卡</w:t>
      </w:r>
      <w:r>
        <w:rPr>
          <w:rFonts w:hint="eastAsia" w:ascii="宋体" w:hAnsi="宋体"/>
          <w:b/>
          <w:sz w:val="32"/>
          <w:szCs w:val="32"/>
        </w:rPr>
        <w:t>毕业生</w:t>
      </w:r>
      <w:r>
        <w:rPr>
          <w:rFonts w:ascii="宋体" w:hAnsi="宋体"/>
          <w:b/>
          <w:sz w:val="32"/>
          <w:szCs w:val="32"/>
        </w:rPr>
        <w:t>帮扶情况</w:t>
      </w:r>
    </w:p>
    <w:p>
      <w:pPr>
        <w:spacing w:line="360" w:lineRule="auto"/>
        <w:ind w:firstLine="480" w:firstLineChars="200"/>
        <w:rPr>
          <w:rFonts w:hint="eastAsia" w:ascii="宋体" w:hAnsi="宋体"/>
          <w:sz w:val="24"/>
        </w:rPr>
      </w:pPr>
      <w:r>
        <w:rPr>
          <w:rFonts w:ascii="宋体" w:hAnsi="宋体"/>
          <w:sz w:val="24"/>
        </w:rPr>
        <w:t>我院高度重视就业困难、弱势群体、特殊问题毕业生帮扶工作，</w:t>
      </w:r>
      <w:r>
        <w:rPr>
          <w:rFonts w:hint="eastAsia" w:ascii="宋体" w:hAnsi="宋体"/>
          <w:sz w:val="24"/>
        </w:rPr>
        <w:t>建有双困生帮扶档案，</w:t>
      </w:r>
      <w:r>
        <w:rPr>
          <w:rFonts w:ascii="宋体" w:hAnsi="宋体"/>
          <w:sz w:val="24"/>
        </w:rPr>
        <w:t>系里明确就业指导与服务办公室、老师或辅导员与这些学生</w:t>
      </w:r>
      <w:r>
        <w:rPr>
          <w:rFonts w:hint="eastAsia" w:ascii="宋体" w:hAnsi="宋体"/>
          <w:sz w:val="24"/>
        </w:rPr>
        <w:t>“</w:t>
      </w:r>
      <w:r>
        <w:rPr>
          <w:rFonts w:ascii="宋体" w:hAnsi="宋体"/>
          <w:sz w:val="24"/>
        </w:rPr>
        <w:t>一对一</w:t>
      </w:r>
      <w:r>
        <w:rPr>
          <w:rFonts w:hint="eastAsia" w:ascii="宋体" w:hAnsi="宋体"/>
          <w:sz w:val="24"/>
        </w:rPr>
        <w:t>”</w:t>
      </w:r>
      <w:r>
        <w:rPr>
          <w:rFonts w:ascii="宋体" w:hAnsi="宋体"/>
          <w:sz w:val="24"/>
        </w:rPr>
        <w:t>结对子，有针对性地开展帮扶工作，取得了较好的实效。以下是</w:t>
      </w:r>
      <w:r>
        <w:rPr>
          <w:rFonts w:hint="eastAsia" w:ascii="宋体" w:hAnsi="宋体"/>
          <w:sz w:val="24"/>
        </w:rPr>
        <w:t>具体案例</w:t>
      </w:r>
      <w:r>
        <w:rPr>
          <w:rFonts w:ascii="宋体" w:hAnsi="宋体"/>
          <w:sz w:val="24"/>
        </w:rPr>
        <w:t>：</w:t>
      </w:r>
    </w:p>
    <w:p>
      <w:pPr>
        <w:spacing w:line="360" w:lineRule="auto"/>
        <w:ind w:firstLine="482" w:firstLineChars="200"/>
        <w:jc w:val="left"/>
        <w:rPr>
          <w:rFonts w:hint="eastAsia" w:ascii="宋体" w:hAnsi="宋体" w:cs="宋体"/>
          <w:sz w:val="24"/>
        </w:rPr>
      </w:pPr>
      <w:r>
        <w:rPr>
          <w:rFonts w:hint="eastAsia" w:ascii="宋体" w:hAnsi="宋体" w:cs="宋体"/>
          <w:b/>
          <w:bCs/>
          <w:sz w:val="24"/>
        </w:rPr>
        <w:t>李然然</w:t>
      </w:r>
      <w:r>
        <w:rPr>
          <w:rFonts w:hint="eastAsia" w:ascii="宋体" w:hAnsi="宋体" w:cs="宋体"/>
          <w:sz w:val="24"/>
        </w:rPr>
        <w:t>，2022届生物工程毕业生，该生性格内向，对自身的职业目标和职业要求定位模糊，以至于到了2022年4月份仍然没有合适的工作单位。</w:t>
      </w:r>
    </w:p>
    <w:p>
      <w:pPr>
        <w:spacing w:line="360" w:lineRule="auto"/>
        <w:ind w:firstLine="480" w:firstLineChars="200"/>
        <w:jc w:val="left"/>
        <w:rPr>
          <w:rFonts w:hint="eastAsia" w:ascii="宋体" w:hAnsi="宋体" w:cs="宋体"/>
          <w:sz w:val="24"/>
        </w:rPr>
      </w:pPr>
      <w:r>
        <w:rPr>
          <w:rFonts w:hint="eastAsia" w:ascii="宋体" w:hAnsi="宋体" w:cs="宋体"/>
          <w:sz w:val="24"/>
        </w:rPr>
        <w:t>根据辅导员陈玲老师了解到她的特殊情况后，进行了专项帮扶，具体措施如下：</w:t>
      </w:r>
    </w:p>
    <w:p>
      <w:pPr>
        <w:spacing w:line="360" w:lineRule="auto"/>
        <w:ind w:firstLine="480" w:firstLineChars="200"/>
        <w:jc w:val="left"/>
        <w:rPr>
          <w:rFonts w:hint="eastAsia" w:ascii="宋体" w:hAnsi="宋体" w:cs="宋体"/>
          <w:sz w:val="24"/>
        </w:rPr>
      </w:pPr>
      <w:r>
        <w:rPr>
          <w:rFonts w:hint="eastAsia" w:ascii="宋体" w:hAnsi="宋体" w:cs="宋体"/>
          <w:sz w:val="24"/>
        </w:rPr>
        <w:t>1、通过谈心谈话、利用生涯平衡单等工具和方法，帮助李然然厘清就业需求，分析自身的就业优势和不足。</w:t>
      </w:r>
    </w:p>
    <w:p>
      <w:pPr>
        <w:spacing w:line="360" w:lineRule="auto"/>
        <w:ind w:firstLine="480" w:firstLineChars="200"/>
        <w:jc w:val="left"/>
        <w:rPr>
          <w:rFonts w:hint="eastAsia" w:ascii="宋体" w:hAnsi="宋体" w:cs="宋体"/>
          <w:sz w:val="24"/>
        </w:rPr>
      </w:pPr>
      <w:r>
        <w:rPr>
          <w:rFonts w:hint="eastAsia" w:ascii="宋体" w:hAnsi="宋体" w:cs="宋体"/>
          <w:sz w:val="24"/>
        </w:rPr>
        <w:t>2、针对该生表达能力欠佳、实验动手能力不强的弱势，辅导员经常性地对其进行一对一指导，亲自修改其简历，指导面试技巧，并与专业教师一起加大该生的实验操作技能。</w:t>
      </w:r>
    </w:p>
    <w:p>
      <w:pPr>
        <w:spacing w:line="360" w:lineRule="auto"/>
        <w:ind w:firstLine="480" w:firstLineChars="200"/>
        <w:jc w:val="left"/>
        <w:rPr>
          <w:rFonts w:hint="eastAsia" w:ascii="宋体" w:hAnsi="宋体" w:cs="宋体"/>
          <w:sz w:val="24"/>
        </w:rPr>
      </w:pPr>
      <w:r>
        <w:rPr>
          <w:rFonts w:hint="eastAsia" w:ascii="宋体" w:hAnsi="宋体" w:cs="宋体"/>
          <w:sz w:val="24"/>
        </w:rPr>
        <w:t>3、遴选并重点推荐就业单位，综合分析学生的就业需求，辅导员向学生重点推荐了合肥伊利乳业，并与单位人力资源部经理单独推荐，最终，该生被合肥伊利录用为生产人员，实现了成功就业。</w:t>
      </w:r>
    </w:p>
    <w:p>
      <w:pPr>
        <w:spacing w:line="360" w:lineRule="auto"/>
        <w:ind w:firstLine="482" w:firstLineChars="200"/>
        <w:jc w:val="left"/>
        <w:rPr>
          <w:rFonts w:hint="eastAsia" w:ascii="宋体" w:hAnsi="宋体" w:cs="宋体"/>
          <w:sz w:val="24"/>
        </w:rPr>
      </w:pPr>
      <w:r>
        <w:rPr>
          <w:rFonts w:ascii="宋体" w:hAnsi="宋体" w:cs="宋体"/>
          <w:b/>
          <w:bCs/>
          <w:sz w:val="24"/>
        </w:rPr>
        <w:t>吴悠洁</w:t>
      </w:r>
      <w:r>
        <w:rPr>
          <w:rFonts w:ascii="宋体" w:hAnsi="宋体" w:cs="宋体"/>
          <w:sz w:val="24"/>
        </w:rPr>
        <w:t>，2</w:t>
      </w:r>
      <w:r>
        <w:rPr>
          <w:rFonts w:hint="eastAsia" w:ascii="宋体" w:hAnsi="宋体" w:cs="宋体"/>
          <w:sz w:val="24"/>
        </w:rPr>
        <w:t>2</w:t>
      </w:r>
      <w:r>
        <w:rPr>
          <w:rFonts w:ascii="宋体" w:hAnsi="宋体" w:cs="宋体"/>
          <w:sz w:val="24"/>
        </w:rPr>
        <w:t>届生物工程专业毕业生。该生是江苏人，大学期间学业一直较为困难，加上性格内向，不愿与人过多交流，导致毕业时就业困难。因了解学生想回老家的想法，辅导员陈玲老师多次重点推荐江苏的就业单位，但该生都因面试效果差而被拒绝了，这又加重了学生</w:t>
      </w:r>
      <w:r>
        <w:rPr>
          <w:rFonts w:hint="eastAsia" w:ascii="宋体" w:hAnsi="宋体" w:cs="宋体"/>
          <w:sz w:val="24"/>
        </w:rPr>
        <w:t>的求职困难。辅导员后来多次来到宿舍，与其谈心聊天，逐步打开其心扉，帮助其发现自身优势，勇敢迈出求职步伐。辅导员重点推荐了学院的校友企业，位于江苏的苏州汉德创宏生化科技有限公司，辅导员亲自帮助其投递简历，与单位人事联系沟通，最终帮助该生顺利签约。</w:t>
      </w:r>
    </w:p>
    <w:p>
      <w:pPr>
        <w:spacing w:line="360" w:lineRule="auto"/>
        <w:ind w:firstLine="482" w:firstLineChars="200"/>
        <w:rPr>
          <w:rFonts w:hint="eastAsia" w:ascii="宋体" w:hAnsi="宋体"/>
          <w:b/>
          <w:color w:val="000000"/>
          <w:sz w:val="24"/>
        </w:rPr>
      </w:pPr>
      <w:r>
        <w:rPr>
          <w:rFonts w:hint="eastAsia" w:ascii="宋体" w:hAnsi="宋体"/>
          <w:b/>
          <w:color w:val="000000"/>
          <w:sz w:val="24"/>
        </w:rPr>
        <w:t>原建档立卡学生情况</w:t>
      </w:r>
    </w:p>
    <w:p>
      <w:pPr>
        <w:spacing w:line="360" w:lineRule="auto"/>
        <w:ind w:firstLine="480" w:firstLineChars="200"/>
        <w:rPr>
          <w:rFonts w:hint="eastAsia" w:ascii="宋体" w:hAnsi="宋体" w:cs="宋体"/>
          <w:sz w:val="24"/>
        </w:rPr>
      </w:pPr>
      <w:r>
        <w:rPr>
          <w:rFonts w:hint="eastAsia" w:ascii="宋体" w:hAnsi="宋体"/>
          <w:sz w:val="24"/>
        </w:rPr>
        <w:t>我院今年共18位特殊群体需要帮扶的毕业生，截止12月1</w:t>
      </w:r>
      <w:r>
        <w:rPr>
          <w:rFonts w:hint="eastAsia" w:ascii="宋体" w:hAnsi="宋体" w:cs="宋体"/>
          <w:sz w:val="24"/>
        </w:rPr>
        <w:t>0日，8位考取硕士研究生，8位进入单位就业。其中18环境工程班</w:t>
      </w:r>
      <w:r>
        <w:rPr>
          <w:rFonts w:ascii="宋体" w:hAnsi="宋体" w:cs="宋体"/>
          <w:sz w:val="24"/>
        </w:rPr>
        <w:t>孙训武同学，家庭经济困难，属于原建档立卡家庭。该生考研失利后本打算二战，辅导员赵暮雨多次进行谈话，对其考研失利进行心理疏导，并从职业生涯规划的角度进行分析，考虑到家庭情况、社会环境，鼓励该生边工作边二战。我院党委副书记笪春年也亲自谈话引导其认真规划人生，学院为该生推荐多个工作，最终该生成功应聘到合肥伊利乳业有限公司。</w:t>
      </w:r>
    </w:p>
    <w:p>
      <w:pPr>
        <w:spacing w:line="360" w:lineRule="auto"/>
        <w:jc w:val="center"/>
        <w:rPr>
          <w:rFonts w:hint="eastAsia" w:ascii="宋体" w:hAnsi="宋体"/>
          <w:b/>
          <w:sz w:val="28"/>
          <w:szCs w:val="28"/>
        </w:rPr>
      </w:pPr>
      <w:r>
        <w:rPr>
          <w:rFonts w:hint="eastAsia" w:ascii="宋体" w:hAnsi="宋体"/>
          <w:b/>
          <w:sz w:val="28"/>
          <w:szCs w:val="28"/>
        </w:rPr>
        <w:t>第六部分  毕业生跟踪调查情况</w:t>
      </w:r>
    </w:p>
    <w:p>
      <w:pPr>
        <w:spacing w:line="360" w:lineRule="auto"/>
        <w:ind w:firstLine="480" w:firstLineChars="200"/>
        <w:rPr>
          <w:rFonts w:hint="eastAsia" w:ascii="宋体" w:hAnsi="宋体"/>
          <w:sz w:val="24"/>
        </w:rPr>
      </w:pPr>
      <w:r>
        <w:rPr>
          <w:rFonts w:hint="eastAsia" w:ascii="宋体" w:hAnsi="宋体"/>
          <w:sz w:val="24"/>
        </w:rPr>
        <w:t>2022年7月初，</w:t>
      </w:r>
      <w:r>
        <w:rPr>
          <w:rFonts w:ascii="宋体" w:hAnsi="宋体"/>
          <w:sz w:val="24"/>
        </w:rPr>
        <w:t>我院</w:t>
      </w:r>
      <w:r>
        <w:rPr>
          <w:rFonts w:hint="eastAsia" w:ascii="宋体" w:hAnsi="宋体"/>
          <w:sz w:val="24"/>
        </w:rPr>
        <w:t>22</w:t>
      </w:r>
      <w:r>
        <w:rPr>
          <w:rFonts w:ascii="宋体" w:hAnsi="宋体"/>
          <w:sz w:val="24"/>
        </w:rPr>
        <w:t>届</w:t>
      </w:r>
      <w:r>
        <w:rPr>
          <w:rFonts w:hint="eastAsia" w:ascii="宋体" w:hAnsi="宋体"/>
          <w:sz w:val="24"/>
        </w:rPr>
        <w:t>216</w:t>
      </w:r>
      <w:r>
        <w:rPr>
          <w:rFonts w:ascii="宋体" w:hAnsi="宋体"/>
          <w:sz w:val="24"/>
        </w:rPr>
        <w:t>名毕业生全部离校，提交就业协议份、劳动合同等就业材料</w:t>
      </w:r>
      <w:r>
        <w:rPr>
          <w:rFonts w:hint="eastAsia" w:ascii="宋体" w:hAnsi="宋体"/>
          <w:sz w:val="24"/>
        </w:rPr>
        <w:t>124份</w:t>
      </w:r>
      <w:r>
        <w:rPr>
          <w:rFonts w:ascii="宋体" w:hAnsi="宋体"/>
          <w:sz w:val="24"/>
        </w:rPr>
        <w:t>；硕士研究生录取</w:t>
      </w:r>
      <w:r>
        <w:rPr>
          <w:rFonts w:hint="eastAsia" w:ascii="宋体" w:hAnsi="宋体"/>
          <w:sz w:val="24"/>
        </w:rPr>
        <w:t>80人</w:t>
      </w:r>
      <w:r>
        <w:rPr>
          <w:rFonts w:ascii="宋体" w:hAnsi="宋体"/>
          <w:sz w:val="24"/>
        </w:rPr>
        <w:t>；</w:t>
      </w:r>
      <w:r>
        <w:rPr>
          <w:rFonts w:hint="eastAsia" w:ascii="宋体" w:hAnsi="宋体"/>
          <w:sz w:val="24"/>
        </w:rPr>
        <w:t>综合</w:t>
      </w:r>
      <w:r>
        <w:rPr>
          <w:rFonts w:ascii="宋体" w:hAnsi="宋体"/>
          <w:sz w:val="24"/>
        </w:rPr>
        <w:t>就业率为</w:t>
      </w:r>
      <w:r>
        <w:rPr>
          <w:rFonts w:hint="eastAsia" w:ascii="宋体" w:hAnsi="宋体"/>
          <w:sz w:val="24"/>
        </w:rPr>
        <w:t>94.44</w:t>
      </w:r>
      <w:r>
        <w:rPr>
          <w:rFonts w:ascii="宋体" w:hAnsi="宋体"/>
          <w:sz w:val="24"/>
        </w:rPr>
        <w:t>%。</w:t>
      </w:r>
    </w:p>
    <w:p>
      <w:pPr>
        <w:spacing w:line="360" w:lineRule="auto"/>
        <w:ind w:firstLine="480" w:firstLineChars="200"/>
        <w:rPr>
          <w:rFonts w:hint="eastAsia" w:ascii="宋体" w:hAnsi="宋体"/>
          <w:sz w:val="24"/>
        </w:rPr>
      </w:pPr>
      <w:r>
        <w:rPr>
          <w:rFonts w:hint="eastAsia" w:ascii="宋体" w:hAnsi="宋体"/>
          <w:sz w:val="24"/>
        </w:rPr>
        <w:t>整体</w:t>
      </w:r>
      <w:r>
        <w:rPr>
          <w:rFonts w:ascii="宋体" w:hAnsi="宋体"/>
          <w:sz w:val="24"/>
        </w:rPr>
        <w:t>就业情况：从就业单位看，行业内的为</w:t>
      </w:r>
      <w:r>
        <w:rPr>
          <w:rFonts w:hint="eastAsia" w:ascii="宋体" w:hAnsi="宋体"/>
          <w:sz w:val="24"/>
        </w:rPr>
        <w:t>116</w:t>
      </w:r>
      <w:r>
        <w:rPr>
          <w:rFonts w:ascii="宋体" w:hAnsi="宋体"/>
          <w:sz w:val="24"/>
        </w:rPr>
        <w:t>人</w:t>
      </w:r>
      <w:r>
        <w:rPr>
          <w:rFonts w:hint="eastAsia" w:ascii="宋体" w:hAnsi="宋体"/>
          <w:sz w:val="24"/>
        </w:rPr>
        <w:t>（其中考研录取行业内70人）</w:t>
      </w:r>
      <w:r>
        <w:rPr>
          <w:rFonts w:ascii="宋体" w:hAnsi="宋体"/>
          <w:sz w:val="24"/>
        </w:rPr>
        <w:t>，占已就业人数的</w:t>
      </w:r>
      <w:r>
        <w:rPr>
          <w:rFonts w:hint="eastAsia" w:ascii="宋体" w:hAnsi="宋体"/>
          <w:sz w:val="24"/>
        </w:rPr>
        <w:t>56.84</w:t>
      </w:r>
      <w:r>
        <w:rPr>
          <w:rFonts w:ascii="宋体" w:hAnsi="宋体"/>
          <w:sz w:val="24"/>
        </w:rPr>
        <w:t>%；行业外的</w:t>
      </w:r>
      <w:r>
        <w:rPr>
          <w:rFonts w:hint="eastAsia" w:ascii="宋体" w:hAnsi="宋体"/>
          <w:sz w:val="24"/>
        </w:rPr>
        <w:t>88</w:t>
      </w:r>
      <w:r>
        <w:rPr>
          <w:rFonts w:ascii="宋体" w:hAnsi="宋体"/>
          <w:sz w:val="24"/>
        </w:rPr>
        <w:t>人，占已就业人数的</w:t>
      </w:r>
      <w:r>
        <w:rPr>
          <w:rFonts w:hint="eastAsia" w:ascii="宋体" w:hAnsi="宋体"/>
          <w:sz w:val="24"/>
        </w:rPr>
        <w:t>43.14</w:t>
      </w:r>
      <w:r>
        <w:rPr>
          <w:rFonts w:ascii="宋体" w:hAnsi="宋体"/>
          <w:sz w:val="24"/>
        </w:rPr>
        <w:t>%；从就业地域看，在省内就业的</w:t>
      </w:r>
      <w:r>
        <w:rPr>
          <w:rFonts w:hint="eastAsia" w:ascii="宋体" w:hAnsi="宋体"/>
          <w:sz w:val="24"/>
        </w:rPr>
        <w:t>96</w:t>
      </w:r>
      <w:r>
        <w:rPr>
          <w:rFonts w:ascii="宋体" w:hAnsi="宋体"/>
          <w:sz w:val="24"/>
        </w:rPr>
        <w:t>人，占已就业人数的</w:t>
      </w:r>
      <w:r>
        <w:rPr>
          <w:rFonts w:hint="eastAsia" w:ascii="宋体" w:hAnsi="宋体"/>
          <w:sz w:val="24"/>
        </w:rPr>
        <w:t>47.06</w:t>
      </w:r>
      <w:r>
        <w:rPr>
          <w:rFonts w:ascii="宋体" w:hAnsi="宋体"/>
          <w:sz w:val="24"/>
        </w:rPr>
        <w:t>%（其中在合肥就业的</w:t>
      </w:r>
      <w:r>
        <w:rPr>
          <w:rFonts w:hint="eastAsia" w:ascii="宋体" w:hAnsi="宋体"/>
          <w:sz w:val="24"/>
        </w:rPr>
        <w:t>78</w:t>
      </w:r>
      <w:r>
        <w:rPr>
          <w:rFonts w:ascii="宋体" w:hAnsi="宋体"/>
          <w:sz w:val="24"/>
        </w:rPr>
        <w:t>人，占已就业人数的</w:t>
      </w:r>
      <w:r>
        <w:rPr>
          <w:rFonts w:hint="eastAsia" w:ascii="宋体" w:hAnsi="宋体"/>
          <w:sz w:val="24"/>
        </w:rPr>
        <w:t>38.24</w:t>
      </w:r>
      <w:r>
        <w:rPr>
          <w:rFonts w:ascii="宋体" w:hAnsi="宋体"/>
          <w:sz w:val="24"/>
        </w:rPr>
        <w:t>%）；到江、浙</w:t>
      </w:r>
      <w:r>
        <w:rPr>
          <w:rFonts w:hint="eastAsia" w:ascii="宋体" w:hAnsi="宋体"/>
          <w:sz w:val="24"/>
        </w:rPr>
        <w:t>、沪、两广</w:t>
      </w:r>
      <w:r>
        <w:rPr>
          <w:rFonts w:ascii="宋体" w:hAnsi="宋体"/>
          <w:sz w:val="24"/>
        </w:rPr>
        <w:t>就业的</w:t>
      </w:r>
      <w:r>
        <w:rPr>
          <w:rFonts w:hint="eastAsia" w:ascii="宋体" w:hAnsi="宋体"/>
          <w:sz w:val="24"/>
        </w:rPr>
        <w:t>58</w:t>
      </w:r>
      <w:r>
        <w:rPr>
          <w:rFonts w:ascii="宋体" w:hAnsi="宋体"/>
          <w:sz w:val="24"/>
        </w:rPr>
        <w:t>人，占已就业人数的</w:t>
      </w:r>
      <w:r>
        <w:rPr>
          <w:rFonts w:hint="eastAsia" w:ascii="宋体" w:hAnsi="宋体"/>
          <w:sz w:val="24"/>
        </w:rPr>
        <w:t>28.43</w:t>
      </w:r>
      <w:r>
        <w:rPr>
          <w:rFonts w:ascii="宋体" w:hAnsi="宋体"/>
          <w:sz w:val="24"/>
        </w:rPr>
        <w:t>%；</w:t>
      </w:r>
      <w:r>
        <w:rPr>
          <w:rFonts w:hint="eastAsia" w:ascii="宋体" w:hAnsi="宋体"/>
          <w:sz w:val="24"/>
        </w:rPr>
        <w:t>其他地区就业的14人，占已就业人数的6.9%</w:t>
      </w:r>
      <w:r>
        <w:rPr>
          <w:rFonts w:ascii="宋体" w:hAnsi="宋体"/>
          <w:sz w:val="24"/>
        </w:rPr>
        <w:t>。</w:t>
      </w:r>
    </w:p>
    <w:p>
      <w:pPr>
        <w:spacing w:line="360" w:lineRule="auto"/>
        <w:ind w:firstLine="480" w:firstLineChars="200"/>
        <w:rPr>
          <w:rFonts w:ascii="宋体" w:hAnsi="宋体"/>
          <w:sz w:val="24"/>
        </w:rPr>
      </w:pPr>
      <w:r>
        <w:rPr>
          <w:rFonts w:ascii="宋体" w:hAnsi="宋体"/>
          <w:sz w:val="24"/>
        </w:rPr>
        <w:t>经过近</w:t>
      </w:r>
      <w:r>
        <w:rPr>
          <w:rFonts w:hint="eastAsia" w:ascii="宋体" w:hAnsi="宋体"/>
          <w:sz w:val="24"/>
        </w:rPr>
        <w:t>半年</w:t>
      </w:r>
      <w:r>
        <w:rPr>
          <w:rFonts w:ascii="宋体" w:hAnsi="宋体"/>
          <w:sz w:val="24"/>
        </w:rPr>
        <w:t>的工作历练，截止到20</w:t>
      </w:r>
      <w:r>
        <w:rPr>
          <w:rFonts w:hint="eastAsia" w:ascii="宋体" w:hAnsi="宋体"/>
          <w:sz w:val="24"/>
        </w:rPr>
        <w:t>22</w:t>
      </w:r>
      <w:r>
        <w:rPr>
          <w:rFonts w:ascii="宋体" w:hAnsi="宋体"/>
          <w:sz w:val="24"/>
        </w:rPr>
        <w:t>年</w:t>
      </w:r>
      <w:r>
        <w:rPr>
          <w:rFonts w:hint="eastAsia" w:ascii="宋体" w:hAnsi="宋体"/>
          <w:sz w:val="24"/>
        </w:rPr>
        <w:t>12</w:t>
      </w:r>
      <w:r>
        <w:rPr>
          <w:rFonts w:ascii="宋体" w:hAnsi="宋体"/>
          <w:sz w:val="24"/>
        </w:rPr>
        <w:t>月</w:t>
      </w:r>
      <w:r>
        <w:rPr>
          <w:rFonts w:hint="eastAsia" w:ascii="宋体" w:hAnsi="宋体"/>
          <w:sz w:val="24"/>
        </w:rPr>
        <w:t>31</w:t>
      </w:r>
      <w:r>
        <w:rPr>
          <w:rFonts w:ascii="宋体" w:hAnsi="宋体"/>
          <w:sz w:val="24"/>
        </w:rPr>
        <w:t>日，</w:t>
      </w:r>
      <w:r>
        <w:rPr>
          <w:rFonts w:hint="eastAsia" w:ascii="宋体" w:hAnsi="宋体"/>
          <w:sz w:val="24"/>
        </w:rPr>
        <w:t>22</w:t>
      </w:r>
      <w:r>
        <w:rPr>
          <w:rFonts w:ascii="宋体" w:hAnsi="宋体"/>
          <w:sz w:val="24"/>
        </w:rPr>
        <w:t>届毕业生有了如下的变动：</w:t>
      </w:r>
    </w:p>
    <w:p>
      <w:pPr>
        <w:spacing w:line="360" w:lineRule="auto"/>
        <w:ind w:firstLine="480" w:firstLineChars="200"/>
        <w:rPr>
          <w:rFonts w:hint="eastAsia" w:ascii="宋体" w:hAnsi="宋体" w:cs="宋体"/>
          <w:sz w:val="24"/>
        </w:rPr>
      </w:pPr>
      <w:r>
        <w:rPr>
          <w:rFonts w:hint="eastAsia" w:ascii="宋体" w:hAnsi="宋体"/>
          <w:sz w:val="24"/>
        </w:rPr>
        <w:t>1名同学录用地方基层项目：18级生物工程专业胡晓楠顺利考取并入职</w:t>
      </w:r>
      <w:r>
        <w:rPr>
          <w:rFonts w:hint="eastAsia" w:ascii="宋体" w:hAnsi="宋体" w:cs="宋体"/>
          <w:sz w:val="24"/>
        </w:rPr>
        <w:t>合肥市经开区高刘街道长岗四冲居委会，成为一名社区小管家。</w:t>
      </w:r>
    </w:p>
    <w:p>
      <w:pPr>
        <w:spacing w:line="360" w:lineRule="auto"/>
        <w:ind w:firstLine="480" w:firstLineChars="200"/>
        <w:rPr>
          <w:rFonts w:hint="eastAsia" w:ascii="宋体" w:hAnsi="宋体" w:cs="宋体"/>
          <w:sz w:val="24"/>
        </w:rPr>
      </w:pPr>
      <w:r>
        <w:rPr>
          <w:rFonts w:hint="eastAsia" w:ascii="宋体" w:hAnsi="宋体"/>
          <w:sz w:val="24"/>
        </w:rPr>
        <w:t>1名毕业生参军入伍：古道鹏。</w:t>
      </w:r>
    </w:p>
    <w:p>
      <w:pPr>
        <w:spacing w:line="360" w:lineRule="auto"/>
        <w:jc w:val="center"/>
        <w:rPr>
          <w:rFonts w:hint="eastAsia" w:ascii="宋体" w:hAnsi="宋体"/>
          <w:b/>
          <w:sz w:val="28"/>
          <w:szCs w:val="28"/>
        </w:rPr>
      </w:pPr>
      <w:r>
        <w:rPr>
          <w:rFonts w:hint="eastAsia" w:ascii="宋体" w:hAnsi="宋体"/>
          <w:b/>
          <w:sz w:val="28"/>
          <w:szCs w:val="28"/>
        </w:rPr>
        <w:t>第七部分  基层就业情况和案例</w:t>
      </w:r>
    </w:p>
    <w:p>
      <w:pPr>
        <w:spacing w:line="360" w:lineRule="auto"/>
        <w:ind w:firstLine="482" w:firstLineChars="200"/>
        <w:rPr>
          <w:rFonts w:hint="eastAsia" w:ascii="宋体" w:hAnsi="宋体"/>
          <w:b/>
          <w:sz w:val="24"/>
        </w:rPr>
      </w:pPr>
      <w:r>
        <w:rPr>
          <w:rFonts w:hint="eastAsia" w:ascii="宋体" w:hAnsi="宋体"/>
          <w:b/>
          <w:sz w:val="24"/>
        </w:rPr>
        <w:t>公务员考取案例：</w:t>
      </w:r>
    </w:p>
    <w:p>
      <w:pPr>
        <w:spacing w:line="560" w:lineRule="exact"/>
        <w:ind w:firstLine="480" w:firstLineChars="200"/>
        <w:rPr>
          <w:rFonts w:ascii="宋体" w:hAnsi="宋体" w:cs="宋体"/>
          <w:sz w:val="24"/>
        </w:rPr>
      </w:pPr>
      <w:r>
        <w:rPr>
          <w:rFonts w:hint="eastAsia" w:ascii="宋体" w:hAnsi="宋体" w:cs="宋体"/>
          <w:sz w:val="24"/>
        </w:rPr>
        <w:t>我院22届环境工程专业王漫漫同学，该生就业目标坚定，从大三上学期开始就一直积极备考公务员、事业单位、教师招聘等考试。学院和辅导员赵暮雨老师也积极支持该生的各项准备工作，备考初期指导备考方式以及备考重点、尤其是面临疫情等不确定因素导致的考试延期和选岗问题以及考试繁杂、时间统筹等相关问题及时给予理论指导以及心理疏通并及时将基层岗位、考编考公信息通过线上线下具体分析告知考生，达到一生一策具体问题具体对待。</w:t>
      </w:r>
    </w:p>
    <w:p>
      <w:pPr>
        <w:spacing w:line="560" w:lineRule="exact"/>
        <w:ind w:firstLine="480" w:firstLineChars="200"/>
        <w:rPr>
          <w:rFonts w:hint="eastAsia" w:ascii="宋体" w:hAnsi="宋体" w:cs="宋体"/>
          <w:sz w:val="24"/>
        </w:rPr>
      </w:pPr>
      <w:r>
        <w:rPr>
          <w:rFonts w:hint="eastAsia" w:ascii="宋体" w:hAnsi="宋体" w:cs="宋体"/>
          <w:sz w:val="24"/>
        </w:rPr>
        <w:t>今年六月初考试重启，辅导员对该生就业进展情况及时跟进并给予指导与鼓励，七月份该生同时收到阜阳六中初中数学教师以及六安市金安区发改委两份面试通知书，并以第一名成绩于今年八月份录取到六安市金安区发改委机关单位工作。</w:t>
      </w:r>
    </w:p>
    <w:p>
      <w:pPr>
        <w:spacing w:line="360" w:lineRule="auto"/>
        <w:jc w:val="center"/>
        <w:rPr>
          <w:rFonts w:ascii="宋体" w:hAnsi="宋体"/>
          <w:sz w:val="24"/>
        </w:rPr>
      </w:pPr>
      <w:r>
        <w:fldChar w:fldCharType="begin"/>
      </w:r>
      <w:r>
        <w:instrText xml:space="preserve"> INCLUDEPICTURE "C:\\Users\\chenling\\Documents\\Tencent Files\\1255034741\\Image\\C2C\\1026472149-3801236500-B18D25DBB462387B96DF797897466635.JPG" \* MERGEFORMATINET </w:instrText>
      </w:r>
      <w:r>
        <w:fldChar w:fldCharType="separate"/>
      </w:r>
      <w:r>
        <w:drawing>
          <wp:inline distT="0" distB="0" distL="114300" distR="114300">
            <wp:extent cx="2406015" cy="1799590"/>
            <wp:effectExtent l="0" t="0" r="3810" b="635"/>
            <wp:docPr id="52" name="图片 17" descr="1026472149-3801236500-B18D25DBB462387B96DF797897466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7" descr="1026472149-3801236500-B18D25DBB462387B96DF797897466635"/>
                    <pic:cNvPicPr>
                      <a:picLocks noChangeAspect="1"/>
                    </pic:cNvPicPr>
                  </pic:nvPicPr>
                  <pic:blipFill>
                    <a:blip r:embed="rId34"/>
                    <a:stretch>
                      <a:fillRect/>
                    </a:stretch>
                  </pic:blipFill>
                  <pic:spPr>
                    <a:xfrm>
                      <a:off x="0" y="0"/>
                      <a:ext cx="2406015" cy="1799590"/>
                    </a:xfrm>
                    <a:prstGeom prst="rect">
                      <a:avLst/>
                    </a:prstGeom>
                    <a:noFill/>
                    <a:ln>
                      <a:noFill/>
                    </a:ln>
                  </pic:spPr>
                </pic:pic>
              </a:graphicData>
            </a:graphic>
          </wp:inline>
        </w:drawing>
      </w:r>
      <w:r>
        <w:fldChar w:fldCharType="end"/>
      </w:r>
      <w:r>
        <w:rPr>
          <w:rFonts w:hint="eastAsia"/>
        </w:rPr>
        <w:t xml:space="preserve"> </w:t>
      </w:r>
      <w:r>
        <w:fldChar w:fldCharType="begin"/>
      </w:r>
      <w:r>
        <w:instrText xml:space="preserve"> INCLUDEPICTURE "C:\\Users\\chenling\\Documents\\Tencent Files\\1255034741\\Image\\C2C\\1026472149-3405784317-DB802232E7CADC89C8969F9B0F3090A5.JPG" \* MERGEFORMATINET </w:instrText>
      </w:r>
      <w:r>
        <w:fldChar w:fldCharType="separate"/>
      </w:r>
      <w:r>
        <w:drawing>
          <wp:inline distT="0" distB="0" distL="114300" distR="114300">
            <wp:extent cx="2400300" cy="1799590"/>
            <wp:effectExtent l="0" t="0" r="0" b="635"/>
            <wp:docPr id="50" name="图片 18" descr="1026472149-3405784317-DB802232E7CADC89C8969F9B0F3090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8" descr="1026472149-3405784317-DB802232E7CADC89C8969F9B0F3090A5"/>
                    <pic:cNvPicPr>
                      <a:picLocks noChangeAspect="1"/>
                    </pic:cNvPicPr>
                  </pic:nvPicPr>
                  <pic:blipFill>
                    <a:blip r:embed="rId35"/>
                    <a:stretch>
                      <a:fillRect/>
                    </a:stretch>
                  </pic:blipFill>
                  <pic:spPr>
                    <a:xfrm>
                      <a:off x="0" y="0"/>
                      <a:ext cx="2400300" cy="1799590"/>
                    </a:xfrm>
                    <a:prstGeom prst="rect">
                      <a:avLst/>
                    </a:prstGeom>
                    <a:noFill/>
                    <a:ln>
                      <a:noFill/>
                    </a:ln>
                  </pic:spPr>
                </pic:pic>
              </a:graphicData>
            </a:graphic>
          </wp:inline>
        </w:drawing>
      </w:r>
      <w:r>
        <w:fldChar w:fldCharType="end"/>
      </w:r>
    </w:p>
    <w:p>
      <w:pPr>
        <w:spacing w:line="560" w:lineRule="exact"/>
        <w:ind w:firstLine="562" w:firstLineChars="200"/>
        <w:rPr>
          <w:rFonts w:hint="eastAsia" w:ascii="宋体" w:hAnsi="宋体"/>
          <w:b/>
          <w:sz w:val="28"/>
          <w:szCs w:val="28"/>
        </w:rPr>
      </w:pPr>
    </w:p>
    <w:p>
      <w:pPr>
        <w:spacing w:line="360" w:lineRule="auto"/>
        <w:ind w:firstLine="482" w:firstLineChars="200"/>
        <w:rPr>
          <w:rFonts w:hint="eastAsia" w:ascii="宋体" w:hAnsi="宋体"/>
          <w:b/>
          <w:sz w:val="24"/>
        </w:rPr>
      </w:pPr>
      <w:r>
        <w:rPr>
          <w:rFonts w:hint="eastAsia" w:ascii="宋体" w:hAnsi="宋体"/>
          <w:b/>
          <w:sz w:val="24"/>
        </w:rPr>
        <w:t>西部计划专项工作</w:t>
      </w:r>
      <w:r>
        <w:rPr>
          <w:rFonts w:ascii="宋体" w:hAnsi="宋体"/>
          <w:b/>
          <w:sz w:val="24"/>
        </w:rPr>
        <w:t>：</w:t>
      </w:r>
    </w:p>
    <w:p>
      <w:pPr>
        <w:spacing w:line="360" w:lineRule="auto"/>
        <w:ind w:firstLine="480" w:firstLineChars="200"/>
        <w:rPr>
          <w:rFonts w:ascii="宋体" w:hAnsi="宋体" w:cs="宋体"/>
          <w:sz w:val="24"/>
        </w:rPr>
      </w:pPr>
      <w:r>
        <w:rPr>
          <w:rFonts w:hint="eastAsia" w:ascii="宋体" w:hAnsi="宋体" w:cs="宋体"/>
          <w:sz w:val="24"/>
        </w:rPr>
        <w:t>我院积极响应中央号召、动员2022届毕业生服务于基层项目，积极动员学院应届毕业生了解、报名参加西部计划专项工作。</w:t>
      </w:r>
    </w:p>
    <w:p>
      <w:pPr>
        <w:spacing w:line="360" w:lineRule="auto"/>
        <w:ind w:firstLine="480" w:firstLineChars="200"/>
        <w:rPr>
          <w:rFonts w:hint="eastAsia" w:ascii="宋体" w:hAnsi="宋体" w:cs="宋体"/>
          <w:sz w:val="24"/>
        </w:rPr>
      </w:pPr>
      <w:r>
        <w:rPr>
          <w:rFonts w:hint="eastAsia" w:ascii="宋体" w:hAnsi="宋体" w:cs="宋体"/>
          <w:sz w:val="24"/>
        </w:rPr>
        <w:t>经过学院、团省委的层层考量、选拔，18级环境工程</w:t>
      </w:r>
      <w:r>
        <w:rPr>
          <w:rFonts w:ascii="宋体" w:hAnsi="宋体" w:cs="宋体"/>
          <w:sz w:val="24"/>
        </w:rPr>
        <w:t>孙欣茹、黄淑琦、</w:t>
      </w:r>
      <w:r>
        <w:rPr>
          <w:rFonts w:hint="eastAsia" w:ascii="宋体" w:hAnsi="宋体" w:cs="宋体"/>
          <w:sz w:val="24"/>
        </w:rPr>
        <w:t>18级生物工程班顾凯旋三位同学均被成功录用。成为我院顺利参加西部计划人数最多的一年。</w:t>
      </w:r>
    </w:p>
    <w:p>
      <w:pPr>
        <w:spacing w:line="360" w:lineRule="auto"/>
        <w:ind w:firstLine="480" w:firstLineChars="200"/>
        <w:rPr>
          <w:rFonts w:hint="eastAsia" w:ascii="宋体" w:hAnsi="宋体" w:cs="宋体"/>
          <w:sz w:val="24"/>
        </w:rPr>
      </w:pPr>
      <w:r>
        <w:rPr>
          <w:rFonts w:ascii="宋体" w:hAnsi="宋体" w:cs="宋体"/>
          <w:sz w:val="24"/>
        </w:rPr>
        <w:t>孙欣茹，目前服务于新疆维吾尔族自治区和田市皮山县木奎拉乡人民政府。在服务地参与支教、疫情防控等工作。在工作中，与同事友好和睦相处、认真工作。</w:t>
      </w:r>
    </w:p>
    <w:p>
      <w:pPr>
        <w:spacing w:line="360" w:lineRule="auto"/>
        <w:ind w:firstLine="480" w:firstLineChars="200"/>
        <w:rPr>
          <w:rFonts w:hint="eastAsia" w:ascii="宋体" w:hAnsi="宋体" w:cs="宋体"/>
          <w:sz w:val="24"/>
        </w:rPr>
      </w:pPr>
      <w:r>
        <w:rPr>
          <w:rFonts w:ascii="宋体" w:hAnsi="宋体" w:cs="宋体"/>
          <w:sz w:val="24"/>
        </w:rPr>
        <w:t>黄淑琦，由安徽省项目办派遣新疆维吾尔自治区进行西部计划基层社会管理项目服务。目前服务于新疆维吾尔自治区和田地区退役军人事务局，参与了退役士兵建档立卡审核等工作。</w:t>
      </w:r>
    </w:p>
    <w:p>
      <w:pPr>
        <w:spacing w:line="360" w:lineRule="auto"/>
        <w:ind w:firstLine="480" w:firstLineChars="200"/>
        <w:rPr>
          <w:rFonts w:hint="eastAsia" w:ascii="宋体" w:hAnsi="宋体" w:cs="宋体"/>
          <w:sz w:val="24"/>
        </w:rPr>
      </w:pPr>
      <w:r>
        <w:rPr>
          <w:rFonts w:hint="eastAsia" w:ascii="宋体" w:hAnsi="宋体" w:cs="宋体"/>
          <w:sz w:val="24"/>
        </w:rPr>
        <w:t>顾凯旋，服务于西藏</w:t>
      </w:r>
      <w:r>
        <w:rPr>
          <w:rFonts w:ascii="宋体" w:hAnsi="宋体" w:cs="宋体"/>
          <w:sz w:val="24"/>
        </w:rPr>
        <w:t>共青团曲松县委员会，从事基层青年工作，主要对青少年组织开展思想理论教育活动，了解青年思想动态和青年工作状况，研究青少年工作理论和思想教育问题，提出相应对策，开展各种活动。以及对青少年社团组织进行指导和管理 。</w:t>
      </w:r>
    </w:p>
    <w:p>
      <w:pPr>
        <w:spacing w:line="360" w:lineRule="auto"/>
        <w:ind w:firstLine="480" w:firstLineChars="200"/>
        <w:rPr>
          <w:rFonts w:ascii="宋体" w:hAnsi="宋体"/>
          <w:sz w:val="24"/>
        </w:rPr>
      </w:pPr>
      <w:r>
        <w:rPr>
          <w:rFonts w:hint="eastAsia" w:ascii="宋体" w:hAnsi="宋体" w:cs="宋体"/>
          <w:sz w:val="24"/>
        </w:rPr>
        <w:t>三位同学以其出色的综合素养和杰出的工作能力，</w:t>
      </w:r>
      <w:r>
        <w:rPr>
          <w:rFonts w:ascii="宋体" w:hAnsi="宋体" w:cs="宋体"/>
          <w:sz w:val="24"/>
        </w:rPr>
        <w:t>获得了领导群众的一致好评。</w:t>
      </w:r>
    </w:p>
    <w:p>
      <w:pPr>
        <w:spacing w:line="360" w:lineRule="auto"/>
        <w:jc w:val="center"/>
        <w:rPr>
          <w:rFonts w:hint="eastAsia"/>
        </w:rPr>
      </w:pPr>
      <w:r>
        <w:fldChar w:fldCharType="begin"/>
      </w:r>
      <w:r>
        <w:instrText xml:space="preserve"> INCLUDEPICTURE "C:\\Users\\chenling\\Documents\\Tencent Files\\1255034741\\Image\\C2C\\1026472149-1230361817-239707489DA261E0A4210A09471524FB.JPG" \* MERGEFORMATINET </w:instrText>
      </w:r>
      <w:r>
        <w:fldChar w:fldCharType="separate"/>
      </w:r>
      <w:r>
        <w:drawing>
          <wp:inline distT="0" distB="0" distL="114300" distR="114300">
            <wp:extent cx="2400300" cy="1799590"/>
            <wp:effectExtent l="0" t="0" r="0" b="635"/>
            <wp:docPr id="49" name="图片 19" descr="1026472149-1230361817-239707489DA261E0A4210A09471524F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9" descr="1026472149-1230361817-239707489DA261E0A4210A09471524FB"/>
                    <pic:cNvPicPr>
                      <a:picLocks noChangeAspect="1"/>
                    </pic:cNvPicPr>
                  </pic:nvPicPr>
                  <pic:blipFill>
                    <a:blip r:embed="rId36"/>
                    <a:stretch>
                      <a:fillRect/>
                    </a:stretch>
                  </pic:blipFill>
                  <pic:spPr>
                    <a:xfrm>
                      <a:off x="0" y="0"/>
                      <a:ext cx="2400300" cy="1799590"/>
                    </a:xfrm>
                    <a:prstGeom prst="rect">
                      <a:avLst/>
                    </a:prstGeom>
                    <a:noFill/>
                    <a:ln>
                      <a:noFill/>
                    </a:ln>
                  </pic:spPr>
                </pic:pic>
              </a:graphicData>
            </a:graphic>
          </wp:inline>
        </w:drawing>
      </w:r>
      <w:r>
        <w:fldChar w:fldCharType="end"/>
      </w:r>
      <w:r>
        <w:rPr>
          <w:rFonts w:hint="eastAsia"/>
        </w:rPr>
        <w:t xml:space="preserve"> </w:t>
      </w:r>
      <w:r>
        <w:fldChar w:fldCharType="begin"/>
      </w:r>
      <w:r>
        <w:instrText xml:space="preserve"> INCLUDEPICTURE "C:\\Users\\chenling\\Documents\\Tencent Files\\1255034741\\Image\\C2C\\575C654B6D612CFBF6547FBF03CC5AF8.jpg" \* MERGEFORMATINET </w:instrText>
      </w:r>
      <w:r>
        <w:fldChar w:fldCharType="separate"/>
      </w:r>
      <w:r>
        <w:drawing>
          <wp:inline distT="0" distB="0" distL="114300" distR="114300">
            <wp:extent cx="2400300" cy="1799590"/>
            <wp:effectExtent l="0" t="0" r="0" b="635"/>
            <wp:docPr id="53" name="图片 20" descr="575C654B6D612CFBF6547FBF03CC5AF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0" descr="575C654B6D612CFBF6547FBF03CC5AF8"/>
                    <pic:cNvPicPr>
                      <a:picLocks noChangeAspect="1"/>
                    </pic:cNvPicPr>
                  </pic:nvPicPr>
                  <pic:blipFill>
                    <a:blip r:embed="rId37"/>
                    <a:stretch>
                      <a:fillRect/>
                    </a:stretch>
                  </pic:blipFill>
                  <pic:spPr>
                    <a:xfrm>
                      <a:off x="0" y="0"/>
                      <a:ext cx="2400300" cy="1799590"/>
                    </a:xfrm>
                    <a:prstGeom prst="rect">
                      <a:avLst/>
                    </a:prstGeom>
                    <a:noFill/>
                    <a:ln>
                      <a:noFill/>
                    </a:ln>
                  </pic:spPr>
                </pic:pic>
              </a:graphicData>
            </a:graphic>
          </wp:inline>
        </w:drawing>
      </w:r>
      <w:r>
        <w:fldChar w:fldCharType="end"/>
      </w:r>
    </w:p>
    <w:p>
      <w:pPr>
        <w:spacing w:line="360" w:lineRule="auto"/>
        <w:jc w:val="center"/>
        <w:rPr>
          <w:rFonts w:ascii="宋体" w:hAnsi="宋体"/>
          <w:sz w:val="24"/>
        </w:rPr>
      </w:pPr>
    </w:p>
    <w:p>
      <w:pPr>
        <w:spacing w:line="360" w:lineRule="auto"/>
        <w:ind w:firstLine="482" w:firstLineChars="200"/>
        <w:rPr>
          <w:rFonts w:hint="eastAsia" w:ascii="宋体" w:hAnsi="宋体"/>
          <w:b/>
          <w:sz w:val="24"/>
        </w:rPr>
      </w:pPr>
      <w:r>
        <w:rPr>
          <w:rFonts w:hint="eastAsia" w:ascii="宋体" w:hAnsi="宋体"/>
          <w:b/>
          <w:sz w:val="24"/>
        </w:rPr>
        <w:t>地方基层项目</w:t>
      </w:r>
      <w:r>
        <w:rPr>
          <w:rFonts w:ascii="宋体" w:hAnsi="宋体"/>
          <w:b/>
          <w:sz w:val="24"/>
        </w:rPr>
        <w:t>：</w:t>
      </w:r>
    </w:p>
    <w:p>
      <w:pPr>
        <w:spacing w:line="360" w:lineRule="auto"/>
        <w:ind w:firstLine="480" w:firstLineChars="200"/>
        <w:rPr>
          <w:rFonts w:hint="eastAsia" w:ascii="宋体" w:hAnsi="宋体" w:cs="宋体"/>
          <w:sz w:val="24"/>
        </w:rPr>
      </w:pPr>
      <w:r>
        <w:rPr>
          <w:rFonts w:hint="eastAsia" w:ascii="宋体" w:hAnsi="宋体" w:cs="宋体"/>
          <w:sz w:val="24"/>
        </w:rPr>
        <w:t>2022届生物工程专业胡晓楠，在校期间已经签约了合肥一家医药企业，后来在辅导员推送的就业信息中看到了合肥市社区小管家的招聘，在向辅导员了解情况之后报名参考，最终顺利通过笔试、面试，入职合肥市经开区高刘街道长岗四冲居委会，成为一名社区小管家。</w:t>
      </w:r>
    </w:p>
    <w:p>
      <w:pPr>
        <w:spacing w:line="360" w:lineRule="auto"/>
        <w:ind w:firstLine="480" w:firstLineChars="200"/>
        <w:rPr>
          <w:rFonts w:hint="eastAsia" w:ascii="宋体" w:hAnsi="宋体" w:cs="宋体"/>
          <w:sz w:val="24"/>
        </w:rPr>
      </w:pPr>
      <w:r>
        <w:rPr>
          <w:rFonts w:hint="eastAsia" w:ascii="宋体" w:hAnsi="宋体" w:cs="宋体"/>
          <w:sz w:val="24"/>
        </w:rPr>
        <w:t>胡晓楠在社区主要负责疫情防控、居民医保缴费、居民养老认证、入户调查、新闻宣传等。虽然工作难度不大，但确实体会到了基层工作的不易，常常会碰到一些恶语相向的人，他们的不理解以及数落，让她一时内心很难接受。后面通过了解与沟通，渐渐摸索到了基层工作的技巧，也明白了基层工作就是服务工作，基层工作者就是服务人民群众的含义。</w:t>
      </w:r>
    </w:p>
    <w:p>
      <w:pPr>
        <w:spacing w:line="360" w:lineRule="auto"/>
        <w:jc w:val="center"/>
        <w:rPr>
          <w:rFonts w:hint="eastAsia" w:ascii="宋体" w:hAnsi="宋体" w:cs="宋体"/>
          <w:sz w:val="24"/>
        </w:rPr>
      </w:pPr>
      <w:r>
        <w:rPr>
          <w:rFonts w:hint="eastAsia"/>
        </w:rPr>
        <w:drawing>
          <wp:inline distT="0" distB="0" distL="114300" distR="114300">
            <wp:extent cx="2802890" cy="2102485"/>
            <wp:effectExtent l="0" t="0" r="6985" b="2540"/>
            <wp:docPr id="54" name="图片 21" descr="75CBFC364885AA674E18A6E1A8AD4D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1" descr="75CBFC364885AA674E18A6E1A8AD4D2F"/>
                    <pic:cNvPicPr>
                      <a:picLocks noChangeAspect="1"/>
                    </pic:cNvPicPr>
                  </pic:nvPicPr>
                  <pic:blipFill>
                    <a:blip r:embed="rId38"/>
                    <a:stretch>
                      <a:fillRect/>
                    </a:stretch>
                  </pic:blipFill>
                  <pic:spPr>
                    <a:xfrm>
                      <a:off x="0" y="0"/>
                      <a:ext cx="2802890" cy="2102485"/>
                    </a:xfrm>
                    <a:prstGeom prst="rect">
                      <a:avLst/>
                    </a:prstGeom>
                    <a:noFill/>
                    <a:ln>
                      <a:noFill/>
                    </a:ln>
                  </pic:spPr>
                </pic:pic>
              </a:graphicData>
            </a:graphic>
          </wp:inline>
        </w:drawing>
      </w:r>
      <w:r>
        <w:rPr>
          <w:rFonts w:hint="eastAsia"/>
        </w:rPr>
        <w:t xml:space="preserve"> </w:t>
      </w:r>
      <w:r>
        <w:rPr>
          <w:rFonts w:hint="eastAsia"/>
        </w:rPr>
        <w:drawing>
          <wp:inline distT="0" distB="0" distL="114300" distR="114300">
            <wp:extent cx="2804160" cy="2103120"/>
            <wp:effectExtent l="0" t="0" r="5715" b="1905"/>
            <wp:docPr id="55" name="图片 22" descr="09307F2B343A3F6F551F436D99B893F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22" descr="09307F2B343A3F6F551F436D99B893FD"/>
                    <pic:cNvPicPr>
                      <a:picLocks noChangeAspect="1"/>
                    </pic:cNvPicPr>
                  </pic:nvPicPr>
                  <pic:blipFill>
                    <a:blip r:embed="rId39"/>
                    <a:stretch>
                      <a:fillRect/>
                    </a:stretch>
                  </pic:blipFill>
                  <pic:spPr>
                    <a:xfrm>
                      <a:off x="0" y="0"/>
                      <a:ext cx="2804160" cy="2103120"/>
                    </a:xfrm>
                    <a:prstGeom prst="rect">
                      <a:avLst/>
                    </a:prstGeom>
                    <a:noFill/>
                    <a:ln>
                      <a:noFill/>
                    </a:ln>
                  </pic:spPr>
                </pic:pic>
              </a:graphicData>
            </a:graphic>
          </wp:inline>
        </w:drawing>
      </w:r>
    </w:p>
    <w:p>
      <w:pPr>
        <w:spacing w:line="360" w:lineRule="auto"/>
        <w:rPr>
          <w:rFonts w:ascii="宋体" w:hAnsi="宋体"/>
          <w:sz w:val="24"/>
        </w:rPr>
      </w:pPr>
    </w:p>
    <w:p>
      <w:pPr>
        <w:spacing w:line="360" w:lineRule="auto"/>
        <w:jc w:val="right"/>
        <w:rPr>
          <w:rFonts w:hint="eastAsia" w:ascii="宋体" w:hAnsi="宋体"/>
          <w:sz w:val="24"/>
        </w:rPr>
      </w:pPr>
      <w:r>
        <w:rPr>
          <w:rFonts w:hint="eastAsia" w:ascii="宋体" w:hAnsi="宋体"/>
          <w:sz w:val="24"/>
        </w:rPr>
        <w:t>生物食品与环境学院</w:t>
      </w:r>
    </w:p>
    <w:p>
      <w:pPr>
        <w:spacing w:line="360" w:lineRule="auto"/>
        <w:ind w:firstLine="480" w:firstLineChars="200"/>
        <w:jc w:val="right"/>
        <w:rPr>
          <w:rFonts w:ascii="宋体" w:hAnsi="宋体"/>
          <w:sz w:val="24"/>
        </w:rPr>
      </w:pPr>
      <w:r>
        <w:rPr>
          <w:rFonts w:hint="eastAsia" w:ascii="宋体" w:hAnsi="宋体"/>
          <w:sz w:val="24"/>
        </w:rPr>
        <w:t>2022年12月31日</w:t>
      </w:r>
    </w:p>
    <w:p>
      <w:pPr>
        <w:widowControl/>
        <w:jc w:val="left"/>
        <w:rPr>
          <w:rFonts w:ascii="宋体" w:hAnsi="宋体" w:eastAsia="宋体" w:cs="宋体"/>
          <w:b/>
          <w:color w:val="000000"/>
          <w:sz w:val="32"/>
          <w:szCs w:val="32"/>
        </w:rPr>
      </w:pPr>
    </w:p>
    <w:p>
      <w:pPr>
        <w:spacing w:line="360" w:lineRule="auto"/>
        <w:jc w:val="center"/>
        <w:rPr>
          <w:rFonts w:hint="eastAsia" w:ascii="宋体" w:hAnsi="宋体" w:eastAsia="宋体" w:cs="宋体"/>
          <w:b/>
          <w:color w:val="000000"/>
          <w:sz w:val="32"/>
          <w:szCs w:val="32"/>
          <w:lang w:val="en-US" w:eastAsia="zh-CN"/>
        </w:rPr>
      </w:pPr>
    </w:p>
    <w:p>
      <w:pPr>
        <w:spacing w:line="360" w:lineRule="auto"/>
        <w:jc w:val="center"/>
        <w:rPr>
          <w:rFonts w:hint="eastAsia" w:ascii="宋体" w:hAnsi="宋体" w:eastAsia="宋体" w:cs="宋体"/>
          <w:b/>
          <w:color w:val="000000"/>
          <w:sz w:val="32"/>
          <w:szCs w:val="32"/>
          <w:lang w:val="en-US" w:eastAsia="zh-CN"/>
        </w:rPr>
      </w:pPr>
    </w:p>
    <w:p>
      <w:pPr>
        <w:spacing w:line="360" w:lineRule="auto"/>
        <w:jc w:val="center"/>
        <w:rPr>
          <w:rFonts w:hint="eastAsia" w:ascii="宋体" w:hAnsi="宋体" w:eastAsia="宋体" w:cs="宋体"/>
          <w:b/>
          <w:color w:val="000000"/>
          <w:sz w:val="32"/>
          <w:szCs w:val="32"/>
          <w:lang w:val="en-US" w:eastAsia="zh-CN"/>
        </w:rPr>
      </w:pPr>
    </w:p>
    <w:p>
      <w:pPr>
        <w:spacing w:line="360" w:lineRule="auto"/>
        <w:jc w:val="center"/>
        <w:rPr>
          <w:rFonts w:hint="eastAsia" w:ascii="宋体" w:hAnsi="宋体" w:eastAsia="宋体" w:cs="宋体"/>
          <w:b/>
          <w:color w:val="000000"/>
          <w:sz w:val="32"/>
          <w:szCs w:val="32"/>
          <w:lang w:val="en-US" w:eastAsia="zh-CN"/>
        </w:rPr>
      </w:pPr>
    </w:p>
    <w:p>
      <w:pPr>
        <w:spacing w:line="360" w:lineRule="auto"/>
        <w:jc w:val="center"/>
        <w:rPr>
          <w:rFonts w:hint="eastAsia" w:ascii="宋体" w:hAnsi="宋体" w:eastAsia="宋体" w:cs="宋体"/>
          <w:b/>
          <w:color w:val="000000"/>
          <w:sz w:val="32"/>
          <w:szCs w:val="32"/>
          <w:lang w:val="en-US" w:eastAsia="zh-CN"/>
        </w:rPr>
      </w:pPr>
    </w:p>
    <w:p>
      <w:pPr>
        <w:spacing w:line="360" w:lineRule="auto"/>
        <w:jc w:val="center"/>
        <w:rPr>
          <w:rFonts w:hint="eastAsia" w:ascii="宋体" w:hAnsi="宋体" w:eastAsia="宋体" w:cs="宋体"/>
          <w:b/>
          <w:color w:val="000000"/>
          <w:sz w:val="32"/>
          <w:szCs w:val="32"/>
          <w:lang w:val="en-US" w:eastAsia="zh-CN"/>
        </w:rPr>
      </w:pPr>
    </w:p>
    <w:p>
      <w:pPr>
        <w:spacing w:line="360" w:lineRule="auto"/>
        <w:jc w:val="center"/>
        <w:rPr>
          <w:rFonts w:hint="eastAsia" w:ascii="宋体" w:hAnsi="宋体" w:eastAsia="宋体" w:cs="宋体"/>
          <w:b/>
          <w:color w:val="000000"/>
          <w:sz w:val="32"/>
          <w:szCs w:val="32"/>
          <w:lang w:val="en-US" w:eastAsia="zh-CN"/>
        </w:rPr>
      </w:pPr>
    </w:p>
    <w:p>
      <w:pPr>
        <w:spacing w:line="360" w:lineRule="auto"/>
        <w:jc w:val="center"/>
        <w:rPr>
          <w:rFonts w:hint="eastAsia" w:ascii="宋体" w:hAnsi="宋体" w:eastAsia="宋体" w:cs="宋体"/>
          <w:b/>
          <w:color w:val="000000"/>
          <w:sz w:val="32"/>
          <w:szCs w:val="32"/>
          <w:lang w:val="en-US" w:eastAsia="zh-CN"/>
        </w:rPr>
      </w:pPr>
    </w:p>
    <w:p>
      <w:pPr>
        <w:spacing w:line="360" w:lineRule="auto"/>
        <w:jc w:val="center"/>
        <w:rPr>
          <w:rFonts w:hint="eastAsia" w:ascii="宋体" w:hAnsi="宋体" w:eastAsia="宋体" w:cs="宋体"/>
          <w:b/>
          <w:color w:val="000000"/>
          <w:sz w:val="32"/>
          <w:szCs w:val="32"/>
          <w:lang w:val="en-US" w:eastAsia="zh-CN"/>
        </w:rPr>
      </w:pPr>
    </w:p>
    <w:p>
      <w:pPr>
        <w:spacing w:line="360" w:lineRule="auto"/>
        <w:jc w:val="center"/>
        <w:rPr>
          <w:rFonts w:hint="eastAsia" w:ascii="宋体" w:hAnsi="宋体" w:eastAsia="宋体" w:cs="宋体"/>
          <w:b/>
          <w:color w:val="000000"/>
          <w:sz w:val="32"/>
          <w:szCs w:val="32"/>
          <w:lang w:val="en-US" w:eastAsia="zh-CN"/>
        </w:rPr>
      </w:pPr>
    </w:p>
    <w:p>
      <w:pPr>
        <w:spacing w:line="360" w:lineRule="auto"/>
        <w:jc w:val="center"/>
        <w:rPr>
          <w:rFonts w:hint="eastAsia" w:ascii="宋体" w:hAnsi="宋体" w:eastAsia="宋体" w:cs="宋体"/>
          <w:b/>
          <w:color w:val="000000"/>
          <w:sz w:val="32"/>
          <w:szCs w:val="32"/>
          <w:lang w:val="en-US" w:eastAsia="zh-CN"/>
        </w:rPr>
      </w:pPr>
    </w:p>
    <w:p>
      <w:pPr>
        <w:spacing w:line="360" w:lineRule="auto"/>
        <w:jc w:val="center"/>
        <w:rPr>
          <w:rFonts w:hint="eastAsia" w:ascii="宋体" w:hAnsi="宋体" w:eastAsia="宋体" w:cs="宋体"/>
          <w:b/>
          <w:color w:val="000000"/>
          <w:sz w:val="32"/>
          <w:szCs w:val="32"/>
          <w:lang w:val="en-US" w:eastAsia="zh-CN"/>
        </w:rPr>
      </w:pPr>
    </w:p>
    <w:p>
      <w:pPr>
        <w:spacing w:line="360" w:lineRule="auto"/>
        <w:jc w:val="center"/>
        <w:rPr>
          <w:rFonts w:hint="eastAsia" w:ascii="宋体" w:hAnsi="宋体" w:eastAsia="宋体" w:cs="宋体"/>
          <w:b/>
          <w:color w:val="000000"/>
          <w:sz w:val="32"/>
          <w:szCs w:val="32"/>
          <w:lang w:val="en-US" w:eastAsia="zh-CN"/>
        </w:rPr>
      </w:pPr>
    </w:p>
    <w:p>
      <w:pPr>
        <w:spacing w:line="360" w:lineRule="auto"/>
        <w:jc w:val="center"/>
        <w:rPr>
          <w:rFonts w:hint="default" w:ascii="Times New Roman" w:hAnsi="Times New Roman" w:cs="Times New Roman"/>
          <w:b/>
          <w:color w:val="000000"/>
          <w:sz w:val="32"/>
          <w:szCs w:val="32"/>
        </w:rPr>
      </w:pPr>
      <w:r>
        <w:rPr>
          <w:rFonts w:hint="eastAsia" w:ascii="宋体" w:hAnsi="宋体" w:eastAsia="宋体" w:cs="宋体"/>
          <w:b/>
          <w:color w:val="000000"/>
          <w:sz w:val="32"/>
          <w:szCs w:val="32"/>
          <w:lang w:val="en-US" w:eastAsia="zh-CN"/>
        </w:rPr>
        <w:t>合肥学院</w:t>
      </w:r>
      <w:r>
        <w:rPr>
          <w:rFonts w:hint="eastAsia" w:ascii="宋体" w:hAnsi="宋体" w:eastAsia="宋体" w:cs="宋体"/>
          <w:b/>
          <w:color w:val="000000"/>
          <w:sz w:val="32"/>
          <w:szCs w:val="32"/>
          <w:lang w:eastAsia="zh-CN"/>
        </w:rPr>
        <w:t>能源材料与化工学院20</w:t>
      </w:r>
      <w:r>
        <w:rPr>
          <w:rFonts w:hint="eastAsia" w:ascii="宋体" w:hAnsi="宋体" w:eastAsia="宋体" w:cs="宋体"/>
          <w:b/>
          <w:color w:val="000000"/>
          <w:sz w:val="32"/>
          <w:szCs w:val="32"/>
          <w:lang w:val="en-US" w:eastAsia="zh-CN"/>
        </w:rPr>
        <w:t>22年</w:t>
      </w:r>
      <w:r>
        <w:rPr>
          <w:rFonts w:hint="eastAsia" w:ascii="宋体" w:hAnsi="宋体" w:eastAsia="宋体" w:cs="宋体"/>
          <w:b/>
          <w:color w:val="000000"/>
          <w:sz w:val="32"/>
          <w:szCs w:val="32"/>
        </w:rPr>
        <w:t>就业评估自查报告</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default" w:ascii="Times New Roman" w:hAnsi="Times New Roman" w:cs="Times New Roman"/>
          <w:color w:val="000000"/>
          <w:kern w:val="0"/>
          <w:sz w:val="24"/>
        </w:rPr>
      </w:pPr>
      <w:r>
        <w:rPr>
          <w:rFonts w:hint="eastAsia" w:ascii="Times New Roman" w:hAnsi="Times New Roman" w:cs="Times New Roman"/>
          <w:color w:val="000000"/>
          <w:kern w:val="0"/>
          <w:sz w:val="24"/>
          <w:lang w:val="en-US" w:eastAsia="zh-CN"/>
        </w:rPr>
        <w:t>能源材料与化工学院2022年毕业生就业工作在学院党委的领导下，在学校就业处的指导下，</w:t>
      </w:r>
      <w:r>
        <w:rPr>
          <w:rFonts w:hint="eastAsia" w:ascii="Times New Roman" w:hAnsi="Times New Roman" w:cs="Times New Roman"/>
          <w:color w:val="000000"/>
          <w:kern w:val="0"/>
          <w:sz w:val="24"/>
          <w:lang w:eastAsia="zh-CN"/>
        </w:rPr>
        <w:t>积极响应党和国家</w:t>
      </w:r>
      <w:r>
        <w:rPr>
          <w:rFonts w:hint="eastAsia" w:ascii="Times New Roman" w:hAnsi="Times New Roman" w:cs="Times New Roman"/>
          <w:color w:val="000000"/>
          <w:kern w:val="0"/>
          <w:sz w:val="24"/>
          <w:lang w:val="en-US" w:eastAsia="zh-CN"/>
        </w:rPr>
        <w:t>关于保障落实大学生就业工作的各项政策，</w:t>
      </w:r>
      <w:r>
        <w:rPr>
          <w:rFonts w:hint="eastAsia" w:ascii="Times New Roman" w:hAnsi="Times New Roman" w:cs="Times New Roman"/>
          <w:color w:val="000000"/>
          <w:kern w:val="0"/>
          <w:sz w:val="24"/>
          <w:lang w:eastAsia="zh-CN"/>
        </w:rPr>
        <w:t>把就业工作作为</w:t>
      </w:r>
      <w:r>
        <w:rPr>
          <w:rFonts w:hint="eastAsia" w:ascii="Times New Roman" w:hAnsi="Times New Roman" w:cs="Times New Roman"/>
          <w:color w:val="000000"/>
          <w:kern w:val="0"/>
          <w:sz w:val="24"/>
          <w:lang w:val="en-US" w:eastAsia="zh-CN"/>
        </w:rPr>
        <w:t>学院全年</w:t>
      </w:r>
      <w:r>
        <w:rPr>
          <w:rFonts w:hint="eastAsia" w:ascii="Times New Roman" w:hAnsi="Times New Roman" w:cs="Times New Roman"/>
          <w:color w:val="000000"/>
          <w:kern w:val="0"/>
          <w:sz w:val="24"/>
          <w:lang w:eastAsia="zh-CN"/>
        </w:rPr>
        <w:t>重点工作，</w:t>
      </w:r>
      <w:r>
        <w:rPr>
          <w:rFonts w:hint="default" w:ascii="Times New Roman" w:hAnsi="Times New Roman" w:cs="Times New Roman"/>
          <w:color w:val="000000"/>
          <w:kern w:val="0"/>
          <w:sz w:val="24"/>
        </w:rPr>
        <w:t>由</w:t>
      </w:r>
      <w:r>
        <w:rPr>
          <w:rFonts w:hint="eastAsia" w:ascii="Times New Roman" w:hAnsi="Times New Roman" w:cs="Times New Roman"/>
          <w:color w:val="000000"/>
          <w:kern w:val="0"/>
          <w:sz w:val="24"/>
          <w:lang w:eastAsia="zh-CN"/>
        </w:rPr>
        <w:t>学</w:t>
      </w:r>
      <w:r>
        <w:rPr>
          <w:rFonts w:hint="default" w:ascii="Times New Roman" w:hAnsi="Times New Roman" w:cs="Times New Roman"/>
          <w:color w:val="000000"/>
          <w:kern w:val="0"/>
          <w:sz w:val="24"/>
          <w:lang w:eastAsia="zh-CN"/>
        </w:rPr>
        <w:t>院</w:t>
      </w:r>
      <w:r>
        <w:rPr>
          <w:rFonts w:hint="default" w:ascii="Times New Roman" w:hAnsi="Times New Roman" w:cs="Times New Roman"/>
          <w:color w:val="000000"/>
          <w:kern w:val="0"/>
          <w:sz w:val="24"/>
        </w:rPr>
        <w:t>就业工作领导小组牵头，全</w:t>
      </w:r>
      <w:r>
        <w:rPr>
          <w:rFonts w:hint="eastAsia" w:ascii="Times New Roman" w:hAnsi="Times New Roman" w:cs="Times New Roman"/>
          <w:color w:val="000000"/>
          <w:kern w:val="0"/>
          <w:sz w:val="24"/>
          <w:lang w:eastAsia="zh-CN"/>
        </w:rPr>
        <w:t>体教师</w:t>
      </w:r>
      <w:r>
        <w:rPr>
          <w:rFonts w:hint="default" w:ascii="Times New Roman" w:hAnsi="Times New Roman" w:cs="Times New Roman"/>
          <w:color w:val="000000"/>
          <w:kern w:val="0"/>
          <w:sz w:val="24"/>
        </w:rPr>
        <w:t>参与、全员指导，较好地完成了</w:t>
      </w:r>
      <w:r>
        <w:rPr>
          <w:rFonts w:hint="default" w:ascii="Times New Roman" w:hAnsi="Times New Roman" w:cs="Times New Roman"/>
          <w:color w:val="000000"/>
          <w:kern w:val="0"/>
          <w:sz w:val="24"/>
          <w:lang w:eastAsia="zh-CN"/>
        </w:rPr>
        <w:t>20</w:t>
      </w:r>
      <w:r>
        <w:rPr>
          <w:rFonts w:hint="eastAsia" w:ascii="Times New Roman" w:hAnsi="Times New Roman" w:cs="Times New Roman"/>
          <w:color w:val="000000"/>
          <w:kern w:val="0"/>
          <w:sz w:val="24"/>
          <w:lang w:val="en-US" w:eastAsia="zh-CN"/>
        </w:rPr>
        <w:t>22年</w:t>
      </w:r>
      <w:r>
        <w:rPr>
          <w:rFonts w:hint="default" w:ascii="Times New Roman" w:hAnsi="Times New Roman" w:cs="Times New Roman"/>
          <w:color w:val="000000"/>
          <w:kern w:val="0"/>
          <w:sz w:val="24"/>
        </w:rPr>
        <w:t>毕业生就业工作，现就</w:t>
      </w:r>
      <w:r>
        <w:rPr>
          <w:rFonts w:hint="default" w:ascii="Times New Roman" w:hAnsi="Times New Roman" w:cs="Times New Roman"/>
          <w:color w:val="000000"/>
          <w:kern w:val="0"/>
          <w:sz w:val="24"/>
          <w:lang w:eastAsia="zh-CN"/>
        </w:rPr>
        <w:t>20</w:t>
      </w:r>
      <w:r>
        <w:rPr>
          <w:rFonts w:hint="eastAsia" w:ascii="Times New Roman" w:hAnsi="Times New Roman" w:cs="Times New Roman"/>
          <w:color w:val="000000"/>
          <w:kern w:val="0"/>
          <w:sz w:val="24"/>
          <w:lang w:val="en-US" w:eastAsia="zh-CN"/>
        </w:rPr>
        <w:t>22届</w:t>
      </w:r>
      <w:r>
        <w:rPr>
          <w:rFonts w:hint="default" w:ascii="Times New Roman" w:hAnsi="Times New Roman" w:cs="Times New Roman"/>
          <w:color w:val="000000"/>
          <w:kern w:val="0"/>
          <w:sz w:val="24"/>
        </w:rPr>
        <w:t>毕业生就业工作的总结如下：</w:t>
      </w:r>
    </w:p>
    <w:p>
      <w:pPr>
        <w:spacing w:before="156" w:beforeLines="50" w:after="156" w:afterLines="50" w:line="360" w:lineRule="auto"/>
        <w:ind w:firstLine="482" w:firstLineChars="200"/>
        <w:jc w:val="center"/>
        <w:rPr>
          <w:rFonts w:hint="default" w:ascii="Times New Roman" w:hAnsi="Times New Roman" w:cs="Times New Roman"/>
          <w:b/>
          <w:bCs/>
          <w:color w:val="000000"/>
          <w:kern w:val="0"/>
          <w:sz w:val="24"/>
        </w:rPr>
      </w:pPr>
      <w:r>
        <w:rPr>
          <w:rFonts w:hint="default" w:ascii="Times New Roman" w:hAnsi="Times New Roman" w:cs="Times New Roman"/>
          <w:b/>
          <w:bCs/>
          <w:color w:val="000000"/>
          <w:kern w:val="0"/>
          <w:sz w:val="24"/>
        </w:rPr>
        <w:t>第一部分：</w:t>
      </w:r>
      <w:r>
        <w:rPr>
          <w:rFonts w:hint="default" w:ascii="Times New Roman" w:hAnsi="Times New Roman" w:cs="Times New Roman"/>
          <w:b/>
          <w:bCs/>
          <w:color w:val="000000"/>
          <w:kern w:val="0"/>
          <w:sz w:val="24"/>
          <w:lang w:eastAsia="zh-CN"/>
        </w:rPr>
        <w:t>材化学院</w:t>
      </w:r>
      <w:r>
        <w:rPr>
          <w:rFonts w:hint="eastAsia" w:ascii="Times New Roman" w:hAnsi="Times New Roman" w:cs="Times New Roman"/>
          <w:b/>
          <w:bCs/>
          <w:color w:val="000000"/>
          <w:kern w:val="0"/>
          <w:sz w:val="24"/>
          <w:lang w:val="en-US" w:eastAsia="zh-CN"/>
        </w:rPr>
        <w:t>2022</w:t>
      </w:r>
      <w:r>
        <w:rPr>
          <w:rFonts w:hint="default" w:ascii="Times New Roman" w:hAnsi="Times New Roman" w:cs="Times New Roman"/>
          <w:b/>
          <w:bCs/>
          <w:color w:val="000000"/>
          <w:kern w:val="0"/>
          <w:sz w:val="24"/>
        </w:rPr>
        <w:t>届毕业生各专业就业基本情况</w:t>
      </w:r>
    </w:p>
    <w:p>
      <w:pPr>
        <w:spacing w:line="360" w:lineRule="auto"/>
        <w:ind w:firstLine="480" w:firstLineChars="200"/>
        <w:jc w:val="both"/>
        <w:rPr>
          <w:rFonts w:hint="default" w:ascii="Times New Roman" w:hAnsi="Times New Roman" w:cs="Times New Roman"/>
          <w:color w:val="000000"/>
          <w:sz w:val="24"/>
        </w:rPr>
      </w:pPr>
      <w:r>
        <w:rPr>
          <w:rFonts w:hint="eastAsia" w:ascii="Times New Roman" w:hAnsi="Times New Roman" w:cs="Times New Roman"/>
          <w:color w:val="000000"/>
          <w:sz w:val="24"/>
          <w:lang w:eastAsia="zh-CN"/>
        </w:rPr>
        <w:t>截至2022年</w:t>
      </w:r>
      <w:r>
        <w:rPr>
          <w:rFonts w:hint="default" w:ascii="Times New Roman" w:hAnsi="Times New Roman" w:cs="Times New Roman"/>
          <w:color w:val="000000"/>
          <w:sz w:val="24"/>
        </w:rPr>
        <w:t>1</w:t>
      </w:r>
      <w:r>
        <w:rPr>
          <w:rFonts w:hint="eastAsia" w:ascii="Times New Roman" w:hAnsi="Times New Roman" w:cs="Times New Roman"/>
          <w:color w:val="000000"/>
          <w:sz w:val="24"/>
          <w:lang w:val="en-US" w:eastAsia="zh-CN"/>
        </w:rPr>
        <w:t>2</w:t>
      </w:r>
      <w:r>
        <w:rPr>
          <w:rFonts w:hint="default" w:ascii="Times New Roman" w:hAnsi="Times New Roman" w:cs="Times New Roman"/>
          <w:color w:val="000000"/>
          <w:sz w:val="24"/>
        </w:rPr>
        <w:t>月底，</w:t>
      </w:r>
      <w:r>
        <w:rPr>
          <w:rFonts w:hint="default" w:ascii="Times New Roman" w:hAnsi="Times New Roman" w:cs="Times New Roman"/>
          <w:color w:val="000000"/>
          <w:sz w:val="24"/>
          <w:lang w:eastAsia="zh-CN"/>
        </w:rPr>
        <w:t>能源材料与化工学院20</w:t>
      </w:r>
      <w:r>
        <w:rPr>
          <w:rFonts w:hint="eastAsia" w:ascii="Times New Roman" w:hAnsi="Times New Roman" w:cs="Times New Roman"/>
          <w:color w:val="000000"/>
          <w:sz w:val="24"/>
          <w:lang w:val="en-US" w:eastAsia="zh-CN"/>
        </w:rPr>
        <w:t>22</w:t>
      </w:r>
      <w:r>
        <w:rPr>
          <w:rFonts w:hint="eastAsia" w:ascii="Times New Roman" w:hAnsi="Times New Roman" w:cs="Times New Roman"/>
          <w:color w:val="000000"/>
          <w:sz w:val="24"/>
          <w:lang w:eastAsia="zh-CN"/>
        </w:rPr>
        <w:t>届</w:t>
      </w:r>
      <w:r>
        <w:rPr>
          <w:rFonts w:hint="default" w:ascii="Times New Roman" w:hAnsi="Times New Roman" w:cs="Times New Roman"/>
          <w:color w:val="000000"/>
          <w:sz w:val="24"/>
        </w:rPr>
        <w:t>毕业生总计</w:t>
      </w:r>
      <w:r>
        <w:rPr>
          <w:rFonts w:hint="eastAsia" w:ascii="Times New Roman" w:hAnsi="Times New Roman" w:cs="Times New Roman"/>
          <w:color w:val="000000"/>
          <w:sz w:val="24"/>
          <w:lang w:val="en-US" w:eastAsia="zh-CN"/>
        </w:rPr>
        <w:t>240</w:t>
      </w:r>
      <w:r>
        <w:rPr>
          <w:rFonts w:hint="default" w:ascii="Times New Roman" w:hAnsi="Times New Roman" w:cs="Times New Roman"/>
          <w:color w:val="000000"/>
          <w:sz w:val="24"/>
        </w:rPr>
        <w:t>人，</w:t>
      </w:r>
      <w:r>
        <w:rPr>
          <w:rFonts w:hint="eastAsia" w:ascii="Times New Roman" w:hAnsi="Times New Roman" w:cs="Times New Roman"/>
          <w:color w:val="000000"/>
          <w:sz w:val="24"/>
          <w:lang w:val="en-US" w:eastAsia="zh-CN"/>
        </w:rPr>
        <w:t>整体</w:t>
      </w:r>
      <w:r>
        <w:rPr>
          <w:rFonts w:hint="eastAsia" w:ascii="Times New Roman" w:hAnsi="Times New Roman" w:cs="Times New Roman"/>
          <w:color w:val="000000"/>
          <w:sz w:val="24"/>
          <w:lang w:eastAsia="zh-CN"/>
        </w:rPr>
        <w:t>就业率</w:t>
      </w:r>
      <w:r>
        <w:rPr>
          <w:rFonts w:hint="eastAsia" w:ascii="Times New Roman" w:hAnsi="Times New Roman" w:cs="Times New Roman"/>
          <w:color w:val="000000"/>
          <w:sz w:val="24"/>
          <w:lang w:val="en-US" w:eastAsia="zh-CN"/>
        </w:rPr>
        <w:t>96.66%。分层次看，硕士毕业生40人，就业40人，就业率100%，其中考取公务员、事业单位4人。本科毕业生200人，就业192人，就业率96%。分专业看，</w:t>
      </w:r>
      <w:r>
        <w:rPr>
          <w:rFonts w:hint="default" w:ascii="Times New Roman" w:hAnsi="Times New Roman" w:cs="Times New Roman"/>
          <w:color w:val="000000"/>
          <w:sz w:val="24"/>
        </w:rPr>
        <w:t>粉体材料科学与工程（本科）毕业生</w:t>
      </w:r>
      <w:r>
        <w:rPr>
          <w:rFonts w:hint="eastAsia" w:ascii="Times New Roman" w:hAnsi="Times New Roman" w:cs="Times New Roman"/>
          <w:color w:val="000000"/>
          <w:sz w:val="24"/>
          <w:lang w:val="en-US" w:eastAsia="zh-CN"/>
        </w:rPr>
        <w:t>30</w:t>
      </w:r>
      <w:r>
        <w:rPr>
          <w:rFonts w:hint="default" w:ascii="Times New Roman" w:hAnsi="Times New Roman" w:cs="Times New Roman"/>
          <w:color w:val="000000"/>
          <w:sz w:val="24"/>
        </w:rPr>
        <w:t>人，就业率</w:t>
      </w:r>
      <w:r>
        <w:rPr>
          <w:rFonts w:hint="eastAsia" w:ascii="Times New Roman" w:hAnsi="Times New Roman" w:cs="Times New Roman"/>
          <w:color w:val="000000"/>
          <w:sz w:val="24"/>
          <w:lang w:val="en-US" w:eastAsia="zh-CN"/>
        </w:rPr>
        <w:t>100%</w:t>
      </w:r>
      <w:r>
        <w:rPr>
          <w:rFonts w:hint="eastAsia" w:ascii="Times New Roman" w:hAnsi="Times New Roman" w:cs="Times New Roman"/>
          <w:color w:val="000000"/>
          <w:sz w:val="24"/>
          <w:lang w:eastAsia="zh-CN"/>
        </w:rPr>
        <w:t>；</w:t>
      </w:r>
      <w:r>
        <w:rPr>
          <w:rFonts w:hint="default" w:ascii="Times New Roman" w:hAnsi="Times New Roman" w:cs="Times New Roman"/>
          <w:color w:val="000000"/>
          <w:sz w:val="24"/>
        </w:rPr>
        <w:t>无机非金属材料工程（本科）毕业生</w:t>
      </w:r>
      <w:r>
        <w:rPr>
          <w:rFonts w:hint="eastAsia" w:ascii="Times New Roman" w:hAnsi="Times New Roman" w:cs="Times New Roman"/>
          <w:color w:val="000000"/>
          <w:sz w:val="24"/>
          <w:lang w:val="en-US" w:eastAsia="zh-CN"/>
        </w:rPr>
        <w:t>35</w:t>
      </w:r>
      <w:r>
        <w:rPr>
          <w:rFonts w:hint="default" w:ascii="Times New Roman" w:hAnsi="Times New Roman" w:cs="Times New Roman"/>
          <w:color w:val="000000"/>
          <w:sz w:val="24"/>
        </w:rPr>
        <w:t>人，就业率</w:t>
      </w:r>
      <w:r>
        <w:rPr>
          <w:rFonts w:hint="eastAsia" w:ascii="Times New Roman" w:hAnsi="Times New Roman" w:cs="Times New Roman"/>
          <w:color w:val="000000"/>
          <w:sz w:val="24"/>
          <w:lang w:val="en-US" w:eastAsia="zh-CN"/>
        </w:rPr>
        <w:t>100.0</w:t>
      </w:r>
      <w:r>
        <w:rPr>
          <w:rFonts w:hint="default" w:ascii="Times New Roman" w:hAnsi="Times New Roman" w:cs="Times New Roman"/>
          <w:color w:val="000000"/>
          <w:sz w:val="24"/>
        </w:rPr>
        <w:t>%</w:t>
      </w:r>
      <w:r>
        <w:rPr>
          <w:rFonts w:hint="eastAsia" w:ascii="Times New Roman" w:hAnsi="Times New Roman" w:cs="Times New Roman"/>
          <w:color w:val="000000"/>
          <w:sz w:val="24"/>
          <w:lang w:eastAsia="zh-CN"/>
        </w:rPr>
        <w:t>；</w:t>
      </w:r>
      <w:r>
        <w:rPr>
          <w:rFonts w:hint="default" w:ascii="Times New Roman" w:hAnsi="Times New Roman" w:cs="Times New Roman"/>
          <w:color w:val="000000"/>
          <w:sz w:val="24"/>
        </w:rPr>
        <w:t>化学工程与工艺专业（本科）毕业生</w:t>
      </w:r>
      <w:r>
        <w:rPr>
          <w:rFonts w:hint="eastAsia" w:ascii="Times New Roman" w:hAnsi="Times New Roman" w:cs="Times New Roman"/>
          <w:color w:val="000000"/>
          <w:sz w:val="24"/>
          <w:lang w:val="en-US" w:eastAsia="zh-CN"/>
        </w:rPr>
        <w:t>98</w:t>
      </w:r>
      <w:r>
        <w:rPr>
          <w:rFonts w:hint="default" w:ascii="Times New Roman" w:hAnsi="Times New Roman" w:cs="Times New Roman"/>
          <w:color w:val="000000"/>
          <w:sz w:val="24"/>
        </w:rPr>
        <w:t>人，就业率</w:t>
      </w:r>
      <w:r>
        <w:rPr>
          <w:rFonts w:hint="eastAsia" w:ascii="Times New Roman" w:hAnsi="Times New Roman" w:cs="Times New Roman"/>
          <w:color w:val="000000"/>
          <w:sz w:val="24"/>
          <w:lang w:val="en-US" w:eastAsia="zh-CN"/>
        </w:rPr>
        <w:t>98.93</w:t>
      </w:r>
      <w:r>
        <w:rPr>
          <w:rFonts w:hint="default" w:ascii="Times New Roman" w:hAnsi="Times New Roman" w:cs="Times New Roman"/>
          <w:color w:val="000000"/>
          <w:sz w:val="24"/>
        </w:rPr>
        <w:t>％</w:t>
      </w:r>
      <w:r>
        <w:rPr>
          <w:rFonts w:hint="eastAsia" w:ascii="Times New Roman" w:hAnsi="Times New Roman" w:cs="Times New Roman"/>
          <w:color w:val="000000"/>
          <w:sz w:val="24"/>
          <w:lang w:eastAsia="zh-CN"/>
        </w:rPr>
        <w:t>；</w:t>
      </w:r>
      <w:r>
        <w:rPr>
          <w:rFonts w:hint="default" w:ascii="Times New Roman" w:hAnsi="Times New Roman" w:cs="Times New Roman"/>
          <w:color w:val="000000"/>
          <w:sz w:val="24"/>
        </w:rPr>
        <w:t>能源化学工程（本科）毕业生</w:t>
      </w:r>
      <w:r>
        <w:rPr>
          <w:rFonts w:hint="eastAsia" w:ascii="Times New Roman" w:hAnsi="Times New Roman" w:cs="Times New Roman"/>
          <w:color w:val="000000"/>
          <w:sz w:val="24"/>
          <w:lang w:val="en-US" w:eastAsia="zh-CN"/>
        </w:rPr>
        <w:t>37</w:t>
      </w:r>
      <w:r>
        <w:rPr>
          <w:rFonts w:hint="default" w:ascii="Times New Roman" w:hAnsi="Times New Roman" w:cs="Times New Roman"/>
          <w:color w:val="000000"/>
          <w:sz w:val="24"/>
        </w:rPr>
        <w:t>人</w:t>
      </w:r>
      <w:r>
        <w:rPr>
          <w:rFonts w:hint="eastAsia" w:ascii="Times New Roman" w:hAnsi="Times New Roman" w:cs="Times New Roman"/>
          <w:color w:val="000000"/>
          <w:sz w:val="24"/>
          <w:lang w:eastAsia="zh-CN"/>
        </w:rPr>
        <w:t>，</w:t>
      </w:r>
      <w:r>
        <w:rPr>
          <w:rFonts w:hint="default" w:ascii="Times New Roman" w:hAnsi="Times New Roman" w:cs="Times New Roman"/>
          <w:color w:val="000000"/>
          <w:sz w:val="24"/>
        </w:rPr>
        <w:t>就业率</w:t>
      </w:r>
      <w:r>
        <w:rPr>
          <w:rFonts w:hint="eastAsia" w:ascii="Times New Roman" w:hAnsi="Times New Roman" w:cs="Times New Roman"/>
          <w:color w:val="000000"/>
          <w:sz w:val="24"/>
          <w:lang w:val="en-US" w:eastAsia="zh-CN"/>
        </w:rPr>
        <w:t>94.6</w:t>
      </w:r>
      <w:r>
        <w:rPr>
          <w:rFonts w:hint="default" w:ascii="Times New Roman" w:hAnsi="Times New Roman" w:cs="Times New Roman"/>
          <w:color w:val="000000"/>
          <w:sz w:val="24"/>
        </w:rPr>
        <w:t>%</w:t>
      </w:r>
      <w:r>
        <w:rPr>
          <w:rFonts w:hint="eastAsia" w:ascii="Times New Roman" w:hAnsi="Times New Roman" w:cs="Times New Roman"/>
          <w:color w:val="000000"/>
          <w:sz w:val="24"/>
          <w:lang w:eastAsia="zh-CN"/>
        </w:rPr>
        <w:t>，</w:t>
      </w:r>
      <w:r>
        <w:rPr>
          <w:rFonts w:hint="eastAsia" w:ascii="Times New Roman" w:hAnsi="Times New Roman" w:cs="Times New Roman"/>
          <w:color w:val="000000"/>
          <w:sz w:val="24"/>
          <w:lang w:val="en-US" w:eastAsia="zh-CN"/>
        </w:rPr>
        <w:t>材料科学与工程（研究生）毕业生40人，就业率100%</w:t>
      </w:r>
      <w:r>
        <w:rPr>
          <w:rFonts w:hint="default" w:ascii="Times New Roman" w:hAnsi="Times New Roman" w:cs="Times New Roman"/>
          <w:color w:val="000000"/>
          <w:sz w:val="24"/>
        </w:rPr>
        <w:t>。</w:t>
      </w:r>
      <w:r>
        <w:rPr>
          <w:rFonts w:hint="eastAsia" w:ascii="Times New Roman" w:hAnsi="Times New Roman" w:cs="Times New Roman"/>
          <w:color w:val="000000"/>
          <w:sz w:val="24"/>
          <w:lang w:val="en-US" w:eastAsia="zh-CN"/>
        </w:rPr>
        <w:t>61名学生考取研究生，考研录取率30.5%。</w:t>
      </w:r>
    </w:p>
    <w:p>
      <w:pPr>
        <w:spacing w:line="360" w:lineRule="auto"/>
        <w:ind w:firstLine="420" w:firstLineChars="20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表1</w:t>
      </w:r>
      <w:r>
        <w:rPr>
          <w:rFonts w:hint="eastAsia" w:ascii="Times New Roman" w:hAnsi="Times New Roman" w:cs="Times New Roman"/>
          <w:color w:val="000000"/>
          <w:sz w:val="21"/>
          <w:szCs w:val="21"/>
          <w:lang w:val="en-US" w:eastAsia="zh-CN"/>
        </w:rPr>
        <w:t>-1</w:t>
      </w:r>
      <w:r>
        <w:rPr>
          <w:rFonts w:hint="default" w:ascii="Times New Roman" w:hAnsi="Times New Roman" w:cs="Times New Roman"/>
          <w:bCs/>
          <w:color w:val="000000"/>
          <w:sz w:val="21"/>
          <w:szCs w:val="21"/>
        </w:rPr>
        <w:t xml:space="preserve"> </w:t>
      </w:r>
      <w:r>
        <w:rPr>
          <w:rFonts w:hint="default" w:ascii="Times New Roman" w:hAnsi="Times New Roman" w:cs="Times New Roman"/>
          <w:bCs/>
          <w:color w:val="000000"/>
          <w:sz w:val="21"/>
          <w:szCs w:val="21"/>
          <w:lang w:eastAsia="zh-CN"/>
        </w:rPr>
        <w:t>材化学院</w:t>
      </w:r>
      <w:r>
        <w:rPr>
          <w:rFonts w:hint="eastAsia" w:ascii="Times New Roman" w:hAnsi="Times New Roman" w:cs="Times New Roman"/>
          <w:bCs/>
          <w:color w:val="000000"/>
          <w:sz w:val="21"/>
          <w:szCs w:val="21"/>
          <w:lang w:val="en-US" w:eastAsia="zh-CN"/>
        </w:rPr>
        <w:t>2022</w:t>
      </w:r>
      <w:r>
        <w:rPr>
          <w:rFonts w:hint="default" w:ascii="Times New Roman" w:hAnsi="Times New Roman" w:cs="Times New Roman"/>
          <w:bCs/>
          <w:color w:val="000000"/>
          <w:sz w:val="21"/>
          <w:szCs w:val="21"/>
        </w:rPr>
        <w:t>届毕业生就业基本情况统计表</w:t>
      </w:r>
    </w:p>
    <w:tbl>
      <w:tblPr>
        <w:tblStyle w:val="13"/>
        <w:tblW w:w="4997" w:type="pct"/>
        <w:jc w:val="center"/>
        <w:tblLayout w:type="autofit"/>
        <w:tblCellMar>
          <w:top w:w="15" w:type="dxa"/>
          <w:left w:w="15" w:type="dxa"/>
          <w:bottom w:w="15" w:type="dxa"/>
          <w:right w:w="15" w:type="dxa"/>
        </w:tblCellMar>
      </w:tblPr>
      <w:tblGrid>
        <w:gridCol w:w="2688"/>
        <w:gridCol w:w="629"/>
        <w:gridCol w:w="629"/>
        <w:gridCol w:w="629"/>
        <w:gridCol w:w="922"/>
        <w:gridCol w:w="629"/>
        <w:gridCol w:w="629"/>
        <w:gridCol w:w="629"/>
        <w:gridCol w:w="947"/>
      </w:tblGrid>
      <w:tr>
        <w:tblPrEx>
          <w:tblCellMar>
            <w:top w:w="15" w:type="dxa"/>
            <w:left w:w="15" w:type="dxa"/>
            <w:bottom w:w="15" w:type="dxa"/>
            <w:right w:w="15" w:type="dxa"/>
          </w:tblCellMar>
        </w:tblPrEx>
        <w:trPr>
          <w:trHeight w:val="394" w:hRule="atLeast"/>
          <w:jc w:val="center"/>
        </w:trPr>
        <w:tc>
          <w:tcPr>
            <w:tcW w:w="1612" w:type="pct"/>
            <w:vMerge w:val="restar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bCs/>
                <w:color w:val="000000"/>
                <w:sz w:val="21"/>
                <w:szCs w:val="21"/>
              </w:rPr>
            </w:pPr>
            <w:r>
              <w:rPr>
                <w:rFonts w:hint="default" w:ascii="Times New Roman" w:hAnsi="Times New Roman" w:eastAsia="宋体" w:cs="Times New Roman"/>
                <w:bCs/>
                <w:color w:val="000000"/>
                <w:kern w:val="0"/>
                <w:sz w:val="21"/>
                <w:szCs w:val="21"/>
                <w:lang w:bidi="ar"/>
              </w:rPr>
              <w:t>专业名称</w:t>
            </w:r>
          </w:p>
        </w:tc>
        <w:tc>
          <w:tcPr>
            <w:tcW w:w="377" w:type="pct"/>
            <w:vMerge w:val="restar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bCs/>
                <w:color w:val="000000"/>
                <w:kern w:val="0"/>
                <w:sz w:val="21"/>
                <w:szCs w:val="21"/>
                <w:lang w:bidi="ar"/>
              </w:rPr>
            </w:pPr>
            <w:r>
              <w:rPr>
                <w:rFonts w:hint="default" w:ascii="Times New Roman" w:hAnsi="Times New Roman" w:eastAsia="宋体" w:cs="Times New Roman"/>
                <w:bCs/>
                <w:color w:val="000000"/>
                <w:kern w:val="0"/>
                <w:sz w:val="21"/>
                <w:szCs w:val="21"/>
                <w:lang w:bidi="ar"/>
              </w:rPr>
              <w:t>毕业</w:t>
            </w:r>
          </w:p>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bCs/>
                <w:color w:val="000000"/>
                <w:sz w:val="21"/>
                <w:szCs w:val="21"/>
              </w:rPr>
            </w:pPr>
            <w:r>
              <w:rPr>
                <w:rFonts w:hint="default" w:ascii="Times New Roman" w:hAnsi="Times New Roman" w:eastAsia="宋体" w:cs="Times New Roman"/>
                <w:bCs/>
                <w:color w:val="000000"/>
                <w:kern w:val="0"/>
                <w:sz w:val="21"/>
                <w:szCs w:val="21"/>
                <w:lang w:bidi="ar"/>
              </w:rPr>
              <w:t>总数</w:t>
            </w:r>
          </w:p>
        </w:tc>
        <w:tc>
          <w:tcPr>
            <w:tcW w:w="377" w:type="pct"/>
            <w:vMerge w:val="restar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bCs/>
                <w:color w:val="000000"/>
                <w:kern w:val="0"/>
                <w:sz w:val="21"/>
                <w:szCs w:val="21"/>
                <w:lang w:bidi="ar"/>
              </w:rPr>
            </w:pPr>
            <w:r>
              <w:rPr>
                <w:rFonts w:hint="default" w:ascii="Times New Roman" w:hAnsi="Times New Roman" w:eastAsia="宋体" w:cs="Times New Roman"/>
                <w:bCs/>
                <w:color w:val="000000"/>
                <w:kern w:val="0"/>
                <w:sz w:val="21"/>
                <w:szCs w:val="21"/>
                <w:lang w:bidi="ar"/>
              </w:rPr>
              <w:t>就业</w:t>
            </w:r>
          </w:p>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bCs/>
                <w:color w:val="000000"/>
                <w:sz w:val="21"/>
                <w:szCs w:val="21"/>
              </w:rPr>
            </w:pPr>
            <w:r>
              <w:rPr>
                <w:rFonts w:hint="default" w:ascii="Times New Roman" w:hAnsi="Times New Roman" w:eastAsia="宋体" w:cs="Times New Roman"/>
                <w:bCs/>
                <w:color w:val="000000"/>
                <w:kern w:val="0"/>
                <w:sz w:val="21"/>
                <w:szCs w:val="21"/>
                <w:lang w:bidi="ar"/>
              </w:rPr>
              <w:t>总数</w:t>
            </w:r>
          </w:p>
        </w:tc>
        <w:tc>
          <w:tcPr>
            <w:tcW w:w="377" w:type="pct"/>
            <w:vMerge w:val="restar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eastAsia" w:ascii="Times New Roman" w:hAnsi="Times New Roman" w:eastAsia="宋体" w:cs="Times New Roman"/>
                <w:bCs/>
                <w:color w:val="000000"/>
                <w:kern w:val="0"/>
                <w:sz w:val="21"/>
                <w:szCs w:val="21"/>
                <w:lang w:val="en-US" w:eastAsia="zh-CN" w:bidi="ar"/>
              </w:rPr>
            </w:pPr>
            <w:r>
              <w:rPr>
                <w:rFonts w:hint="default" w:ascii="Times New Roman" w:hAnsi="Times New Roman" w:eastAsia="宋体" w:cs="Times New Roman"/>
                <w:bCs/>
                <w:color w:val="000000"/>
                <w:kern w:val="0"/>
                <w:sz w:val="21"/>
                <w:szCs w:val="21"/>
                <w:lang w:bidi="ar"/>
              </w:rPr>
              <w:t>就业</w:t>
            </w:r>
          </w:p>
        </w:tc>
        <w:tc>
          <w:tcPr>
            <w:tcW w:w="553" w:type="pct"/>
            <w:vMerge w:val="restar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bCs/>
                <w:color w:val="000000"/>
                <w:sz w:val="21"/>
                <w:szCs w:val="21"/>
                <w:lang w:val="en-US" w:eastAsia="zh-CN"/>
              </w:rPr>
            </w:pPr>
            <w:r>
              <w:rPr>
                <w:rFonts w:hint="default" w:ascii="Times New Roman" w:hAnsi="Times New Roman" w:eastAsia="宋体" w:cs="Times New Roman"/>
                <w:bCs/>
                <w:color w:val="000000"/>
                <w:kern w:val="0"/>
                <w:sz w:val="21"/>
                <w:szCs w:val="21"/>
                <w:lang w:val="en-US" w:eastAsia="zh-CN" w:bidi="ar"/>
              </w:rPr>
              <w:t>公务员</w:t>
            </w:r>
          </w:p>
        </w:tc>
        <w:tc>
          <w:tcPr>
            <w:tcW w:w="377" w:type="pct"/>
            <w:vMerge w:val="restar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bCs/>
                <w:color w:val="000000"/>
                <w:kern w:val="0"/>
                <w:sz w:val="21"/>
                <w:szCs w:val="21"/>
                <w:lang w:bidi="ar"/>
              </w:rPr>
            </w:pPr>
            <w:r>
              <w:rPr>
                <w:rFonts w:hint="default" w:ascii="Times New Roman" w:hAnsi="Times New Roman" w:eastAsia="宋体" w:cs="Times New Roman"/>
                <w:bCs/>
                <w:color w:val="000000"/>
                <w:kern w:val="0"/>
                <w:sz w:val="21"/>
                <w:szCs w:val="21"/>
                <w:lang w:bidi="ar"/>
              </w:rPr>
              <w:t>自主</w:t>
            </w:r>
          </w:p>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bCs/>
                <w:color w:val="000000"/>
                <w:sz w:val="21"/>
                <w:szCs w:val="21"/>
              </w:rPr>
            </w:pPr>
            <w:r>
              <w:rPr>
                <w:rFonts w:hint="default" w:ascii="Times New Roman" w:hAnsi="Times New Roman" w:eastAsia="宋体" w:cs="Times New Roman"/>
                <w:bCs/>
                <w:color w:val="000000"/>
                <w:kern w:val="0"/>
                <w:sz w:val="21"/>
                <w:szCs w:val="21"/>
                <w:lang w:bidi="ar"/>
              </w:rPr>
              <w:t>创业</w:t>
            </w:r>
          </w:p>
        </w:tc>
        <w:tc>
          <w:tcPr>
            <w:tcW w:w="377" w:type="pct"/>
            <w:vMerge w:val="restar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bCs/>
                <w:color w:val="000000"/>
                <w:sz w:val="21"/>
                <w:szCs w:val="21"/>
              </w:rPr>
            </w:pPr>
            <w:r>
              <w:rPr>
                <w:rFonts w:hint="default" w:ascii="Times New Roman" w:hAnsi="Times New Roman" w:eastAsia="宋体" w:cs="Times New Roman"/>
                <w:bCs/>
                <w:color w:val="000000"/>
                <w:kern w:val="0"/>
                <w:sz w:val="21"/>
                <w:szCs w:val="21"/>
                <w:lang w:bidi="ar"/>
              </w:rPr>
              <w:t>升学</w:t>
            </w:r>
          </w:p>
        </w:tc>
        <w:tc>
          <w:tcPr>
            <w:tcW w:w="377" w:type="pct"/>
            <w:vMerge w:val="restar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bCs/>
                <w:color w:val="000000"/>
                <w:kern w:val="0"/>
                <w:sz w:val="21"/>
                <w:szCs w:val="21"/>
                <w:lang w:bidi="ar"/>
              </w:rPr>
            </w:pPr>
            <w:r>
              <w:rPr>
                <w:rFonts w:hint="default" w:ascii="Times New Roman" w:hAnsi="Times New Roman" w:eastAsia="宋体" w:cs="Times New Roman"/>
                <w:bCs/>
                <w:color w:val="000000"/>
                <w:kern w:val="0"/>
                <w:sz w:val="21"/>
                <w:szCs w:val="21"/>
                <w:lang w:bidi="ar"/>
              </w:rPr>
              <w:t>待</w:t>
            </w:r>
          </w:p>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bCs/>
                <w:color w:val="000000"/>
                <w:sz w:val="21"/>
                <w:szCs w:val="21"/>
              </w:rPr>
            </w:pPr>
            <w:r>
              <w:rPr>
                <w:rFonts w:hint="default" w:ascii="Times New Roman" w:hAnsi="Times New Roman" w:eastAsia="宋体" w:cs="Times New Roman"/>
                <w:bCs/>
                <w:color w:val="000000"/>
                <w:kern w:val="0"/>
                <w:sz w:val="21"/>
                <w:szCs w:val="21"/>
                <w:lang w:bidi="ar"/>
              </w:rPr>
              <w:t>就业</w:t>
            </w:r>
          </w:p>
        </w:tc>
        <w:tc>
          <w:tcPr>
            <w:tcW w:w="568" w:type="pct"/>
            <w:vMerge w:val="restar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bCs/>
                <w:color w:val="000000"/>
                <w:sz w:val="21"/>
                <w:szCs w:val="21"/>
              </w:rPr>
            </w:pPr>
            <w:r>
              <w:rPr>
                <w:rFonts w:hint="default" w:ascii="Times New Roman" w:hAnsi="Times New Roman" w:eastAsia="宋体" w:cs="Times New Roman"/>
                <w:bCs/>
                <w:color w:val="000000"/>
                <w:kern w:val="0"/>
                <w:sz w:val="21"/>
                <w:szCs w:val="21"/>
                <w:lang w:bidi="ar"/>
              </w:rPr>
              <w:t>就业率</w:t>
            </w:r>
          </w:p>
        </w:tc>
      </w:tr>
      <w:tr>
        <w:tblPrEx>
          <w:tblCellMar>
            <w:top w:w="15" w:type="dxa"/>
            <w:left w:w="15" w:type="dxa"/>
            <w:bottom w:w="15" w:type="dxa"/>
            <w:right w:w="15" w:type="dxa"/>
          </w:tblCellMar>
        </w:tblPrEx>
        <w:trPr>
          <w:trHeight w:val="312" w:hRule="atLeast"/>
          <w:jc w:val="center"/>
        </w:trPr>
        <w:tc>
          <w:tcPr>
            <w:tcW w:w="1612" w:type="pct"/>
            <w:vMerge w:val="continue"/>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b/>
                <w:color w:val="000000"/>
                <w:sz w:val="21"/>
                <w:szCs w:val="21"/>
              </w:rPr>
            </w:pPr>
          </w:p>
        </w:tc>
        <w:tc>
          <w:tcPr>
            <w:tcW w:w="377" w:type="pct"/>
            <w:vMerge w:val="continue"/>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b/>
                <w:color w:val="000000"/>
                <w:sz w:val="21"/>
                <w:szCs w:val="21"/>
              </w:rPr>
            </w:pPr>
          </w:p>
        </w:tc>
        <w:tc>
          <w:tcPr>
            <w:tcW w:w="377" w:type="pct"/>
            <w:vMerge w:val="continue"/>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b/>
                <w:color w:val="000000"/>
                <w:sz w:val="21"/>
                <w:szCs w:val="21"/>
              </w:rPr>
            </w:pPr>
          </w:p>
        </w:tc>
        <w:tc>
          <w:tcPr>
            <w:tcW w:w="377" w:type="pct"/>
            <w:vMerge w:val="continue"/>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b/>
                <w:color w:val="000000"/>
                <w:sz w:val="21"/>
                <w:szCs w:val="21"/>
              </w:rPr>
            </w:pPr>
          </w:p>
        </w:tc>
        <w:tc>
          <w:tcPr>
            <w:tcW w:w="553" w:type="pct"/>
            <w:vMerge w:val="continue"/>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b/>
                <w:color w:val="000000"/>
                <w:sz w:val="21"/>
                <w:szCs w:val="21"/>
              </w:rPr>
            </w:pPr>
          </w:p>
        </w:tc>
        <w:tc>
          <w:tcPr>
            <w:tcW w:w="377" w:type="pct"/>
            <w:vMerge w:val="continue"/>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b/>
                <w:color w:val="000000"/>
                <w:sz w:val="21"/>
                <w:szCs w:val="21"/>
              </w:rPr>
            </w:pPr>
          </w:p>
        </w:tc>
        <w:tc>
          <w:tcPr>
            <w:tcW w:w="377" w:type="pct"/>
            <w:vMerge w:val="continue"/>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b/>
                <w:color w:val="000000"/>
                <w:sz w:val="21"/>
                <w:szCs w:val="21"/>
              </w:rPr>
            </w:pPr>
          </w:p>
        </w:tc>
        <w:tc>
          <w:tcPr>
            <w:tcW w:w="377" w:type="pct"/>
            <w:vMerge w:val="continue"/>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b/>
                <w:color w:val="000000"/>
                <w:sz w:val="21"/>
                <w:szCs w:val="21"/>
              </w:rPr>
            </w:pPr>
          </w:p>
        </w:tc>
        <w:tc>
          <w:tcPr>
            <w:tcW w:w="568" w:type="pct"/>
            <w:vMerge w:val="continue"/>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b/>
                <w:color w:val="000000"/>
                <w:sz w:val="21"/>
                <w:szCs w:val="21"/>
              </w:rPr>
            </w:pPr>
          </w:p>
        </w:tc>
      </w:tr>
      <w:tr>
        <w:tblPrEx>
          <w:tblCellMar>
            <w:top w:w="15" w:type="dxa"/>
            <w:left w:w="15" w:type="dxa"/>
            <w:bottom w:w="15" w:type="dxa"/>
            <w:right w:w="15" w:type="dxa"/>
          </w:tblCellMar>
        </w:tblPrEx>
        <w:trPr>
          <w:trHeight w:val="310" w:hRule="atLeast"/>
          <w:jc w:val="center"/>
        </w:trPr>
        <w:tc>
          <w:tcPr>
            <w:tcW w:w="1612"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b/>
                <w:color w:val="000000"/>
                <w:sz w:val="21"/>
                <w:szCs w:val="21"/>
              </w:rPr>
            </w:pPr>
            <w:r>
              <w:rPr>
                <w:rFonts w:hint="default" w:ascii="Times New Roman" w:hAnsi="Times New Roman" w:eastAsia="宋体" w:cs="Times New Roman"/>
                <w:color w:val="000000"/>
                <w:kern w:val="0"/>
                <w:sz w:val="21"/>
                <w:szCs w:val="21"/>
                <w:lang w:bidi="ar"/>
              </w:rPr>
              <w:t>化学工程与工艺</w:t>
            </w:r>
          </w:p>
        </w:tc>
        <w:tc>
          <w:tcPr>
            <w:tcW w:w="377"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98</w:t>
            </w:r>
          </w:p>
        </w:tc>
        <w:tc>
          <w:tcPr>
            <w:tcW w:w="377"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92</w:t>
            </w:r>
          </w:p>
        </w:tc>
        <w:tc>
          <w:tcPr>
            <w:tcW w:w="377"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6</w:t>
            </w:r>
            <w:r>
              <w:rPr>
                <w:rFonts w:hint="eastAsia" w:ascii="Times New Roman" w:hAnsi="Times New Roman" w:eastAsia="宋体" w:cs="Times New Roman"/>
                <w:color w:val="000000"/>
                <w:sz w:val="21"/>
                <w:szCs w:val="21"/>
                <w:lang w:val="en-US" w:eastAsia="zh-CN"/>
              </w:rPr>
              <w:t>4</w:t>
            </w:r>
          </w:p>
        </w:tc>
        <w:tc>
          <w:tcPr>
            <w:tcW w:w="553"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2</w:t>
            </w:r>
          </w:p>
        </w:tc>
        <w:tc>
          <w:tcPr>
            <w:tcW w:w="377"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377"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26</w:t>
            </w:r>
          </w:p>
        </w:tc>
        <w:tc>
          <w:tcPr>
            <w:tcW w:w="377"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6</w:t>
            </w:r>
          </w:p>
        </w:tc>
        <w:tc>
          <w:tcPr>
            <w:tcW w:w="568"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98.93%</w:t>
            </w:r>
          </w:p>
        </w:tc>
      </w:tr>
      <w:tr>
        <w:tblPrEx>
          <w:tblCellMar>
            <w:top w:w="15" w:type="dxa"/>
            <w:left w:w="15" w:type="dxa"/>
            <w:bottom w:w="15" w:type="dxa"/>
            <w:right w:w="15" w:type="dxa"/>
          </w:tblCellMar>
        </w:tblPrEx>
        <w:trPr>
          <w:trHeight w:val="23" w:hRule="atLeast"/>
          <w:jc w:val="center"/>
        </w:trPr>
        <w:tc>
          <w:tcPr>
            <w:tcW w:w="1612"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无机非金属材料工程</w:t>
            </w:r>
          </w:p>
        </w:tc>
        <w:tc>
          <w:tcPr>
            <w:tcW w:w="377"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35</w:t>
            </w:r>
          </w:p>
        </w:tc>
        <w:tc>
          <w:tcPr>
            <w:tcW w:w="377"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35</w:t>
            </w:r>
          </w:p>
        </w:tc>
        <w:tc>
          <w:tcPr>
            <w:tcW w:w="377"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20</w:t>
            </w:r>
          </w:p>
        </w:tc>
        <w:tc>
          <w:tcPr>
            <w:tcW w:w="553"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1</w:t>
            </w:r>
          </w:p>
        </w:tc>
        <w:tc>
          <w:tcPr>
            <w:tcW w:w="377"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0</w:t>
            </w:r>
          </w:p>
        </w:tc>
        <w:tc>
          <w:tcPr>
            <w:tcW w:w="377"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9</w:t>
            </w:r>
          </w:p>
        </w:tc>
        <w:tc>
          <w:tcPr>
            <w:tcW w:w="377"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568"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100%</w:t>
            </w:r>
          </w:p>
        </w:tc>
      </w:tr>
      <w:tr>
        <w:tblPrEx>
          <w:tblCellMar>
            <w:top w:w="15" w:type="dxa"/>
            <w:left w:w="15" w:type="dxa"/>
            <w:bottom w:w="15" w:type="dxa"/>
            <w:right w:w="15" w:type="dxa"/>
          </w:tblCellMar>
        </w:tblPrEx>
        <w:trPr>
          <w:trHeight w:val="23" w:hRule="atLeast"/>
          <w:jc w:val="center"/>
        </w:trPr>
        <w:tc>
          <w:tcPr>
            <w:tcW w:w="1612"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粉体材料科学与工程</w:t>
            </w:r>
          </w:p>
        </w:tc>
        <w:tc>
          <w:tcPr>
            <w:tcW w:w="377"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30</w:t>
            </w:r>
          </w:p>
        </w:tc>
        <w:tc>
          <w:tcPr>
            <w:tcW w:w="377"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30</w:t>
            </w:r>
          </w:p>
        </w:tc>
        <w:tc>
          <w:tcPr>
            <w:tcW w:w="377"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15</w:t>
            </w:r>
          </w:p>
        </w:tc>
        <w:tc>
          <w:tcPr>
            <w:tcW w:w="553"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377"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377"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15</w:t>
            </w:r>
          </w:p>
        </w:tc>
        <w:tc>
          <w:tcPr>
            <w:tcW w:w="377"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568"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100%</w:t>
            </w:r>
          </w:p>
        </w:tc>
      </w:tr>
      <w:tr>
        <w:tblPrEx>
          <w:tblCellMar>
            <w:top w:w="15" w:type="dxa"/>
            <w:left w:w="15" w:type="dxa"/>
            <w:bottom w:w="15" w:type="dxa"/>
            <w:right w:w="15" w:type="dxa"/>
          </w:tblCellMar>
        </w:tblPrEx>
        <w:trPr>
          <w:trHeight w:val="23" w:hRule="atLeast"/>
          <w:jc w:val="center"/>
        </w:trPr>
        <w:tc>
          <w:tcPr>
            <w:tcW w:w="1612"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能源化学工程</w:t>
            </w:r>
          </w:p>
        </w:tc>
        <w:tc>
          <w:tcPr>
            <w:tcW w:w="377"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37</w:t>
            </w:r>
          </w:p>
        </w:tc>
        <w:tc>
          <w:tcPr>
            <w:tcW w:w="377"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35</w:t>
            </w:r>
          </w:p>
        </w:tc>
        <w:tc>
          <w:tcPr>
            <w:tcW w:w="377"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23</w:t>
            </w:r>
          </w:p>
        </w:tc>
        <w:tc>
          <w:tcPr>
            <w:tcW w:w="553"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1</w:t>
            </w:r>
          </w:p>
        </w:tc>
        <w:tc>
          <w:tcPr>
            <w:tcW w:w="377"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377"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11</w:t>
            </w:r>
          </w:p>
        </w:tc>
        <w:tc>
          <w:tcPr>
            <w:tcW w:w="377"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2</w:t>
            </w:r>
          </w:p>
        </w:tc>
        <w:tc>
          <w:tcPr>
            <w:tcW w:w="568"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94.59</w:t>
            </w:r>
            <w:r>
              <w:rPr>
                <w:rFonts w:hint="default" w:ascii="Times New Roman" w:hAnsi="Times New Roman" w:eastAsia="宋体" w:cs="Times New Roman"/>
                <w:color w:val="000000"/>
                <w:sz w:val="21"/>
                <w:szCs w:val="21"/>
                <w:lang w:val="en-US" w:eastAsia="zh-CN"/>
              </w:rPr>
              <w:t>%</w:t>
            </w:r>
          </w:p>
        </w:tc>
      </w:tr>
      <w:tr>
        <w:tblPrEx>
          <w:tblCellMar>
            <w:top w:w="15" w:type="dxa"/>
            <w:left w:w="15" w:type="dxa"/>
            <w:bottom w:w="15" w:type="dxa"/>
            <w:right w:w="15" w:type="dxa"/>
          </w:tblCellMar>
        </w:tblPrEx>
        <w:trPr>
          <w:trHeight w:val="23" w:hRule="atLeast"/>
          <w:jc w:val="center"/>
        </w:trPr>
        <w:tc>
          <w:tcPr>
            <w:tcW w:w="1612"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kern w:val="0"/>
                <w:sz w:val="21"/>
                <w:szCs w:val="21"/>
                <w:lang w:val="en-US" w:eastAsia="zh-CN" w:bidi="ar"/>
              </w:rPr>
              <w:t>材料科学与工程（研究生）</w:t>
            </w:r>
          </w:p>
        </w:tc>
        <w:tc>
          <w:tcPr>
            <w:tcW w:w="377"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40</w:t>
            </w:r>
          </w:p>
        </w:tc>
        <w:tc>
          <w:tcPr>
            <w:tcW w:w="377"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38</w:t>
            </w:r>
          </w:p>
        </w:tc>
        <w:tc>
          <w:tcPr>
            <w:tcW w:w="377"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35</w:t>
            </w:r>
          </w:p>
        </w:tc>
        <w:tc>
          <w:tcPr>
            <w:tcW w:w="553"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4</w:t>
            </w:r>
          </w:p>
        </w:tc>
        <w:tc>
          <w:tcPr>
            <w:tcW w:w="377"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1</w:t>
            </w:r>
          </w:p>
        </w:tc>
        <w:tc>
          <w:tcPr>
            <w:tcW w:w="377"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0</w:t>
            </w:r>
          </w:p>
        </w:tc>
        <w:tc>
          <w:tcPr>
            <w:tcW w:w="377"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tabs>
                <w:tab w:val="left" w:pos="522"/>
              </w:tabs>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0</w:t>
            </w:r>
          </w:p>
        </w:tc>
        <w:tc>
          <w:tcPr>
            <w:tcW w:w="568"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100%</w:t>
            </w:r>
          </w:p>
        </w:tc>
      </w:tr>
      <w:tr>
        <w:tblPrEx>
          <w:tblCellMar>
            <w:top w:w="15" w:type="dxa"/>
            <w:left w:w="15" w:type="dxa"/>
            <w:bottom w:w="15" w:type="dxa"/>
            <w:right w:w="15" w:type="dxa"/>
          </w:tblCellMar>
        </w:tblPrEx>
        <w:trPr>
          <w:trHeight w:val="23" w:hRule="atLeast"/>
          <w:jc w:val="center"/>
        </w:trPr>
        <w:tc>
          <w:tcPr>
            <w:tcW w:w="268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总计</w:t>
            </w:r>
          </w:p>
        </w:tc>
        <w:tc>
          <w:tcPr>
            <w:tcW w:w="62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2</w:t>
            </w:r>
            <w:r>
              <w:rPr>
                <w:rFonts w:hint="eastAsia" w:ascii="Times New Roman" w:hAnsi="Times New Roman" w:eastAsia="宋体" w:cs="Times New Roman"/>
                <w:color w:val="000000"/>
                <w:sz w:val="21"/>
                <w:szCs w:val="21"/>
                <w:lang w:val="en-US" w:eastAsia="zh-CN"/>
              </w:rPr>
              <w:t>40</w:t>
            </w:r>
          </w:p>
        </w:tc>
        <w:tc>
          <w:tcPr>
            <w:tcW w:w="62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2</w:t>
            </w:r>
            <w:r>
              <w:rPr>
                <w:rFonts w:hint="eastAsia" w:ascii="Times New Roman" w:hAnsi="Times New Roman" w:eastAsia="宋体" w:cs="Times New Roman"/>
                <w:color w:val="000000"/>
                <w:sz w:val="21"/>
                <w:szCs w:val="21"/>
                <w:lang w:val="en-US" w:eastAsia="zh-CN"/>
              </w:rPr>
              <w:t>30</w:t>
            </w:r>
          </w:p>
        </w:tc>
        <w:tc>
          <w:tcPr>
            <w:tcW w:w="62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185</w:t>
            </w:r>
          </w:p>
        </w:tc>
        <w:tc>
          <w:tcPr>
            <w:tcW w:w="92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8</w:t>
            </w:r>
          </w:p>
        </w:tc>
        <w:tc>
          <w:tcPr>
            <w:tcW w:w="62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1</w:t>
            </w:r>
          </w:p>
        </w:tc>
        <w:tc>
          <w:tcPr>
            <w:tcW w:w="62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6</w:t>
            </w:r>
            <w:r>
              <w:rPr>
                <w:rFonts w:hint="eastAsia" w:ascii="Times New Roman" w:hAnsi="Times New Roman" w:eastAsia="宋体" w:cs="Times New Roman"/>
                <w:color w:val="000000"/>
                <w:sz w:val="21"/>
                <w:szCs w:val="21"/>
                <w:lang w:val="en-US" w:eastAsia="zh-CN"/>
              </w:rPr>
              <w:t>1</w:t>
            </w:r>
          </w:p>
        </w:tc>
        <w:tc>
          <w:tcPr>
            <w:tcW w:w="62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tabs>
                <w:tab w:val="left" w:pos="522"/>
              </w:tabs>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8</w:t>
            </w:r>
          </w:p>
        </w:tc>
        <w:tc>
          <w:tcPr>
            <w:tcW w:w="9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96.66</w:t>
            </w:r>
            <w:r>
              <w:rPr>
                <w:rFonts w:hint="default" w:ascii="Times New Roman" w:hAnsi="Times New Roman" w:eastAsia="宋体" w:cs="Times New Roman"/>
                <w:color w:val="000000"/>
                <w:sz w:val="21"/>
                <w:szCs w:val="21"/>
                <w:lang w:val="en-US" w:eastAsia="zh-CN"/>
              </w:rPr>
              <w:t>%</w:t>
            </w:r>
          </w:p>
        </w:tc>
      </w:tr>
    </w:tbl>
    <w:p>
      <w:pPr>
        <w:spacing w:before="156" w:beforeLines="50" w:after="156" w:afterLines="50" w:line="360" w:lineRule="auto"/>
        <w:jc w:val="center"/>
        <w:rPr>
          <w:rFonts w:hint="default" w:ascii="Times New Roman" w:hAnsi="Times New Roman" w:cs="Times New Roman"/>
          <w:b/>
          <w:bCs/>
          <w:color w:val="000000"/>
          <w:kern w:val="0"/>
          <w:sz w:val="24"/>
        </w:rPr>
      </w:pPr>
      <w:r>
        <w:rPr>
          <w:rFonts w:hint="default" w:ascii="Times New Roman" w:hAnsi="Times New Roman" w:cs="Times New Roman"/>
          <w:b/>
          <w:bCs/>
          <w:color w:val="000000"/>
          <w:kern w:val="0"/>
          <w:sz w:val="24"/>
        </w:rPr>
        <w:t>第二部分：</w:t>
      </w:r>
      <w:r>
        <w:rPr>
          <w:rFonts w:hint="default" w:ascii="Times New Roman" w:hAnsi="Times New Roman" w:cs="Times New Roman"/>
          <w:b/>
          <w:bCs/>
          <w:color w:val="000000"/>
          <w:kern w:val="0"/>
          <w:sz w:val="24"/>
          <w:lang w:eastAsia="zh-CN"/>
        </w:rPr>
        <w:t>材化学院</w:t>
      </w:r>
      <w:r>
        <w:rPr>
          <w:rFonts w:hint="eastAsia" w:ascii="Times New Roman" w:hAnsi="Times New Roman" w:cs="Times New Roman"/>
          <w:b/>
          <w:bCs/>
          <w:color w:val="000000"/>
          <w:kern w:val="0"/>
          <w:sz w:val="24"/>
          <w:lang w:val="en-US" w:eastAsia="zh-CN"/>
        </w:rPr>
        <w:t>2022</w:t>
      </w:r>
      <w:r>
        <w:rPr>
          <w:rFonts w:hint="default" w:ascii="Times New Roman" w:hAnsi="Times New Roman" w:cs="Times New Roman"/>
          <w:b/>
          <w:bCs/>
          <w:color w:val="000000"/>
          <w:kern w:val="0"/>
          <w:sz w:val="24"/>
        </w:rPr>
        <w:t>届毕业生各专业就业结构分析</w:t>
      </w:r>
    </w:p>
    <w:p>
      <w:pPr>
        <w:spacing w:line="360" w:lineRule="auto"/>
        <w:ind w:firstLine="482" w:firstLineChars="200"/>
        <w:rPr>
          <w:rFonts w:hint="default" w:ascii="Times New Roman" w:hAnsi="Times New Roman" w:eastAsia="宋体" w:cs="Times New Roman"/>
          <w:b/>
          <w:bCs/>
          <w:color w:val="000000"/>
          <w:sz w:val="24"/>
          <w:lang w:val="en-US" w:eastAsia="zh-CN"/>
        </w:rPr>
      </w:pPr>
      <w:r>
        <w:rPr>
          <w:rFonts w:hint="eastAsia" w:ascii="Times New Roman" w:hAnsi="Times New Roman" w:cs="Times New Roman"/>
          <w:b/>
          <w:bCs/>
          <w:color w:val="000000"/>
          <w:sz w:val="24"/>
          <w:lang w:val="en-US" w:eastAsia="zh-CN"/>
        </w:rPr>
        <w:t>2.1 2022</w:t>
      </w:r>
      <w:r>
        <w:rPr>
          <w:rFonts w:hint="default" w:ascii="Times New Roman" w:hAnsi="Times New Roman" w:cs="Times New Roman"/>
          <w:b/>
          <w:bCs/>
          <w:color w:val="000000"/>
          <w:sz w:val="24"/>
        </w:rPr>
        <w:t>届毕业生就业去向</w:t>
      </w:r>
      <w:r>
        <w:rPr>
          <w:rFonts w:hint="eastAsia" w:ascii="Times New Roman" w:hAnsi="Times New Roman" w:cs="Times New Roman"/>
          <w:b/>
          <w:bCs/>
          <w:color w:val="000000"/>
          <w:sz w:val="24"/>
          <w:lang w:val="en-US" w:eastAsia="zh-CN"/>
        </w:rPr>
        <w:t>基本情况表</w:t>
      </w:r>
    </w:p>
    <w:p>
      <w:pPr>
        <w:spacing w:line="360" w:lineRule="auto"/>
        <w:ind w:firstLine="420" w:firstLineChars="20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表2</w:t>
      </w:r>
      <w:r>
        <w:rPr>
          <w:rFonts w:hint="eastAsia" w:ascii="Times New Roman" w:hAnsi="Times New Roman" w:cs="Times New Roman"/>
          <w:color w:val="000000"/>
          <w:sz w:val="21"/>
          <w:szCs w:val="21"/>
          <w:lang w:val="en-US" w:eastAsia="zh-CN"/>
        </w:rPr>
        <w:t>-1</w:t>
      </w:r>
      <w:r>
        <w:rPr>
          <w:rFonts w:hint="default" w:ascii="Times New Roman" w:hAnsi="Times New Roman" w:cs="Times New Roman"/>
          <w:bCs/>
          <w:color w:val="000000"/>
          <w:sz w:val="21"/>
          <w:szCs w:val="21"/>
          <w:lang w:eastAsia="zh-CN"/>
        </w:rPr>
        <w:t>材化学院</w:t>
      </w:r>
      <w:r>
        <w:rPr>
          <w:rFonts w:hint="eastAsia" w:ascii="Times New Roman" w:hAnsi="Times New Roman" w:cs="Times New Roman"/>
          <w:bCs/>
          <w:color w:val="000000"/>
          <w:sz w:val="21"/>
          <w:szCs w:val="21"/>
          <w:lang w:val="en-US" w:eastAsia="zh-CN"/>
        </w:rPr>
        <w:t>2022</w:t>
      </w:r>
      <w:r>
        <w:rPr>
          <w:rFonts w:hint="default" w:ascii="Times New Roman" w:hAnsi="Times New Roman" w:cs="Times New Roman"/>
          <w:bCs/>
          <w:color w:val="000000"/>
          <w:sz w:val="21"/>
          <w:szCs w:val="21"/>
        </w:rPr>
        <w:t>届毕业生就业去向</w:t>
      </w:r>
      <w:r>
        <w:rPr>
          <w:rFonts w:hint="eastAsia" w:ascii="Times New Roman" w:hAnsi="Times New Roman" w:cs="Times New Roman"/>
          <w:bCs/>
          <w:color w:val="000000"/>
          <w:sz w:val="21"/>
          <w:szCs w:val="21"/>
          <w:lang w:val="en-US" w:eastAsia="zh-CN"/>
        </w:rPr>
        <w:t>基本情况</w:t>
      </w:r>
      <w:r>
        <w:rPr>
          <w:rFonts w:hint="default" w:ascii="Times New Roman" w:hAnsi="Times New Roman" w:cs="Times New Roman"/>
          <w:bCs/>
          <w:color w:val="000000"/>
          <w:sz w:val="21"/>
          <w:szCs w:val="21"/>
        </w:rPr>
        <w:t>表</w:t>
      </w:r>
    </w:p>
    <w:tbl>
      <w:tblPr>
        <w:tblStyle w:val="13"/>
        <w:tblW w:w="513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2145"/>
        <w:gridCol w:w="1235"/>
        <w:gridCol w:w="2473"/>
        <w:gridCol w:w="1332"/>
        <w:gridCol w:w="14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20" w:hRule="exact"/>
          <w:jc w:val="center"/>
        </w:trPr>
        <w:tc>
          <w:tcPr>
            <w:tcW w:w="1240" w:type="pct"/>
            <w:noWrap w:val="0"/>
            <w:vAlign w:val="center"/>
          </w:tcPr>
          <w:p>
            <w:pPr>
              <w:keepNext w:val="0"/>
              <w:keepLines w:val="0"/>
              <w:pageBreakBefore w:val="0"/>
              <w:widowControl/>
              <w:kinsoku/>
              <w:wordWrap/>
              <w:overflowPunct/>
              <w:topLinePunct w:val="0"/>
              <w:autoSpaceDE/>
              <w:autoSpaceDN/>
              <w:bidi w:val="0"/>
              <w:adjustRightInd/>
              <w:snapToGrid/>
              <w:spacing w:before="100" w:beforeAutospacing="1" w:after="100" w:afterAutospacing="1" w:line="240" w:lineRule="auto"/>
              <w:jc w:val="center"/>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rPr>
              <w:t>专业</w:t>
            </w:r>
          </w:p>
        </w:tc>
        <w:tc>
          <w:tcPr>
            <w:tcW w:w="714" w:type="pct"/>
            <w:noWrap w:val="0"/>
            <w:vAlign w:val="center"/>
          </w:tcPr>
          <w:p>
            <w:pPr>
              <w:keepNext w:val="0"/>
              <w:keepLines w:val="0"/>
              <w:pageBreakBefore w:val="0"/>
              <w:widowControl/>
              <w:kinsoku/>
              <w:wordWrap/>
              <w:overflowPunct/>
              <w:topLinePunct w:val="0"/>
              <w:autoSpaceDE/>
              <w:autoSpaceDN/>
              <w:bidi w:val="0"/>
              <w:adjustRightInd/>
              <w:snapToGrid/>
              <w:spacing w:before="100" w:beforeAutospacing="1" w:after="100" w:afterAutospacing="1" w:line="240" w:lineRule="auto"/>
              <w:jc w:val="center"/>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rPr>
              <w:t>毕业人数</w:t>
            </w:r>
          </w:p>
        </w:tc>
        <w:tc>
          <w:tcPr>
            <w:tcW w:w="1430" w:type="pct"/>
            <w:noWrap w:val="0"/>
            <w:vAlign w:val="center"/>
          </w:tcPr>
          <w:p>
            <w:pPr>
              <w:keepNext w:val="0"/>
              <w:keepLines w:val="0"/>
              <w:pageBreakBefore w:val="0"/>
              <w:widowControl/>
              <w:kinsoku/>
              <w:wordWrap/>
              <w:overflowPunct/>
              <w:topLinePunct w:val="0"/>
              <w:autoSpaceDE/>
              <w:autoSpaceDN/>
              <w:bidi w:val="0"/>
              <w:adjustRightInd/>
              <w:snapToGrid/>
              <w:spacing w:before="100" w:beforeAutospacing="1" w:after="100" w:afterAutospacing="1" w:line="240" w:lineRule="auto"/>
              <w:jc w:val="center"/>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rPr>
              <w:t>行业</w:t>
            </w:r>
          </w:p>
        </w:tc>
        <w:tc>
          <w:tcPr>
            <w:tcW w:w="770" w:type="pct"/>
            <w:noWrap w:val="0"/>
            <w:vAlign w:val="center"/>
          </w:tcPr>
          <w:p>
            <w:pPr>
              <w:keepNext w:val="0"/>
              <w:keepLines w:val="0"/>
              <w:pageBreakBefore w:val="0"/>
              <w:widowControl/>
              <w:kinsoku/>
              <w:wordWrap/>
              <w:overflowPunct/>
              <w:topLinePunct w:val="0"/>
              <w:autoSpaceDE/>
              <w:autoSpaceDN/>
              <w:bidi w:val="0"/>
              <w:adjustRightInd/>
              <w:snapToGrid/>
              <w:spacing w:before="100" w:beforeAutospacing="1" w:after="100" w:afterAutospacing="1" w:line="240" w:lineRule="auto"/>
              <w:jc w:val="center"/>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rPr>
              <w:t>人数</w:t>
            </w:r>
          </w:p>
        </w:tc>
        <w:tc>
          <w:tcPr>
            <w:tcW w:w="844" w:type="pct"/>
            <w:noWrap w:val="0"/>
            <w:tcMar>
              <w:top w:w="0" w:type="dxa"/>
              <w:left w:w="108" w:type="dxa"/>
              <w:bottom w:w="0" w:type="dxa"/>
              <w:right w:w="108" w:type="dxa"/>
            </w:tcMar>
            <w:vAlign w:val="center"/>
          </w:tcPr>
          <w:p>
            <w:pPr>
              <w:keepNext w:val="0"/>
              <w:keepLines w:val="0"/>
              <w:pageBreakBefore w:val="0"/>
              <w:widowControl/>
              <w:kinsoku/>
              <w:wordWrap/>
              <w:overflowPunct/>
              <w:topLinePunct w:val="0"/>
              <w:autoSpaceDE/>
              <w:autoSpaceDN/>
              <w:bidi w:val="0"/>
              <w:adjustRightInd/>
              <w:snapToGrid/>
              <w:spacing w:before="100" w:beforeAutospacing="1" w:after="100" w:afterAutospacing="1" w:line="240" w:lineRule="auto"/>
              <w:jc w:val="center"/>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rPr>
              <w:t>百分率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8" w:hRule="exact"/>
          <w:jc w:val="center"/>
        </w:trPr>
        <w:tc>
          <w:tcPr>
            <w:tcW w:w="1240" w:type="pct"/>
            <w:vMerge w:val="restart"/>
            <w:noWrap w:val="0"/>
            <w:vAlign w:val="center"/>
          </w:tcPr>
          <w:p>
            <w:pPr>
              <w:keepNext w:val="0"/>
              <w:keepLines w:val="0"/>
              <w:pageBreakBefore w:val="0"/>
              <w:widowControl/>
              <w:kinsoku/>
              <w:wordWrap/>
              <w:overflowPunct/>
              <w:topLinePunct w:val="0"/>
              <w:autoSpaceDE/>
              <w:autoSpaceDN/>
              <w:bidi w:val="0"/>
              <w:adjustRightInd/>
              <w:snapToGrid/>
              <w:spacing w:before="100" w:beforeAutospacing="1" w:after="100" w:afterAutospacing="1" w:line="240" w:lineRule="auto"/>
              <w:jc w:val="center"/>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rPr>
              <w:t>化学工程与工艺</w:t>
            </w:r>
          </w:p>
          <w:p>
            <w:pPr>
              <w:keepNext w:val="0"/>
              <w:keepLines w:val="0"/>
              <w:pageBreakBefore w:val="0"/>
              <w:widowControl/>
              <w:kinsoku/>
              <w:wordWrap/>
              <w:overflowPunct/>
              <w:topLinePunct w:val="0"/>
              <w:autoSpaceDE/>
              <w:autoSpaceDN/>
              <w:bidi w:val="0"/>
              <w:adjustRightInd/>
              <w:snapToGrid/>
              <w:spacing w:before="100" w:beforeAutospacing="1" w:after="100" w:afterAutospacing="1" w:line="240" w:lineRule="auto"/>
              <w:jc w:val="center"/>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rPr>
              <w:t>（本科）</w:t>
            </w:r>
          </w:p>
        </w:tc>
        <w:tc>
          <w:tcPr>
            <w:tcW w:w="714" w:type="pct"/>
            <w:vMerge w:val="restart"/>
            <w:noWrap w:val="0"/>
            <w:vAlign w:val="center"/>
          </w:tcPr>
          <w:p>
            <w:pPr>
              <w:keepNext w:val="0"/>
              <w:keepLines w:val="0"/>
              <w:pageBreakBefore w:val="0"/>
              <w:widowControl/>
              <w:kinsoku/>
              <w:wordWrap/>
              <w:overflowPunct/>
              <w:topLinePunct w:val="0"/>
              <w:autoSpaceDE/>
              <w:autoSpaceDN/>
              <w:bidi w:val="0"/>
              <w:adjustRightInd/>
              <w:snapToGrid/>
              <w:spacing w:before="100" w:beforeAutospacing="1" w:after="100" w:afterAutospacing="1" w:line="240" w:lineRule="auto"/>
              <w:jc w:val="center"/>
              <w:rPr>
                <w:rFonts w:hint="default" w:ascii="Times New Roman" w:hAnsi="Times New Roman" w:eastAsia="宋体" w:cs="Times New Roman"/>
                <w:color w:val="000000"/>
                <w:kern w:val="0"/>
                <w:sz w:val="21"/>
                <w:szCs w:val="21"/>
                <w:lang w:val="en-US" w:eastAsia="zh-CN"/>
              </w:rPr>
            </w:pPr>
            <w:r>
              <w:rPr>
                <w:rFonts w:hint="eastAsia" w:ascii="Times New Roman" w:hAnsi="Times New Roman" w:cs="Times New Roman"/>
                <w:color w:val="000000"/>
                <w:kern w:val="0"/>
                <w:sz w:val="21"/>
                <w:szCs w:val="21"/>
                <w:lang w:val="en-US" w:eastAsia="zh-CN"/>
              </w:rPr>
              <w:t>98</w:t>
            </w:r>
          </w:p>
        </w:tc>
        <w:tc>
          <w:tcPr>
            <w:tcW w:w="1430" w:type="pct"/>
            <w:noWrap w:val="0"/>
            <w:vAlign w:val="center"/>
          </w:tcPr>
          <w:p>
            <w:pPr>
              <w:keepNext w:val="0"/>
              <w:keepLines w:val="0"/>
              <w:pageBreakBefore w:val="0"/>
              <w:widowControl/>
              <w:kinsoku/>
              <w:wordWrap/>
              <w:overflowPunct/>
              <w:topLinePunct w:val="0"/>
              <w:autoSpaceDE/>
              <w:autoSpaceDN/>
              <w:bidi w:val="0"/>
              <w:adjustRightInd/>
              <w:snapToGrid/>
              <w:spacing w:before="100" w:beforeAutospacing="1" w:after="100" w:afterAutospacing="1" w:line="240" w:lineRule="auto"/>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lang w:eastAsia="zh-CN"/>
              </w:rPr>
              <w:t>公务员、</w:t>
            </w:r>
            <w:r>
              <w:rPr>
                <w:rFonts w:hint="default" w:ascii="Times New Roman" w:hAnsi="Times New Roman" w:cs="Times New Roman"/>
                <w:color w:val="000000"/>
                <w:kern w:val="0"/>
                <w:sz w:val="21"/>
                <w:szCs w:val="21"/>
              </w:rPr>
              <w:t>事业单位</w:t>
            </w:r>
          </w:p>
        </w:tc>
        <w:tc>
          <w:tcPr>
            <w:tcW w:w="1332" w:type="dxa"/>
            <w:noWrap w:val="0"/>
            <w:vAlign w:val="bottom"/>
          </w:tcPr>
          <w:p>
            <w:pPr>
              <w:keepNext w:val="0"/>
              <w:keepLines w:val="0"/>
              <w:widowControl/>
              <w:suppressLineNumbers w:val="0"/>
              <w:jc w:val="center"/>
              <w:textAlignment w:val="bottom"/>
              <w:rPr>
                <w:rFonts w:hint="default" w:ascii="Times New Roman" w:hAnsi="Times New Roman" w:eastAsia="宋体" w:cs="Times New Roman"/>
                <w:color w:val="000000"/>
                <w:kern w:val="0"/>
                <w:sz w:val="21"/>
                <w:szCs w:val="21"/>
                <w:lang w:eastAsia="zh-CN"/>
              </w:rPr>
            </w:pPr>
            <w:r>
              <w:rPr>
                <w:rFonts w:hint="default" w:ascii="Times New Roman" w:hAnsi="Times New Roman" w:eastAsia="宋体" w:cs="Times New Roman"/>
                <w:i w:val="0"/>
                <w:iCs w:val="0"/>
                <w:color w:val="000000"/>
                <w:kern w:val="0"/>
                <w:sz w:val="21"/>
                <w:szCs w:val="21"/>
                <w:u w:val="none"/>
                <w:lang w:val="en-US" w:eastAsia="zh-CN" w:bidi="ar"/>
              </w:rPr>
              <w:t>2</w:t>
            </w:r>
          </w:p>
        </w:tc>
        <w:tc>
          <w:tcPr>
            <w:tcW w:w="1460" w:type="dxa"/>
            <w:noWrap w:val="0"/>
            <w:tcMar>
              <w:top w:w="0" w:type="dxa"/>
              <w:left w:w="108" w:type="dxa"/>
              <w:bottom w:w="0" w:type="dxa"/>
              <w:right w:w="108" w:type="dxa"/>
            </w:tcMar>
            <w:vAlign w:val="bottom"/>
          </w:tcPr>
          <w:p>
            <w:pPr>
              <w:keepNext w:val="0"/>
              <w:keepLines w:val="0"/>
              <w:widowControl/>
              <w:suppressLineNumbers w:val="0"/>
              <w:jc w:val="center"/>
              <w:textAlignment w:val="bottom"/>
              <w:rPr>
                <w:rFonts w:hint="default" w:ascii="Times New Roman" w:hAnsi="Times New Roman" w:cs="Times New Roman"/>
                <w:color w:val="000000"/>
                <w:kern w:val="0"/>
                <w:sz w:val="21"/>
                <w:szCs w:val="21"/>
                <w:lang w:val="en-US"/>
              </w:rPr>
            </w:pPr>
            <w:r>
              <w:rPr>
                <w:rFonts w:hint="default" w:ascii="Times New Roman" w:hAnsi="Times New Roman" w:eastAsia="宋体" w:cs="Times New Roman"/>
                <w:i w:val="0"/>
                <w:iCs w:val="0"/>
                <w:color w:val="000000"/>
                <w:kern w:val="0"/>
                <w:sz w:val="21"/>
                <w:szCs w:val="21"/>
                <w:u w:val="none"/>
                <w:lang w:val="en-US" w:eastAsia="zh-CN" w:bidi="ar"/>
              </w:rPr>
              <w:t>2.04%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exact"/>
          <w:jc w:val="center"/>
        </w:trPr>
        <w:tc>
          <w:tcPr>
            <w:tcW w:w="1240" w:type="pct"/>
            <w:vMerge w:val="continue"/>
            <w:noWrap w:val="0"/>
            <w:vAlign w:val="center"/>
          </w:tcPr>
          <w:p>
            <w:pPr>
              <w:keepNext w:val="0"/>
              <w:keepLines w:val="0"/>
              <w:pageBreakBefore w:val="0"/>
              <w:widowControl/>
              <w:kinsoku/>
              <w:wordWrap/>
              <w:overflowPunct/>
              <w:topLinePunct w:val="0"/>
              <w:autoSpaceDE/>
              <w:autoSpaceDN/>
              <w:bidi w:val="0"/>
              <w:adjustRightInd/>
              <w:snapToGrid/>
              <w:spacing w:before="100" w:beforeAutospacing="1" w:after="100" w:afterAutospacing="1" w:line="240" w:lineRule="auto"/>
              <w:jc w:val="center"/>
              <w:rPr>
                <w:rFonts w:hint="default" w:ascii="Times New Roman" w:hAnsi="Times New Roman" w:cs="Times New Roman"/>
                <w:color w:val="000000"/>
                <w:kern w:val="0"/>
                <w:sz w:val="21"/>
                <w:szCs w:val="21"/>
              </w:rPr>
            </w:pPr>
          </w:p>
        </w:tc>
        <w:tc>
          <w:tcPr>
            <w:tcW w:w="714" w:type="pct"/>
            <w:vMerge w:val="continue"/>
            <w:noWrap w:val="0"/>
            <w:vAlign w:val="center"/>
          </w:tcPr>
          <w:p>
            <w:pPr>
              <w:keepNext w:val="0"/>
              <w:keepLines w:val="0"/>
              <w:pageBreakBefore w:val="0"/>
              <w:widowControl/>
              <w:kinsoku/>
              <w:wordWrap/>
              <w:overflowPunct/>
              <w:topLinePunct w:val="0"/>
              <w:autoSpaceDE/>
              <w:autoSpaceDN/>
              <w:bidi w:val="0"/>
              <w:adjustRightInd/>
              <w:snapToGrid/>
              <w:spacing w:before="100" w:beforeAutospacing="1" w:after="100" w:afterAutospacing="1" w:line="240" w:lineRule="auto"/>
              <w:jc w:val="center"/>
              <w:rPr>
                <w:rFonts w:hint="default" w:ascii="Times New Roman" w:hAnsi="Times New Roman" w:cs="Times New Roman"/>
                <w:color w:val="000000"/>
                <w:kern w:val="0"/>
                <w:sz w:val="21"/>
                <w:szCs w:val="21"/>
              </w:rPr>
            </w:pPr>
          </w:p>
        </w:tc>
        <w:tc>
          <w:tcPr>
            <w:tcW w:w="1430" w:type="pct"/>
            <w:noWrap w:val="0"/>
            <w:vAlign w:val="center"/>
          </w:tcPr>
          <w:p>
            <w:pPr>
              <w:keepNext w:val="0"/>
              <w:keepLines w:val="0"/>
              <w:pageBreakBefore w:val="0"/>
              <w:widowControl/>
              <w:kinsoku/>
              <w:wordWrap/>
              <w:overflowPunct/>
              <w:topLinePunct w:val="0"/>
              <w:autoSpaceDE/>
              <w:autoSpaceDN/>
              <w:bidi w:val="0"/>
              <w:adjustRightInd/>
              <w:snapToGrid/>
              <w:spacing w:before="100" w:beforeAutospacing="1" w:after="100" w:afterAutospacing="1" w:line="240" w:lineRule="auto"/>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rPr>
              <w:t>国有企业</w:t>
            </w:r>
          </w:p>
        </w:tc>
        <w:tc>
          <w:tcPr>
            <w:tcW w:w="1332" w:type="dxa"/>
            <w:noWrap w:val="0"/>
            <w:vAlign w:val="bottom"/>
          </w:tcPr>
          <w:p>
            <w:pPr>
              <w:keepNext w:val="0"/>
              <w:keepLines w:val="0"/>
              <w:widowControl/>
              <w:suppressLineNumbers w:val="0"/>
              <w:jc w:val="center"/>
              <w:textAlignment w:val="bottom"/>
              <w:rPr>
                <w:rFonts w:hint="default" w:ascii="Times New Roman" w:hAnsi="Times New Roman" w:eastAsia="宋体" w:cs="Times New Roman"/>
                <w:color w:val="000000"/>
                <w:kern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4</w:t>
            </w:r>
          </w:p>
        </w:tc>
        <w:tc>
          <w:tcPr>
            <w:tcW w:w="1460" w:type="dxa"/>
            <w:noWrap w:val="0"/>
            <w:tcMar>
              <w:top w:w="0" w:type="dxa"/>
              <w:left w:w="108" w:type="dxa"/>
              <w:bottom w:w="0" w:type="dxa"/>
              <w:right w:w="108" w:type="dxa"/>
            </w:tcMar>
            <w:vAlign w:val="bottom"/>
          </w:tcPr>
          <w:p>
            <w:pPr>
              <w:keepNext w:val="0"/>
              <w:keepLines w:val="0"/>
              <w:widowControl/>
              <w:suppressLineNumbers w:val="0"/>
              <w:jc w:val="center"/>
              <w:textAlignment w:val="bottom"/>
              <w:rPr>
                <w:rFonts w:hint="default" w:ascii="Times New Roman" w:hAnsi="Times New Roman" w:cs="Times New Roman"/>
                <w:color w:val="000000"/>
                <w:kern w:val="0"/>
                <w:sz w:val="21"/>
                <w:szCs w:val="21"/>
              </w:rPr>
            </w:pPr>
            <w:r>
              <w:rPr>
                <w:rFonts w:hint="default" w:ascii="Times New Roman" w:hAnsi="Times New Roman" w:eastAsia="宋体" w:cs="Times New Roman"/>
                <w:i w:val="0"/>
                <w:iCs w:val="0"/>
                <w:color w:val="000000"/>
                <w:kern w:val="0"/>
                <w:sz w:val="21"/>
                <w:szCs w:val="21"/>
                <w:u w:val="none"/>
                <w:lang w:val="en-US" w:eastAsia="zh-CN" w:bidi="ar"/>
              </w:rPr>
              <w:t>4.08%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exact"/>
          <w:jc w:val="center"/>
        </w:trPr>
        <w:tc>
          <w:tcPr>
            <w:tcW w:w="1240" w:type="pct"/>
            <w:vMerge w:val="continue"/>
            <w:noWrap w:val="0"/>
            <w:vAlign w:val="center"/>
          </w:tcPr>
          <w:p>
            <w:pPr>
              <w:keepNext w:val="0"/>
              <w:keepLines w:val="0"/>
              <w:pageBreakBefore w:val="0"/>
              <w:widowControl/>
              <w:kinsoku/>
              <w:wordWrap/>
              <w:overflowPunct/>
              <w:topLinePunct w:val="0"/>
              <w:autoSpaceDE/>
              <w:autoSpaceDN/>
              <w:bidi w:val="0"/>
              <w:adjustRightInd/>
              <w:snapToGrid/>
              <w:spacing w:before="100" w:beforeAutospacing="1" w:after="100" w:afterAutospacing="1" w:line="240" w:lineRule="auto"/>
              <w:jc w:val="center"/>
              <w:rPr>
                <w:rFonts w:hint="default" w:ascii="Times New Roman" w:hAnsi="Times New Roman" w:cs="Times New Roman"/>
                <w:color w:val="000000"/>
                <w:kern w:val="0"/>
                <w:sz w:val="21"/>
                <w:szCs w:val="21"/>
              </w:rPr>
            </w:pPr>
          </w:p>
        </w:tc>
        <w:tc>
          <w:tcPr>
            <w:tcW w:w="714" w:type="pct"/>
            <w:vMerge w:val="continue"/>
            <w:noWrap w:val="0"/>
            <w:vAlign w:val="center"/>
          </w:tcPr>
          <w:p>
            <w:pPr>
              <w:keepNext w:val="0"/>
              <w:keepLines w:val="0"/>
              <w:pageBreakBefore w:val="0"/>
              <w:widowControl/>
              <w:kinsoku/>
              <w:wordWrap/>
              <w:overflowPunct/>
              <w:topLinePunct w:val="0"/>
              <w:autoSpaceDE/>
              <w:autoSpaceDN/>
              <w:bidi w:val="0"/>
              <w:adjustRightInd/>
              <w:snapToGrid/>
              <w:spacing w:before="100" w:beforeAutospacing="1" w:after="100" w:afterAutospacing="1" w:line="240" w:lineRule="auto"/>
              <w:jc w:val="center"/>
              <w:rPr>
                <w:rFonts w:hint="default" w:ascii="Times New Roman" w:hAnsi="Times New Roman" w:cs="Times New Roman"/>
                <w:color w:val="000000"/>
                <w:kern w:val="0"/>
                <w:sz w:val="21"/>
                <w:szCs w:val="21"/>
              </w:rPr>
            </w:pPr>
          </w:p>
        </w:tc>
        <w:tc>
          <w:tcPr>
            <w:tcW w:w="1430" w:type="pct"/>
            <w:noWrap w:val="0"/>
            <w:vAlign w:val="center"/>
          </w:tcPr>
          <w:p>
            <w:pPr>
              <w:keepNext w:val="0"/>
              <w:keepLines w:val="0"/>
              <w:pageBreakBefore w:val="0"/>
              <w:widowControl/>
              <w:kinsoku/>
              <w:wordWrap/>
              <w:overflowPunct/>
              <w:topLinePunct w:val="0"/>
              <w:autoSpaceDE/>
              <w:autoSpaceDN/>
              <w:bidi w:val="0"/>
              <w:adjustRightInd/>
              <w:snapToGrid/>
              <w:spacing w:before="100" w:beforeAutospacing="1" w:after="100" w:afterAutospacing="1" w:line="240" w:lineRule="auto"/>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rPr>
              <w:t>三资企业</w:t>
            </w:r>
          </w:p>
        </w:tc>
        <w:tc>
          <w:tcPr>
            <w:tcW w:w="1332" w:type="dxa"/>
            <w:noWrap w:val="0"/>
            <w:vAlign w:val="bottom"/>
          </w:tcPr>
          <w:p>
            <w:pPr>
              <w:keepNext w:val="0"/>
              <w:keepLines w:val="0"/>
              <w:widowControl/>
              <w:suppressLineNumbers w:val="0"/>
              <w:jc w:val="center"/>
              <w:textAlignment w:val="bottom"/>
              <w:rPr>
                <w:rFonts w:hint="default" w:ascii="Times New Roman" w:hAnsi="Times New Roman" w:eastAsia="宋体" w:cs="Times New Roman"/>
                <w:color w:val="000000"/>
                <w:kern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9</w:t>
            </w:r>
          </w:p>
        </w:tc>
        <w:tc>
          <w:tcPr>
            <w:tcW w:w="1460" w:type="dxa"/>
            <w:noWrap w:val="0"/>
            <w:tcMar>
              <w:top w:w="0" w:type="dxa"/>
              <w:left w:w="108" w:type="dxa"/>
              <w:bottom w:w="0" w:type="dxa"/>
              <w:right w:w="108" w:type="dxa"/>
            </w:tcMar>
            <w:vAlign w:val="bottom"/>
          </w:tcPr>
          <w:p>
            <w:pPr>
              <w:keepNext w:val="0"/>
              <w:keepLines w:val="0"/>
              <w:widowControl/>
              <w:suppressLineNumbers w:val="0"/>
              <w:jc w:val="center"/>
              <w:textAlignment w:val="bottom"/>
              <w:rPr>
                <w:rFonts w:hint="default" w:ascii="Times New Roman" w:hAnsi="Times New Roman" w:cs="Times New Roman"/>
                <w:color w:val="000000"/>
                <w:kern w:val="0"/>
                <w:sz w:val="21"/>
                <w:szCs w:val="21"/>
              </w:rPr>
            </w:pPr>
            <w:r>
              <w:rPr>
                <w:rFonts w:hint="default" w:ascii="Times New Roman" w:hAnsi="Times New Roman" w:eastAsia="宋体" w:cs="Times New Roman"/>
                <w:i w:val="0"/>
                <w:iCs w:val="0"/>
                <w:color w:val="000000"/>
                <w:kern w:val="0"/>
                <w:sz w:val="21"/>
                <w:szCs w:val="21"/>
                <w:u w:val="none"/>
                <w:lang w:val="en-US" w:eastAsia="zh-CN" w:bidi="ar"/>
              </w:rPr>
              <w:t>9.18%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exact"/>
          <w:jc w:val="center"/>
        </w:trPr>
        <w:tc>
          <w:tcPr>
            <w:tcW w:w="1240"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color w:val="000000"/>
                <w:kern w:val="0"/>
                <w:sz w:val="21"/>
                <w:szCs w:val="21"/>
              </w:rPr>
            </w:pPr>
          </w:p>
        </w:tc>
        <w:tc>
          <w:tcPr>
            <w:tcW w:w="714"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color w:val="000000"/>
                <w:kern w:val="0"/>
                <w:sz w:val="21"/>
                <w:szCs w:val="21"/>
              </w:rPr>
            </w:pPr>
          </w:p>
        </w:tc>
        <w:tc>
          <w:tcPr>
            <w:tcW w:w="1430" w:type="pct"/>
            <w:noWrap w:val="0"/>
            <w:vAlign w:val="center"/>
          </w:tcPr>
          <w:p>
            <w:pPr>
              <w:keepNext w:val="0"/>
              <w:keepLines w:val="0"/>
              <w:pageBreakBefore w:val="0"/>
              <w:widowControl/>
              <w:kinsoku/>
              <w:wordWrap/>
              <w:overflowPunct/>
              <w:topLinePunct w:val="0"/>
              <w:autoSpaceDE/>
              <w:autoSpaceDN/>
              <w:bidi w:val="0"/>
              <w:adjustRightInd/>
              <w:snapToGrid/>
              <w:spacing w:before="100" w:beforeAutospacing="1" w:after="100" w:afterAutospacing="1" w:line="240" w:lineRule="auto"/>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rPr>
              <w:t>民营企业</w:t>
            </w:r>
          </w:p>
        </w:tc>
        <w:tc>
          <w:tcPr>
            <w:tcW w:w="1332" w:type="dxa"/>
            <w:noWrap w:val="0"/>
            <w:vAlign w:val="bottom"/>
          </w:tcPr>
          <w:p>
            <w:pPr>
              <w:keepNext w:val="0"/>
              <w:keepLines w:val="0"/>
              <w:widowControl/>
              <w:suppressLineNumbers w:val="0"/>
              <w:jc w:val="center"/>
              <w:textAlignment w:val="bottom"/>
              <w:rPr>
                <w:rFonts w:hint="default" w:ascii="Times New Roman" w:hAnsi="Times New Roman" w:eastAsia="宋体" w:cs="Times New Roman"/>
                <w:color w:val="000000"/>
                <w:kern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51</w:t>
            </w:r>
          </w:p>
        </w:tc>
        <w:tc>
          <w:tcPr>
            <w:tcW w:w="1460" w:type="dxa"/>
            <w:noWrap w:val="0"/>
            <w:tcMar>
              <w:top w:w="0" w:type="dxa"/>
              <w:left w:w="108" w:type="dxa"/>
              <w:bottom w:w="0" w:type="dxa"/>
              <w:right w:w="108" w:type="dxa"/>
            </w:tcMar>
            <w:vAlign w:val="bottom"/>
          </w:tcPr>
          <w:p>
            <w:pPr>
              <w:keepNext w:val="0"/>
              <w:keepLines w:val="0"/>
              <w:widowControl/>
              <w:suppressLineNumbers w:val="0"/>
              <w:jc w:val="center"/>
              <w:textAlignment w:val="bottom"/>
              <w:rPr>
                <w:rFonts w:hint="default" w:ascii="Times New Roman" w:hAnsi="Times New Roman" w:cs="Times New Roman"/>
                <w:color w:val="000000"/>
                <w:kern w:val="0"/>
                <w:sz w:val="21"/>
                <w:szCs w:val="21"/>
              </w:rPr>
            </w:pPr>
            <w:r>
              <w:rPr>
                <w:rFonts w:hint="default" w:ascii="Times New Roman" w:hAnsi="Times New Roman" w:eastAsia="宋体" w:cs="Times New Roman"/>
                <w:i w:val="0"/>
                <w:iCs w:val="0"/>
                <w:color w:val="000000"/>
                <w:kern w:val="0"/>
                <w:sz w:val="21"/>
                <w:szCs w:val="21"/>
                <w:u w:val="none"/>
                <w:lang w:val="en-US" w:eastAsia="zh-CN" w:bidi="ar"/>
              </w:rPr>
              <w:t>52.04%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exact"/>
          <w:jc w:val="center"/>
        </w:trPr>
        <w:tc>
          <w:tcPr>
            <w:tcW w:w="1240"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color w:val="000000"/>
                <w:kern w:val="0"/>
                <w:sz w:val="21"/>
                <w:szCs w:val="21"/>
              </w:rPr>
            </w:pPr>
          </w:p>
        </w:tc>
        <w:tc>
          <w:tcPr>
            <w:tcW w:w="714"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color w:val="000000"/>
                <w:kern w:val="0"/>
                <w:sz w:val="21"/>
                <w:szCs w:val="21"/>
              </w:rPr>
            </w:pPr>
          </w:p>
        </w:tc>
        <w:tc>
          <w:tcPr>
            <w:tcW w:w="1430" w:type="pct"/>
            <w:noWrap w:val="0"/>
            <w:vAlign w:val="center"/>
          </w:tcPr>
          <w:p>
            <w:pPr>
              <w:keepNext w:val="0"/>
              <w:keepLines w:val="0"/>
              <w:pageBreakBefore w:val="0"/>
              <w:widowControl/>
              <w:kinsoku/>
              <w:wordWrap/>
              <w:overflowPunct/>
              <w:topLinePunct w:val="0"/>
              <w:autoSpaceDE/>
              <w:autoSpaceDN/>
              <w:bidi w:val="0"/>
              <w:adjustRightInd/>
              <w:snapToGrid/>
              <w:spacing w:before="100" w:beforeAutospacing="1" w:after="100" w:afterAutospacing="1" w:line="240" w:lineRule="auto"/>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rPr>
              <w:t>其他（自主创业等）</w:t>
            </w:r>
          </w:p>
        </w:tc>
        <w:tc>
          <w:tcPr>
            <w:tcW w:w="1332" w:type="dxa"/>
            <w:noWrap w:val="0"/>
            <w:vAlign w:val="bottom"/>
          </w:tcPr>
          <w:p>
            <w:pPr>
              <w:keepNext w:val="0"/>
              <w:keepLines w:val="0"/>
              <w:widowControl/>
              <w:suppressLineNumbers w:val="0"/>
              <w:jc w:val="center"/>
              <w:textAlignment w:val="bottom"/>
              <w:rPr>
                <w:rFonts w:hint="default" w:ascii="Times New Roman" w:hAnsi="Times New Roman" w:eastAsia="宋体" w:cs="Times New Roman"/>
                <w:color w:val="000000"/>
                <w:kern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0</w:t>
            </w:r>
          </w:p>
        </w:tc>
        <w:tc>
          <w:tcPr>
            <w:tcW w:w="1460" w:type="dxa"/>
            <w:noWrap w:val="0"/>
            <w:tcMar>
              <w:top w:w="0" w:type="dxa"/>
              <w:left w:w="108" w:type="dxa"/>
              <w:bottom w:w="0" w:type="dxa"/>
              <w:right w:w="108" w:type="dxa"/>
            </w:tcMar>
            <w:vAlign w:val="bottom"/>
          </w:tcPr>
          <w:p>
            <w:pPr>
              <w:keepNext w:val="0"/>
              <w:keepLines w:val="0"/>
              <w:widowControl/>
              <w:suppressLineNumbers w:val="0"/>
              <w:jc w:val="center"/>
              <w:textAlignment w:val="bottom"/>
              <w:rPr>
                <w:rFonts w:hint="default" w:ascii="Times New Roman" w:hAnsi="Times New Roman" w:eastAsia="宋体" w:cs="Times New Roman"/>
                <w:color w:val="000000"/>
                <w:kern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exact"/>
          <w:jc w:val="center"/>
        </w:trPr>
        <w:tc>
          <w:tcPr>
            <w:tcW w:w="1240"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color w:val="000000"/>
                <w:kern w:val="0"/>
                <w:sz w:val="21"/>
                <w:szCs w:val="21"/>
              </w:rPr>
            </w:pPr>
          </w:p>
        </w:tc>
        <w:tc>
          <w:tcPr>
            <w:tcW w:w="714"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color w:val="000000"/>
                <w:kern w:val="0"/>
                <w:sz w:val="21"/>
                <w:szCs w:val="21"/>
              </w:rPr>
            </w:pPr>
          </w:p>
        </w:tc>
        <w:tc>
          <w:tcPr>
            <w:tcW w:w="1430" w:type="pct"/>
            <w:noWrap w:val="0"/>
            <w:vAlign w:val="center"/>
          </w:tcPr>
          <w:p>
            <w:pPr>
              <w:keepNext w:val="0"/>
              <w:keepLines w:val="0"/>
              <w:pageBreakBefore w:val="0"/>
              <w:widowControl/>
              <w:kinsoku/>
              <w:wordWrap/>
              <w:overflowPunct/>
              <w:topLinePunct w:val="0"/>
              <w:autoSpaceDE/>
              <w:autoSpaceDN/>
              <w:bidi w:val="0"/>
              <w:adjustRightInd/>
              <w:snapToGrid/>
              <w:spacing w:before="100" w:beforeAutospacing="1" w:after="100" w:afterAutospacing="1" w:line="240" w:lineRule="auto"/>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rPr>
              <w:t>考取硕士研究生</w:t>
            </w:r>
          </w:p>
        </w:tc>
        <w:tc>
          <w:tcPr>
            <w:tcW w:w="1332" w:type="dxa"/>
            <w:noWrap w:val="0"/>
            <w:vAlign w:val="bottom"/>
          </w:tcPr>
          <w:p>
            <w:pPr>
              <w:keepNext w:val="0"/>
              <w:keepLines w:val="0"/>
              <w:widowControl/>
              <w:suppressLineNumbers w:val="0"/>
              <w:jc w:val="center"/>
              <w:textAlignment w:val="bottom"/>
              <w:rPr>
                <w:rFonts w:hint="default" w:ascii="Times New Roman" w:hAnsi="Times New Roman" w:eastAsia="宋体" w:cs="Times New Roman"/>
                <w:color w:val="000000"/>
                <w:kern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26</w:t>
            </w:r>
          </w:p>
        </w:tc>
        <w:tc>
          <w:tcPr>
            <w:tcW w:w="1460" w:type="dxa"/>
            <w:noWrap w:val="0"/>
            <w:tcMar>
              <w:top w:w="0" w:type="dxa"/>
              <w:left w:w="108" w:type="dxa"/>
              <w:bottom w:w="0" w:type="dxa"/>
              <w:right w:w="108" w:type="dxa"/>
            </w:tcMar>
            <w:vAlign w:val="bottom"/>
          </w:tcPr>
          <w:p>
            <w:pPr>
              <w:keepNext w:val="0"/>
              <w:keepLines w:val="0"/>
              <w:widowControl/>
              <w:suppressLineNumbers w:val="0"/>
              <w:jc w:val="center"/>
              <w:textAlignment w:val="bottom"/>
              <w:rPr>
                <w:rFonts w:hint="default" w:ascii="Times New Roman" w:hAnsi="Times New Roman" w:cs="Times New Roman"/>
                <w:color w:val="000000"/>
                <w:kern w:val="0"/>
                <w:sz w:val="21"/>
                <w:szCs w:val="21"/>
              </w:rPr>
            </w:pPr>
            <w:r>
              <w:rPr>
                <w:rFonts w:hint="default" w:ascii="Times New Roman" w:hAnsi="Times New Roman" w:eastAsia="宋体" w:cs="Times New Roman"/>
                <w:i w:val="0"/>
                <w:iCs w:val="0"/>
                <w:color w:val="000000"/>
                <w:kern w:val="0"/>
                <w:sz w:val="21"/>
                <w:szCs w:val="21"/>
                <w:u w:val="none"/>
                <w:lang w:val="en-US" w:eastAsia="zh-CN" w:bidi="ar"/>
              </w:rPr>
              <w:t>26.53%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exact"/>
          <w:jc w:val="center"/>
        </w:trPr>
        <w:tc>
          <w:tcPr>
            <w:tcW w:w="1240"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color w:val="000000"/>
                <w:kern w:val="0"/>
                <w:sz w:val="21"/>
                <w:szCs w:val="21"/>
              </w:rPr>
            </w:pPr>
          </w:p>
        </w:tc>
        <w:tc>
          <w:tcPr>
            <w:tcW w:w="714"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color w:val="000000"/>
                <w:kern w:val="0"/>
                <w:sz w:val="21"/>
                <w:szCs w:val="21"/>
              </w:rPr>
            </w:pPr>
          </w:p>
        </w:tc>
        <w:tc>
          <w:tcPr>
            <w:tcW w:w="1430" w:type="pct"/>
            <w:noWrap w:val="0"/>
            <w:vAlign w:val="center"/>
          </w:tcPr>
          <w:p>
            <w:pPr>
              <w:keepNext w:val="0"/>
              <w:keepLines w:val="0"/>
              <w:pageBreakBefore w:val="0"/>
              <w:widowControl/>
              <w:kinsoku/>
              <w:wordWrap/>
              <w:overflowPunct/>
              <w:topLinePunct w:val="0"/>
              <w:autoSpaceDE/>
              <w:autoSpaceDN/>
              <w:bidi w:val="0"/>
              <w:adjustRightInd/>
              <w:snapToGrid/>
              <w:spacing w:before="100" w:beforeAutospacing="1" w:after="100" w:afterAutospacing="1" w:line="240" w:lineRule="auto"/>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rPr>
              <w:t>未就业</w:t>
            </w:r>
          </w:p>
        </w:tc>
        <w:tc>
          <w:tcPr>
            <w:tcW w:w="1332" w:type="dxa"/>
            <w:noWrap w:val="0"/>
            <w:vAlign w:val="bottom"/>
          </w:tcPr>
          <w:p>
            <w:pPr>
              <w:keepNext w:val="0"/>
              <w:keepLines w:val="0"/>
              <w:widowControl/>
              <w:suppressLineNumbers w:val="0"/>
              <w:jc w:val="center"/>
              <w:textAlignment w:val="bottom"/>
              <w:rPr>
                <w:rFonts w:hint="default" w:ascii="Times New Roman" w:hAnsi="Times New Roman" w:eastAsia="宋体" w:cs="Times New Roman"/>
                <w:color w:val="000000"/>
                <w:kern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6</w:t>
            </w:r>
          </w:p>
        </w:tc>
        <w:tc>
          <w:tcPr>
            <w:tcW w:w="1460" w:type="dxa"/>
            <w:noWrap w:val="0"/>
            <w:tcMar>
              <w:top w:w="0" w:type="dxa"/>
              <w:left w:w="108" w:type="dxa"/>
              <w:bottom w:w="0" w:type="dxa"/>
              <w:right w:w="108" w:type="dxa"/>
            </w:tcMar>
            <w:vAlign w:val="bottom"/>
          </w:tcPr>
          <w:p>
            <w:pPr>
              <w:keepNext w:val="0"/>
              <w:keepLines w:val="0"/>
              <w:widowControl/>
              <w:suppressLineNumbers w:val="0"/>
              <w:jc w:val="center"/>
              <w:textAlignment w:val="bottom"/>
              <w:rPr>
                <w:rFonts w:hint="default" w:ascii="Times New Roman" w:hAnsi="Times New Roman" w:cs="Times New Roman"/>
                <w:color w:val="000000"/>
                <w:kern w:val="0"/>
                <w:sz w:val="21"/>
                <w:szCs w:val="21"/>
              </w:rPr>
            </w:pPr>
            <w:r>
              <w:rPr>
                <w:rFonts w:hint="default" w:ascii="Times New Roman" w:hAnsi="Times New Roman" w:eastAsia="宋体" w:cs="Times New Roman"/>
                <w:i w:val="0"/>
                <w:iCs w:val="0"/>
                <w:color w:val="000000"/>
                <w:kern w:val="0"/>
                <w:sz w:val="21"/>
                <w:szCs w:val="21"/>
                <w:u w:val="none"/>
                <w:lang w:val="en-US" w:eastAsia="zh-CN" w:bidi="ar"/>
              </w:rPr>
              <w:t>6.12%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exact"/>
          <w:jc w:val="center"/>
        </w:trPr>
        <w:tc>
          <w:tcPr>
            <w:tcW w:w="1240" w:type="pct"/>
            <w:vMerge w:val="restart"/>
            <w:noWrap w:val="0"/>
            <w:vAlign w:val="center"/>
          </w:tcPr>
          <w:p>
            <w:pPr>
              <w:keepNext w:val="0"/>
              <w:keepLines w:val="0"/>
              <w:pageBreakBefore w:val="0"/>
              <w:widowControl/>
              <w:kinsoku/>
              <w:wordWrap/>
              <w:overflowPunct/>
              <w:topLinePunct w:val="0"/>
              <w:autoSpaceDE/>
              <w:autoSpaceDN/>
              <w:bidi w:val="0"/>
              <w:adjustRightInd/>
              <w:snapToGrid/>
              <w:spacing w:before="100" w:beforeAutospacing="1" w:after="100" w:afterAutospacing="1" w:line="240" w:lineRule="auto"/>
              <w:jc w:val="center"/>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rPr>
              <w:t>无机非金属材料工程（本科）</w:t>
            </w:r>
          </w:p>
        </w:tc>
        <w:tc>
          <w:tcPr>
            <w:tcW w:w="714" w:type="pct"/>
            <w:vMerge w:val="restart"/>
            <w:noWrap w:val="0"/>
            <w:vAlign w:val="center"/>
          </w:tcPr>
          <w:p>
            <w:pPr>
              <w:keepNext w:val="0"/>
              <w:keepLines w:val="0"/>
              <w:pageBreakBefore w:val="0"/>
              <w:widowControl/>
              <w:kinsoku/>
              <w:wordWrap/>
              <w:overflowPunct/>
              <w:topLinePunct w:val="0"/>
              <w:autoSpaceDE/>
              <w:autoSpaceDN/>
              <w:bidi w:val="0"/>
              <w:adjustRightInd/>
              <w:snapToGrid/>
              <w:spacing w:before="100" w:beforeAutospacing="1" w:after="100" w:afterAutospacing="1" w:line="240" w:lineRule="auto"/>
              <w:jc w:val="center"/>
              <w:rPr>
                <w:rFonts w:hint="default" w:ascii="Times New Roman" w:hAnsi="Times New Roman" w:eastAsia="宋体" w:cs="Times New Roman"/>
                <w:color w:val="000000"/>
                <w:kern w:val="0"/>
                <w:sz w:val="21"/>
                <w:szCs w:val="21"/>
                <w:lang w:val="en-US" w:eastAsia="zh-CN"/>
              </w:rPr>
            </w:pPr>
            <w:r>
              <w:rPr>
                <w:rFonts w:hint="eastAsia" w:ascii="Times New Roman" w:hAnsi="Times New Roman" w:cs="Times New Roman"/>
                <w:color w:val="000000"/>
                <w:kern w:val="0"/>
                <w:sz w:val="21"/>
                <w:szCs w:val="21"/>
                <w:lang w:val="en-US" w:eastAsia="zh-CN"/>
              </w:rPr>
              <w:t>35</w:t>
            </w:r>
          </w:p>
        </w:tc>
        <w:tc>
          <w:tcPr>
            <w:tcW w:w="1430" w:type="pct"/>
            <w:noWrap w:val="0"/>
            <w:vAlign w:val="center"/>
          </w:tcPr>
          <w:p>
            <w:pPr>
              <w:keepNext w:val="0"/>
              <w:keepLines w:val="0"/>
              <w:pageBreakBefore w:val="0"/>
              <w:widowControl/>
              <w:kinsoku/>
              <w:wordWrap/>
              <w:overflowPunct/>
              <w:topLinePunct w:val="0"/>
              <w:autoSpaceDE/>
              <w:autoSpaceDN/>
              <w:bidi w:val="0"/>
              <w:adjustRightInd/>
              <w:snapToGrid/>
              <w:spacing w:before="100" w:beforeAutospacing="1" w:after="100" w:afterAutospacing="1" w:line="240" w:lineRule="auto"/>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lang w:eastAsia="zh-CN"/>
              </w:rPr>
              <w:t>公务员、</w:t>
            </w:r>
            <w:r>
              <w:rPr>
                <w:rFonts w:hint="default" w:ascii="Times New Roman" w:hAnsi="Times New Roman" w:cs="Times New Roman"/>
                <w:color w:val="000000"/>
                <w:kern w:val="0"/>
                <w:sz w:val="21"/>
                <w:szCs w:val="21"/>
              </w:rPr>
              <w:t>事业单位</w:t>
            </w:r>
          </w:p>
        </w:tc>
        <w:tc>
          <w:tcPr>
            <w:tcW w:w="1332" w:type="dxa"/>
            <w:noWrap w:val="0"/>
            <w:vAlign w:val="bottom"/>
          </w:tcPr>
          <w:p>
            <w:pPr>
              <w:keepNext w:val="0"/>
              <w:keepLines w:val="0"/>
              <w:widowControl/>
              <w:suppressLineNumbers w:val="0"/>
              <w:jc w:val="center"/>
              <w:textAlignment w:val="bottom"/>
              <w:rPr>
                <w:rFonts w:hint="default" w:ascii="Times New Roman" w:hAnsi="Times New Roman" w:eastAsia="宋体" w:cs="Times New Roman"/>
                <w:color w:val="000000"/>
                <w:kern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1460" w:type="dxa"/>
            <w:noWrap w:val="0"/>
            <w:tcMar>
              <w:top w:w="0" w:type="dxa"/>
              <w:left w:w="108" w:type="dxa"/>
              <w:bottom w:w="0" w:type="dxa"/>
              <w:right w:w="108" w:type="dxa"/>
            </w:tcMar>
            <w:vAlign w:val="bottom"/>
          </w:tcPr>
          <w:p>
            <w:pPr>
              <w:keepNext w:val="0"/>
              <w:keepLines w:val="0"/>
              <w:widowControl/>
              <w:suppressLineNumbers w:val="0"/>
              <w:jc w:val="center"/>
              <w:textAlignment w:val="bottom"/>
              <w:rPr>
                <w:rFonts w:hint="default" w:ascii="Times New Roman" w:hAnsi="Times New Roman" w:cs="Times New Roman"/>
                <w:color w:val="000000"/>
                <w:kern w:val="0"/>
                <w:sz w:val="21"/>
                <w:szCs w:val="21"/>
              </w:rPr>
            </w:pPr>
            <w:r>
              <w:rPr>
                <w:rFonts w:hint="default" w:ascii="Times New Roman" w:hAnsi="Times New Roman" w:eastAsia="宋体" w:cs="Times New Roman"/>
                <w:i w:val="0"/>
                <w:iCs w:val="0"/>
                <w:color w:val="000000"/>
                <w:kern w:val="0"/>
                <w:sz w:val="21"/>
                <w:szCs w:val="21"/>
                <w:u w:val="none"/>
                <w:lang w:val="en-US" w:eastAsia="zh-CN" w:bidi="ar"/>
              </w:rPr>
              <w:t>2.86%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exact"/>
          <w:jc w:val="center"/>
        </w:trPr>
        <w:tc>
          <w:tcPr>
            <w:tcW w:w="1240"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color w:val="000000"/>
                <w:kern w:val="0"/>
                <w:sz w:val="21"/>
                <w:szCs w:val="21"/>
              </w:rPr>
            </w:pPr>
          </w:p>
        </w:tc>
        <w:tc>
          <w:tcPr>
            <w:tcW w:w="714"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color w:val="000000"/>
                <w:kern w:val="0"/>
                <w:sz w:val="21"/>
                <w:szCs w:val="21"/>
              </w:rPr>
            </w:pPr>
          </w:p>
        </w:tc>
        <w:tc>
          <w:tcPr>
            <w:tcW w:w="1430" w:type="pct"/>
            <w:noWrap w:val="0"/>
            <w:vAlign w:val="center"/>
          </w:tcPr>
          <w:p>
            <w:pPr>
              <w:keepNext w:val="0"/>
              <w:keepLines w:val="0"/>
              <w:pageBreakBefore w:val="0"/>
              <w:widowControl/>
              <w:kinsoku/>
              <w:wordWrap/>
              <w:overflowPunct/>
              <w:topLinePunct w:val="0"/>
              <w:autoSpaceDE/>
              <w:autoSpaceDN/>
              <w:bidi w:val="0"/>
              <w:adjustRightInd/>
              <w:snapToGrid/>
              <w:spacing w:before="100" w:beforeAutospacing="1" w:after="100" w:afterAutospacing="1" w:line="240" w:lineRule="auto"/>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rPr>
              <w:t>国有企业</w:t>
            </w:r>
          </w:p>
        </w:tc>
        <w:tc>
          <w:tcPr>
            <w:tcW w:w="1332" w:type="dxa"/>
            <w:noWrap w:val="0"/>
            <w:vAlign w:val="bottom"/>
          </w:tcPr>
          <w:p>
            <w:pPr>
              <w:keepNext w:val="0"/>
              <w:keepLines w:val="0"/>
              <w:widowControl/>
              <w:suppressLineNumbers w:val="0"/>
              <w:jc w:val="center"/>
              <w:textAlignment w:val="bottom"/>
              <w:rPr>
                <w:rFonts w:hint="default" w:ascii="Times New Roman" w:hAnsi="Times New Roman" w:eastAsia="宋体" w:cs="Times New Roman"/>
                <w:color w:val="000000"/>
                <w:kern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3</w:t>
            </w:r>
          </w:p>
        </w:tc>
        <w:tc>
          <w:tcPr>
            <w:tcW w:w="1460" w:type="dxa"/>
            <w:noWrap w:val="0"/>
            <w:tcMar>
              <w:top w:w="0" w:type="dxa"/>
              <w:left w:w="108" w:type="dxa"/>
              <w:bottom w:w="0" w:type="dxa"/>
              <w:right w:w="108" w:type="dxa"/>
            </w:tcMar>
            <w:vAlign w:val="bottom"/>
          </w:tcPr>
          <w:p>
            <w:pPr>
              <w:keepNext w:val="0"/>
              <w:keepLines w:val="0"/>
              <w:widowControl/>
              <w:suppressLineNumbers w:val="0"/>
              <w:jc w:val="center"/>
              <w:textAlignment w:val="bottom"/>
              <w:rPr>
                <w:rFonts w:hint="default" w:ascii="Times New Roman" w:hAnsi="Times New Roman" w:cs="Times New Roman"/>
                <w:color w:val="000000"/>
                <w:kern w:val="0"/>
                <w:sz w:val="21"/>
                <w:szCs w:val="21"/>
              </w:rPr>
            </w:pPr>
            <w:r>
              <w:rPr>
                <w:rFonts w:hint="default" w:ascii="Times New Roman" w:hAnsi="Times New Roman" w:eastAsia="宋体" w:cs="Times New Roman"/>
                <w:i w:val="0"/>
                <w:iCs w:val="0"/>
                <w:color w:val="000000"/>
                <w:kern w:val="0"/>
                <w:sz w:val="21"/>
                <w:szCs w:val="21"/>
                <w:u w:val="none"/>
                <w:lang w:val="en-US" w:eastAsia="zh-CN" w:bidi="ar"/>
              </w:rPr>
              <w:t>8.57%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exact"/>
          <w:jc w:val="center"/>
        </w:trPr>
        <w:tc>
          <w:tcPr>
            <w:tcW w:w="1240"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color w:val="000000"/>
                <w:kern w:val="0"/>
                <w:sz w:val="21"/>
                <w:szCs w:val="21"/>
              </w:rPr>
            </w:pPr>
          </w:p>
        </w:tc>
        <w:tc>
          <w:tcPr>
            <w:tcW w:w="714"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color w:val="000000"/>
                <w:kern w:val="0"/>
                <w:sz w:val="21"/>
                <w:szCs w:val="21"/>
              </w:rPr>
            </w:pPr>
          </w:p>
        </w:tc>
        <w:tc>
          <w:tcPr>
            <w:tcW w:w="1430" w:type="pct"/>
            <w:noWrap w:val="0"/>
            <w:vAlign w:val="center"/>
          </w:tcPr>
          <w:p>
            <w:pPr>
              <w:keepNext w:val="0"/>
              <w:keepLines w:val="0"/>
              <w:pageBreakBefore w:val="0"/>
              <w:widowControl/>
              <w:kinsoku/>
              <w:wordWrap/>
              <w:overflowPunct/>
              <w:topLinePunct w:val="0"/>
              <w:autoSpaceDE/>
              <w:autoSpaceDN/>
              <w:bidi w:val="0"/>
              <w:adjustRightInd/>
              <w:snapToGrid/>
              <w:spacing w:before="100" w:beforeAutospacing="1" w:after="100" w:afterAutospacing="1" w:line="240" w:lineRule="auto"/>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rPr>
              <w:t>三资企业</w:t>
            </w:r>
          </w:p>
        </w:tc>
        <w:tc>
          <w:tcPr>
            <w:tcW w:w="1332" w:type="dxa"/>
            <w:noWrap w:val="0"/>
            <w:vAlign w:val="bottom"/>
          </w:tcPr>
          <w:p>
            <w:pPr>
              <w:keepNext w:val="0"/>
              <w:keepLines w:val="0"/>
              <w:widowControl/>
              <w:suppressLineNumbers w:val="0"/>
              <w:jc w:val="center"/>
              <w:textAlignment w:val="bottom"/>
              <w:rPr>
                <w:rFonts w:hint="default" w:ascii="Times New Roman" w:hAnsi="Times New Roman" w:eastAsia="宋体" w:cs="Times New Roman"/>
                <w:color w:val="000000"/>
                <w:kern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4</w:t>
            </w:r>
          </w:p>
        </w:tc>
        <w:tc>
          <w:tcPr>
            <w:tcW w:w="1460" w:type="dxa"/>
            <w:noWrap w:val="0"/>
            <w:tcMar>
              <w:top w:w="0" w:type="dxa"/>
              <w:left w:w="108" w:type="dxa"/>
              <w:bottom w:w="0" w:type="dxa"/>
              <w:right w:w="108" w:type="dxa"/>
            </w:tcMar>
            <w:vAlign w:val="bottom"/>
          </w:tcPr>
          <w:p>
            <w:pPr>
              <w:keepNext w:val="0"/>
              <w:keepLines w:val="0"/>
              <w:widowControl/>
              <w:suppressLineNumbers w:val="0"/>
              <w:jc w:val="center"/>
              <w:textAlignment w:val="bottom"/>
              <w:rPr>
                <w:rFonts w:hint="default" w:ascii="Times New Roman" w:hAnsi="Times New Roman" w:cs="Times New Roman"/>
                <w:color w:val="000000"/>
                <w:kern w:val="0"/>
                <w:sz w:val="21"/>
                <w:szCs w:val="21"/>
                <w:lang w:val="en-US"/>
              </w:rPr>
            </w:pPr>
            <w:r>
              <w:rPr>
                <w:rFonts w:hint="default" w:ascii="Times New Roman" w:hAnsi="Times New Roman" w:eastAsia="宋体" w:cs="Times New Roman"/>
                <w:i w:val="0"/>
                <w:iCs w:val="0"/>
                <w:color w:val="000000"/>
                <w:kern w:val="0"/>
                <w:sz w:val="21"/>
                <w:szCs w:val="21"/>
                <w:u w:val="none"/>
                <w:lang w:val="en-US" w:eastAsia="zh-CN" w:bidi="ar"/>
              </w:rPr>
              <w:t>11.43%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exact"/>
          <w:jc w:val="center"/>
        </w:trPr>
        <w:tc>
          <w:tcPr>
            <w:tcW w:w="1240"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color w:val="000000"/>
                <w:kern w:val="0"/>
                <w:sz w:val="21"/>
                <w:szCs w:val="21"/>
              </w:rPr>
            </w:pPr>
          </w:p>
        </w:tc>
        <w:tc>
          <w:tcPr>
            <w:tcW w:w="714"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color w:val="000000"/>
                <w:kern w:val="0"/>
                <w:sz w:val="21"/>
                <w:szCs w:val="21"/>
              </w:rPr>
            </w:pPr>
          </w:p>
        </w:tc>
        <w:tc>
          <w:tcPr>
            <w:tcW w:w="1430" w:type="pct"/>
            <w:noWrap w:val="0"/>
            <w:vAlign w:val="center"/>
          </w:tcPr>
          <w:p>
            <w:pPr>
              <w:keepNext w:val="0"/>
              <w:keepLines w:val="0"/>
              <w:pageBreakBefore w:val="0"/>
              <w:widowControl/>
              <w:kinsoku/>
              <w:wordWrap/>
              <w:overflowPunct/>
              <w:topLinePunct w:val="0"/>
              <w:autoSpaceDE/>
              <w:autoSpaceDN/>
              <w:bidi w:val="0"/>
              <w:adjustRightInd/>
              <w:snapToGrid/>
              <w:spacing w:before="100" w:beforeAutospacing="1" w:after="100" w:afterAutospacing="1" w:line="240" w:lineRule="auto"/>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rPr>
              <w:t>民营企业</w:t>
            </w:r>
          </w:p>
        </w:tc>
        <w:tc>
          <w:tcPr>
            <w:tcW w:w="1332" w:type="dxa"/>
            <w:noWrap w:val="0"/>
            <w:vAlign w:val="bottom"/>
          </w:tcPr>
          <w:p>
            <w:pPr>
              <w:keepNext w:val="0"/>
              <w:keepLines w:val="0"/>
              <w:widowControl/>
              <w:suppressLineNumbers w:val="0"/>
              <w:jc w:val="center"/>
              <w:textAlignment w:val="bottom"/>
              <w:rPr>
                <w:rFonts w:hint="default" w:ascii="Times New Roman" w:hAnsi="Times New Roman" w:eastAsia="宋体" w:cs="Times New Roman"/>
                <w:color w:val="000000"/>
                <w:kern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18</w:t>
            </w:r>
          </w:p>
        </w:tc>
        <w:tc>
          <w:tcPr>
            <w:tcW w:w="1460" w:type="dxa"/>
            <w:noWrap w:val="0"/>
            <w:tcMar>
              <w:top w:w="0" w:type="dxa"/>
              <w:left w:w="108" w:type="dxa"/>
              <w:bottom w:w="0" w:type="dxa"/>
              <w:right w:w="108" w:type="dxa"/>
            </w:tcMar>
            <w:vAlign w:val="bottom"/>
          </w:tcPr>
          <w:p>
            <w:pPr>
              <w:keepNext w:val="0"/>
              <w:keepLines w:val="0"/>
              <w:widowControl/>
              <w:suppressLineNumbers w:val="0"/>
              <w:jc w:val="center"/>
              <w:textAlignment w:val="bottom"/>
              <w:rPr>
                <w:rFonts w:hint="default" w:ascii="Times New Roman" w:hAnsi="Times New Roman" w:cs="Times New Roman"/>
                <w:color w:val="000000"/>
                <w:kern w:val="0"/>
                <w:sz w:val="21"/>
                <w:szCs w:val="21"/>
              </w:rPr>
            </w:pPr>
            <w:r>
              <w:rPr>
                <w:rFonts w:hint="default" w:ascii="Times New Roman" w:hAnsi="Times New Roman" w:eastAsia="宋体" w:cs="Times New Roman"/>
                <w:i w:val="0"/>
                <w:iCs w:val="0"/>
                <w:color w:val="000000"/>
                <w:kern w:val="0"/>
                <w:sz w:val="21"/>
                <w:szCs w:val="21"/>
                <w:u w:val="none"/>
                <w:lang w:val="en-US" w:eastAsia="zh-CN" w:bidi="ar"/>
              </w:rPr>
              <w:t>51.43%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exact"/>
          <w:jc w:val="center"/>
        </w:trPr>
        <w:tc>
          <w:tcPr>
            <w:tcW w:w="1240"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color w:val="000000"/>
                <w:kern w:val="0"/>
                <w:sz w:val="21"/>
                <w:szCs w:val="21"/>
              </w:rPr>
            </w:pPr>
          </w:p>
        </w:tc>
        <w:tc>
          <w:tcPr>
            <w:tcW w:w="714"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color w:val="000000"/>
                <w:kern w:val="0"/>
                <w:sz w:val="21"/>
                <w:szCs w:val="21"/>
              </w:rPr>
            </w:pPr>
          </w:p>
        </w:tc>
        <w:tc>
          <w:tcPr>
            <w:tcW w:w="1430" w:type="pct"/>
            <w:noWrap w:val="0"/>
            <w:vAlign w:val="center"/>
          </w:tcPr>
          <w:p>
            <w:pPr>
              <w:keepNext w:val="0"/>
              <w:keepLines w:val="0"/>
              <w:pageBreakBefore w:val="0"/>
              <w:widowControl/>
              <w:kinsoku/>
              <w:wordWrap/>
              <w:overflowPunct/>
              <w:topLinePunct w:val="0"/>
              <w:autoSpaceDE/>
              <w:autoSpaceDN/>
              <w:bidi w:val="0"/>
              <w:adjustRightInd/>
              <w:snapToGrid/>
              <w:spacing w:before="100" w:beforeAutospacing="1" w:after="100" w:afterAutospacing="1" w:line="240" w:lineRule="auto"/>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rPr>
              <w:t>其他（自主创业等）</w:t>
            </w:r>
          </w:p>
        </w:tc>
        <w:tc>
          <w:tcPr>
            <w:tcW w:w="1332" w:type="dxa"/>
            <w:noWrap w:val="0"/>
            <w:vAlign w:val="bottom"/>
          </w:tcPr>
          <w:p>
            <w:pPr>
              <w:keepNext w:val="0"/>
              <w:keepLines w:val="0"/>
              <w:widowControl/>
              <w:suppressLineNumbers w:val="0"/>
              <w:jc w:val="center"/>
              <w:textAlignment w:val="bottom"/>
              <w:rPr>
                <w:rFonts w:hint="default" w:ascii="Times New Roman" w:hAnsi="Times New Roman" w:eastAsia="宋体" w:cs="Times New Roman"/>
                <w:color w:val="000000"/>
                <w:kern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0</w:t>
            </w:r>
          </w:p>
        </w:tc>
        <w:tc>
          <w:tcPr>
            <w:tcW w:w="1460" w:type="dxa"/>
            <w:noWrap w:val="0"/>
            <w:tcMar>
              <w:top w:w="0" w:type="dxa"/>
              <w:left w:w="108" w:type="dxa"/>
              <w:bottom w:w="0" w:type="dxa"/>
              <w:right w:w="108" w:type="dxa"/>
            </w:tcMar>
            <w:vAlign w:val="bottom"/>
          </w:tcPr>
          <w:p>
            <w:pPr>
              <w:keepNext w:val="0"/>
              <w:keepLines w:val="0"/>
              <w:widowControl/>
              <w:suppressLineNumbers w:val="0"/>
              <w:jc w:val="center"/>
              <w:textAlignment w:val="bottom"/>
              <w:rPr>
                <w:rFonts w:hint="default" w:ascii="Times New Roman" w:hAnsi="Times New Roman" w:cs="Times New Roman"/>
                <w:color w:val="000000"/>
                <w:kern w:val="0"/>
                <w:sz w:val="21"/>
                <w:szCs w:val="21"/>
              </w:rPr>
            </w:pPr>
            <w:r>
              <w:rPr>
                <w:rFonts w:hint="default" w:ascii="Times New Roman" w:hAnsi="Times New Roman" w:eastAsia="宋体" w:cs="Times New Roman"/>
                <w:i w:val="0"/>
                <w:iCs w:val="0"/>
                <w:color w:val="000000"/>
                <w:kern w:val="0"/>
                <w:sz w:val="21"/>
                <w:szCs w:val="21"/>
                <w:u w:val="none"/>
                <w:lang w:val="en-US" w:eastAsia="zh-CN" w:bidi="ar"/>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exact"/>
          <w:jc w:val="center"/>
        </w:trPr>
        <w:tc>
          <w:tcPr>
            <w:tcW w:w="1240"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color w:val="000000"/>
                <w:kern w:val="0"/>
                <w:sz w:val="21"/>
                <w:szCs w:val="21"/>
              </w:rPr>
            </w:pPr>
          </w:p>
        </w:tc>
        <w:tc>
          <w:tcPr>
            <w:tcW w:w="714"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color w:val="000000"/>
                <w:kern w:val="0"/>
                <w:sz w:val="21"/>
                <w:szCs w:val="21"/>
              </w:rPr>
            </w:pPr>
          </w:p>
        </w:tc>
        <w:tc>
          <w:tcPr>
            <w:tcW w:w="1430" w:type="pct"/>
            <w:noWrap w:val="0"/>
            <w:vAlign w:val="center"/>
          </w:tcPr>
          <w:p>
            <w:pPr>
              <w:keepNext w:val="0"/>
              <w:keepLines w:val="0"/>
              <w:pageBreakBefore w:val="0"/>
              <w:widowControl/>
              <w:kinsoku/>
              <w:wordWrap/>
              <w:overflowPunct/>
              <w:topLinePunct w:val="0"/>
              <w:autoSpaceDE/>
              <w:autoSpaceDN/>
              <w:bidi w:val="0"/>
              <w:adjustRightInd/>
              <w:snapToGrid/>
              <w:spacing w:before="100" w:beforeAutospacing="1" w:after="100" w:afterAutospacing="1" w:line="240" w:lineRule="auto"/>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rPr>
              <w:t>考取硕士研究生</w:t>
            </w:r>
          </w:p>
        </w:tc>
        <w:tc>
          <w:tcPr>
            <w:tcW w:w="1332" w:type="dxa"/>
            <w:noWrap w:val="0"/>
            <w:vAlign w:val="bottom"/>
          </w:tcPr>
          <w:p>
            <w:pPr>
              <w:keepNext w:val="0"/>
              <w:keepLines w:val="0"/>
              <w:widowControl/>
              <w:suppressLineNumbers w:val="0"/>
              <w:jc w:val="center"/>
              <w:textAlignment w:val="bottom"/>
              <w:rPr>
                <w:rFonts w:hint="default" w:ascii="Times New Roman" w:hAnsi="Times New Roman" w:eastAsia="宋体" w:cs="Times New Roman"/>
                <w:color w:val="000000"/>
                <w:kern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9</w:t>
            </w:r>
          </w:p>
        </w:tc>
        <w:tc>
          <w:tcPr>
            <w:tcW w:w="1460" w:type="dxa"/>
            <w:noWrap w:val="0"/>
            <w:tcMar>
              <w:top w:w="0" w:type="dxa"/>
              <w:left w:w="108" w:type="dxa"/>
              <w:bottom w:w="0" w:type="dxa"/>
              <w:right w:w="108" w:type="dxa"/>
            </w:tcMar>
            <w:vAlign w:val="bottom"/>
          </w:tcPr>
          <w:p>
            <w:pPr>
              <w:keepNext w:val="0"/>
              <w:keepLines w:val="0"/>
              <w:widowControl/>
              <w:suppressLineNumbers w:val="0"/>
              <w:jc w:val="center"/>
              <w:textAlignment w:val="bottom"/>
              <w:rPr>
                <w:rFonts w:hint="default" w:ascii="Times New Roman" w:hAnsi="Times New Roman" w:cs="Times New Roman"/>
                <w:color w:val="000000"/>
                <w:kern w:val="0"/>
                <w:sz w:val="21"/>
                <w:szCs w:val="21"/>
              </w:rPr>
            </w:pPr>
            <w:r>
              <w:rPr>
                <w:rFonts w:hint="default" w:ascii="Times New Roman" w:hAnsi="Times New Roman" w:eastAsia="宋体" w:cs="Times New Roman"/>
                <w:i w:val="0"/>
                <w:iCs w:val="0"/>
                <w:color w:val="000000"/>
                <w:kern w:val="0"/>
                <w:sz w:val="21"/>
                <w:szCs w:val="21"/>
                <w:u w:val="none"/>
                <w:lang w:val="en-US" w:eastAsia="zh-CN" w:bidi="ar"/>
              </w:rPr>
              <w:t>25.71%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exact"/>
          <w:jc w:val="center"/>
        </w:trPr>
        <w:tc>
          <w:tcPr>
            <w:tcW w:w="1240"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color w:val="000000"/>
                <w:kern w:val="0"/>
                <w:sz w:val="21"/>
                <w:szCs w:val="21"/>
              </w:rPr>
            </w:pPr>
          </w:p>
        </w:tc>
        <w:tc>
          <w:tcPr>
            <w:tcW w:w="714"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color w:val="000000"/>
                <w:kern w:val="0"/>
                <w:sz w:val="21"/>
                <w:szCs w:val="21"/>
              </w:rPr>
            </w:pPr>
          </w:p>
        </w:tc>
        <w:tc>
          <w:tcPr>
            <w:tcW w:w="1430" w:type="pct"/>
            <w:noWrap w:val="0"/>
            <w:vAlign w:val="center"/>
          </w:tcPr>
          <w:p>
            <w:pPr>
              <w:keepNext w:val="0"/>
              <w:keepLines w:val="0"/>
              <w:pageBreakBefore w:val="0"/>
              <w:widowControl/>
              <w:kinsoku/>
              <w:wordWrap/>
              <w:overflowPunct/>
              <w:topLinePunct w:val="0"/>
              <w:autoSpaceDE/>
              <w:autoSpaceDN/>
              <w:bidi w:val="0"/>
              <w:adjustRightInd/>
              <w:snapToGrid/>
              <w:spacing w:before="100" w:beforeAutospacing="1" w:after="100" w:afterAutospacing="1" w:line="240" w:lineRule="auto"/>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rPr>
              <w:t>未就业</w:t>
            </w:r>
          </w:p>
        </w:tc>
        <w:tc>
          <w:tcPr>
            <w:tcW w:w="1332" w:type="dxa"/>
            <w:noWrap w:val="0"/>
            <w:vAlign w:val="bottom"/>
          </w:tcPr>
          <w:p>
            <w:pPr>
              <w:keepNext w:val="0"/>
              <w:keepLines w:val="0"/>
              <w:widowControl/>
              <w:suppressLineNumbers w:val="0"/>
              <w:jc w:val="center"/>
              <w:textAlignment w:val="bottom"/>
              <w:rPr>
                <w:rFonts w:hint="default" w:ascii="Times New Roman" w:hAnsi="Times New Roman" w:eastAsia="宋体" w:cs="Times New Roman"/>
                <w:color w:val="000000"/>
                <w:kern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0</w:t>
            </w:r>
          </w:p>
        </w:tc>
        <w:tc>
          <w:tcPr>
            <w:tcW w:w="1460" w:type="dxa"/>
            <w:noWrap w:val="0"/>
            <w:tcMar>
              <w:top w:w="0" w:type="dxa"/>
              <w:left w:w="108" w:type="dxa"/>
              <w:bottom w:w="0" w:type="dxa"/>
              <w:right w:w="108" w:type="dxa"/>
            </w:tcMar>
            <w:vAlign w:val="bottom"/>
          </w:tcPr>
          <w:p>
            <w:pPr>
              <w:keepNext w:val="0"/>
              <w:keepLines w:val="0"/>
              <w:widowControl/>
              <w:suppressLineNumbers w:val="0"/>
              <w:jc w:val="center"/>
              <w:textAlignment w:val="bottom"/>
              <w:rPr>
                <w:rFonts w:hint="default" w:ascii="Times New Roman" w:hAnsi="Times New Roman" w:eastAsia="宋体" w:cs="Times New Roman"/>
                <w:color w:val="000000"/>
                <w:kern w:val="0"/>
                <w:sz w:val="21"/>
                <w:szCs w:val="21"/>
                <w:lang w:eastAsia="zh-CN"/>
              </w:rPr>
            </w:pPr>
            <w:r>
              <w:rPr>
                <w:rFonts w:hint="default" w:ascii="Times New Roman" w:hAnsi="Times New Roman" w:eastAsia="宋体" w:cs="Times New Roman"/>
                <w:i w:val="0"/>
                <w:iCs w:val="0"/>
                <w:color w:val="000000"/>
                <w:kern w:val="0"/>
                <w:sz w:val="21"/>
                <w:szCs w:val="21"/>
                <w:u w:val="none"/>
                <w:lang w:val="en-US" w:eastAsia="zh-CN" w:bidi="ar"/>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exact"/>
          <w:jc w:val="center"/>
        </w:trPr>
        <w:tc>
          <w:tcPr>
            <w:tcW w:w="1240" w:type="pct"/>
            <w:vMerge w:val="restart"/>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rPr>
              <w:t>粉体材料科学与工程（本科）</w:t>
            </w:r>
          </w:p>
        </w:tc>
        <w:tc>
          <w:tcPr>
            <w:tcW w:w="714" w:type="pct"/>
            <w:vMerge w:val="restart"/>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000000"/>
                <w:kern w:val="0"/>
                <w:sz w:val="21"/>
                <w:szCs w:val="21"/>
                <w:lang w:val="en-US" w:eastAsia="zh-CN"/>
              </w:rPr>
            </w:pPr>
            <w:r>
              <w:rPr>
                <w:rFonts w:hint="eastAsia" w:ascii="Times New Roman" w:hAnsi="Times New Roman" w:cs="Times New Roman"/>
                <w:color w:val="000000"/>
                <w:kern w:val="0"/>
                <w:sz w:val="21"/>
                <w:szCs w:val="21"/>
                <w:lang w:val="en-US" w:eastAsia="zh-CN"/>
              </w:rPr>
              <w:t>30</w:t>
            </w:r>
          </w:p>
        </w:tc>
        <w:tc>
          <w:tcPr>
            <w:tcW w:w="1430" w:type="pct"/>
            <w:noWrap w:val="0"/>
            <w:vAlign w:val="center"/>
          </w:tcPr>
          <w:p>
            <w:pPr>
              <w:keepNext w:val="0"/>
              <w:keepLines w:val="0"/>
              <w:pageBreakBefore w:val="0"/>
              <w:widowControl/>
              <w:kinsoku/>
              <w:wordWrap/>
              <w:overflowPunct/>
              <w:topLinePunct w:val="0"/>
              <w:autoSpaceDE/>
              <w:autoSpaceDN/>
              <w:bidi w:val="0"/>
              <w:adjustRightInd/>
              <w:snapToGrid/>
              <w:spacing w:before="100" w:beforeAutospacing="1" w:after="100" w:afterAutospacing="1" w:line="240" w:lineRule="auto"/>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lang w:eastAsia="zh-CN"/>
              </w:rPr>
              <w:t>公务员、</w:t>
            </w:r>
            <w:r>
              <w:rPr>
                <w:rFonts w:hint="default" w:ascii="Times New Roman" w:hAnsi="Times New Roman" w:cs="Times New Roman"/>
                <w:color w:val="000000"/>
                <w:kern w:val="0"/>
                <w:sz w:val="21"/>
                <w:szCs w:val="21"/>
              </w:rPr>
              <w:t>事业单位</w:t>
            </w:r>
          </w:p>
        </w:tc>
        <w:tc>
          <w:tcPr>
            <w:tcW w:w="1332" w:type="dxa"/>
            <w:noWrap w:val="0"/>
            <w:vAlign w:val="bottom"/>
          </w:tcPr>
          <w:p>
            <w:pPr>
              <w:keepNext w:val="0"/>
              <w:keepLines w:val="0"/>
              <w:widowControl/>
              <w:suppressLineNumbers w:val="0"/>
              <w:jc w:val="center"/>
              <w:textAlignment w:val="bottom"/>
              <w:rPr>
                <w:rFonts w:hint="default" w:ascii="Times New Roman" w:hAnsi="Times New Roman" w:eastAsia="宋体" w:cs="Times New Roman"/>
                <w:color w:val="000000"/>
                <w:kern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0</w:t>
            </w:r>
          </w:p>
        </w:tc>
        <w:tc>
          <w:tcPr>
            <w:tcW w:w="1460" w:type="dxa"/>
            <w:noWrap w:val="0"/>
            <w:tcMar>
              <w:top w:w="0" w:type="dxa"/>
              <w:left w:w="108" w:type="dxa"/>
              <w:bottom w:w="0" w:type="dxa"/>
              <w:right w:w="108" w:type="dxa"/>
            </w:tcMar>
            <w:vAlign w:val="bottom"/>
          </w:tcPr>
          <w:p>
            <w:pPr>
              <w:keepNext w:val="0"/>
              <w:keepLines w:val="0"/>
              <w:widowControl/>
              <w:suppressLineNumbers w:val="0"/>
              <w:jc w:val="center"/>
              <w:textAlignment w:val="bottom"/>
              <w:rPr>
                <w:rFonts w:hint="default" w:ascii="Times New Roman" w:hAnsi="Times New Roman" w:cs="Times New Roman"/>
                <w:color w:val="000000"/>
                <w:kern w:val="0"/>
                <w:sz w:val="21"/>
                <w:szCs w:val="21"/>
              </w:rPr>
            </w:pPr>
            <w:r>
              <w:rPr>
                <w:rFonts w:hint="default" w:ascii="Times New Roman" w:hAnsi="Times New Roman" w:eastAsia="宋体" w:cs="Times New Roman"/>
                <w:i w:val="0"/>
                <w:iCs w:val="0"/>
                <w:color w:val="000000"/>
                <w:kern w:val="0"/>
                <w:sz w:val="21"/>
                <w:szCs w:val="21"/>
                <w:u w:val="none"/>
                <w:lang w:val="en-US" w:eastAsia="zh-CN" w:bidi="ar"/>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exact"/>
          <w:jc w:val="center"/>
        </w:trPr>
        <w:tc>
          <w:tcPr>
            <w:tcW w:w="1240" w:type="pct"/>
            <w:vMerge w:val="continue"/>
            <w:noWrap w:val="0"/>
            <w:vAlign w:val="center"/>
          </w:tcPr>
          <w:p>
            <w:pPr>
              <w:keepNext w:val="0"/>
              <w:keepLines w:val="0"/>
              <w:pageBreakBefore w:val="0"/>
              <w:widowControl/>
              <w:kinsoku/>
              <w:wordWrap/>
              <w:overflowPunct/>
              <w:topLinePunct w:val="0"/>
              <w:autoSpaceDE/>
              <w:autoSpaceDN/>
              <w:bidi w:val="0"/>
              <w:adjustRightInd/>
              <w:snapToGrid/>
              <w:spacing w:before="100" w:beforeAutospacing="1" w:after="100" w:afterAutospacing="1" w:line="240" w:lineRule="auto"/>
              <w:jc w:val="center"/>
              <w:rPr>
                <w:rFonts w:hint="default" w:ascii="Times New Roman" w:hAnsi="Times New Roman" w:cs="Times New Roman"/>
                <w:color w:val="000000"/>
                <w:kern w:val="0"/>
                <w:sz w:val="21"/>
                <w:szCs w:val="21"/>
              </w:rPr>
            </w:pPr>
          </w:p>
        </w:tc>
        <w:tc>
          <w:tcPr>
            <w:tcW w:w="714" w:type="pct"/>
            <w:vMerge w:val="continue"/>
            <w:noWrap w:val="0"/>
            <w:vAlign w:val="center"/>
          </w:tcPr>
          <w:p>
            <w:pPr>
              <w:keepNext w:val="0"/>
              <w:keepLines w:val="0"/>
              <w:pageBreakBefore w:val="0"/>
              <w:widowControl/>
              <w:kinsoku/>
              <w:wordWrap/>
              <w:overflowPunct/>
              <w:topLinePunct w:val="0"/>
              <w:autoSpaceDE/>
              <w:autoSpaceDN/>
              <w:bidi w:val="0"/>
              <w:adjustRightInd/>
              <w:snapToGrid/>
              <w:spacing w:before="100" w:beforeAutospacing="1" w:after="100" w:afterAutospacing="1" w:line="240" w:lineRule="auto"/>
              <w:jc w:val="center"/>
              <w:rPr>
                <w:rFonts w:hint="default" w:ascii="Times New Roman" w:hAnsi="Times New Roman" w:cs="Times New Roman"/>
                <w:color w:val="000000"/>
                <w:kern w:val="0"/>
                <w:sz w:val="21"/>
                <w:szCs w:val="21"/>
              </w:rPr>
            </w:pPr>
          </w:p>
        </w:tc>
        <w:tc>
          <w:tcPr>
            <w:tcW w:w="1430" w:type="pct"/>
            <w:noWrap w:val="0"/>
            <w:vAlign w:val="center"/>
          </w:tcPr>
          <w:p>
            <w:pPr>
              <w:keepNext w:val="0"/>
              <w:keepLines w:val="0"/>
              <w:pageBreakBefore w:val="0"/>
              <w:widowControl/>
              <w:kinsoku/>
              <w:wordWrap/>
              <w:overflowPunct/>
              <w:topLinePunct w:val="0"/>
              <w:autoSpaceDE/>
              <w:autoSpaceDN/>
              <w:bidi w:val="0"/>
              <w:adjustRightInd/>
              <w:snapToGrid/>
              <w:spacing w:before="100" w:beforeAutospacing="1" w:after="100" w:afterAutospacing="1" w:line="240" w:lineRule="auto"/>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rPr>
              <w:t>国有企业</w:t>
            </w:r>
          </w:p>
        </w:tc>
        <w:tc>
          <w:tcPr>
            <w:tcW w:w="1332" w:type="dxa"/>
            <w:noWrap w:val="0"/>
            <w:vAlign w:val="bottom"/>
          </w:tcPr>
          <w:p>
            <w:pPr>
              <w:keepNext w:val="0"/>
              <w:keepLines w:val="0"/>
              <w:widowControl/>
              <w:suppressLineNumbers w:val="0"/>
              <w:jc w:val="center"/>
              <w:textAlignment w:val="bottom"/>
              <w:rPr>
                <w:rFonts w:hint="default" w:ascii="Times New Roman" w:hAnsi="Times New Roman" w:eastAsia="宋体" w:cs="Times New Roman"/>
                <w:color w:val="000000"/>
                <w:kern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0</w:t>
            </w:r>
          </w:p>
        </w:tc>
        <w:tc>
          <w:tcPr>
            <w:tcW w:w="1460" w:type="dxa"/>
            <w:noWrap w:val="0"/>
            <w:tcMar>
              <w:top w:w="0" w:type="dxa"/>
              <w:left w:w="108" w:type="dxa"/>
              <w:bottom w:w="0" w:type="dxa"/>
              <w:right w:w="108" w:type="dxa"/>
            </w:tcMar>
            <w:vAlign w:val="bottom"/>
          </w:tcPr>
          <w:p>
            <w:pPr>
              <w:keepNext w:val="0"/>
              <w:keepLines w:val="0"/>
              <w:widowControl/>
              <w:suppressLineNumbers w:val="0"/>
              <w:jc w:val="center"/>
              <w:textAlignment w:val="bottom"/>
              <w:rPr>
                <w:rFonts w:hint="default" w:ascii="Times New Roman" w:hAnsi="Times New Roman" w:cs="Times New Roman"/>
                <w:color w:val="000000"/>
                <w:kern w:val="0"/>
                <w:sz w:val="21"/>
                <w:szCs w:val="21"/>
              </w:rPr>
            </w:pPr>
            <w:r>
              <w:rPr>
                <w:rFonts w:hint="default" w:ascii="Times New Roman" w:hAnsi="Times New Roman" w:eastAsia="宋体" w:cs="Times New Roman"/>
                <w:i w:val="0"/>
                <w:iCs w:val="0"/>
                <w:color w:val="000000"/>
                <w:kern w:val="0"/>
                <w:sz w:val="21"/>
                <w:szCs w:val="21"/>
                <w:u w:val="none"/>
                <w:lang w:val="en-US" w:eastAsia="zh-CN" w:bidi="ar"/>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exact"/>
          <w:jc w:val="center"/>
        </w:trPr>
        <w:tc>
          <w:tcPr>
            <w:tcW w:w="1240" w:type="pct"/>
            <w:vMerge w:val="continue"/>
            <w:noWrap w:val="0"/>
            <w:vAlign w:val="center"/>
          </w:tcPr>
          <w:p>
            <w:pPr>
              <w:keepNext w:val="0"/>
              <w:keepLines w:val="0"/>
              <w:pageBreakBefore w:val="0"/>
              <w:widowControl/>
              <w:kinsoku/>
              <w:wordWrap/>
              <w:overflowPunct/>
              <w:topLinePunct w:val="0"/>
              <w:autoSpaceDE/>
              <w:autoSpaceDN/>
              <w:bidi w:val="0"/>
              <w:adjustRightInd/>
              <w:snapToGrid/>
              <w:spacing w:before="100" w:beforeAutospacing="1" w:after="100" w:afterAutospacing="1" w:line="240" w:lineRule="auto"/>
              <w:jc w:val="center"/>
              <w:rPr>
                <w:rFonts w:hint="default" w:ascii="Times New Roman" w:hAnsi="Times New Roman" w:cs="Times New Roman"/>
                <w:color w:val="000000"/>
                <w:kern w:val="0"/>
                <w:sz w:val="21"/>
                <w:szCs w:val="21"/>
              </w:rPr>
            </w:pPr>
          </w:p>
        </w:tc>
        <w:tc>
          <w:tcPr>
            <w:tcW w:w="714" w:type="pct"/>
            <w:vMerge w:val="continue"/>
            <w:noWrap w:val="0"/>
            <w:vAlign w:val="center"/>
          </w:tcPr>
          <w:p>
            <w:pPr>
              <w:keepNext w:val="0"/>
              <w:keepLines w:val="0"/>
              <w:pageBreakBefore w:val="0"/>
              <w:widowControl/>
              <w:kinsoku/>
              <w:wordWrap/>
              <w:overflowPunct/>
              <w:topLinePunct w:val="0"/>
              <w:autoSpaceDE/>
              <w:autoSpaceDN/>
              <w:bidi w:val="0"/>
              <w:adjustRightInd/>
              <w:snapToGrid/>
              <w:spacing w:before="100" w:beforeAutospacing="1" w:after="100" w:afterAutospacing="1" w:line="240" w:lineRule="auto"/>
              <w:jc w:val="center"/>
              <w:rPr>
                <w:rFonts w:hint="default" w:ascii="Times New Roman" w:hAnsi="Times New Roman" w:cs="Times New Roman"/>
                <w:color w:val="000000"/>
                <w:kern w:val="0"/>
                <w:sz w:val="21"/>
                <w:szCs w:val="21"/>
              </w:rPr>
            </w:pPr>
          </w:p>
        </w:tc>
        <w:tc>
          <w:tcPr>
            <w:tcW w:w="1430" w:type="pct"/>
            <w:noWrap w:val="0"/>
            <w:vAlign w:val="center"/>
          </w:tcPr>
          <w:p>
            <w:pPr>
              <w:keepNext w:val="0"/>
              <w:keepLines w:val="0"/>
              <w:pageBreakBefore w:val="0"/>
              <w:widowControl/>
              <w:kinsoku/>
              <w:wordWrap/>
              <w:overflowPunct/>
              <w:topLinePunct w:val="0"/>
              <w:autoSpaceDE/>
              <w:autoSpaceDN/>
              <w:bidi w:val="0"/>
              <w:adjustRightInd/>
              <w:snapToGrid/>
              <w:spacing w:before="100" w:beforeAutospacing="1" w:after="100" w:afterAutospacing="1" w:line="240" w:lineRule="auto"/>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rPr>
              <w:t>三资企业</w:t>
            </w:r>
          </w:p>
        </w:tc>
        <w:tc>
          <w:tcPr>
            <w:tcW w:w="1332" w:type="dxa"/>
            <w:noWrap w:val="0"/>
            <w:vAlign w:val="bottom"/>
          </w:tcPr>
          <w:p>
            <w:pPr>
              <w:keepNext w:val="0"/>
              <w:keepLines w:val="0"/>
              <w:widowControl/>
              <w:suppressLineNumbers w:val="0"/>
              <w:jc w:val="center"/>
              <w:textAlignment w:val="bottom"/>
              <w:rPr>
                <w:rFonts w:hint="default" w:ascii="Times New Roman" w:hAnsi="Times New Roman" w:eastAsia="宋体" w:cs="Times New Roman"/>
                <w:color w:val="000000"/>
                <w:kern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0</w:t>
            </w:r>
          </w:p>
        </w:tc>
        <w:tc>
          <w:tcPr>
            <w:tcW w:w="1460" w:type="dxa"/>
            <w:noWrap w:val="0"/>
            <w:tcMar>
              <w:top w:w="0" w:type="dxa"/>
              <w:left w:w="108" w:type="dxa"/>
              <w:bottom w:w="0" w:type="dxa"/>
              <w:right w:w="108" w:type="dxa"/>
            </w:tcMar>
            <w:vAlign w:val="bottom"/>
          </w:tcPr>
          <w:p>
            <w:pPr>
              <w:keepNext w:val="0"/>
              <w:keepLines w:val="0"/>
              <w:widowControl/>
              <w:suppressLineNumbers w:val="0"/>
              <w:jc w:val="center"/>
              <w:textAlignment w:val="bottom"/>
              <w:rPr>
                <w:rFonts w:hint="default" w:ascii="Times New Roman" w:hAnsi="Times New Roman" w:eastAsia="宋体" w:cs="Times New Roman"/>
                <w:color w:val="000000"/>
                <w:kern w:val="0"/>
                <w:sz w:val="21"/>
                <w:szCs w:val="21"/>
                <w:lang w:eastAsia="zh-CN"/>
              </w:rPr>
            </w:pPr>
            <w:r>
              <w:rPr>
                <w:rFonts w:hint="default" w:ascii="Times New Roman" w:hAnsi="Times New Roman" w:eastAsia="宋体" w:cs="Times New Roman"/>
                <w:i w:val="0"/>
                <w:iCs w:val="0"/>
                <w:color w:val="000000"/>
                <w:kern w:val="0"/>
                <w:sz w:val="21"/>
                <w:szCs w:val="21"/>
                <w:u w:val="none"/>
                <w:lang w:val="en-US" w:eastAsia="zh-CN" w:bidi="ar"/>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exact"/>
          <w:jc w:val="center"/>
        </w:trPr>
        <w:tc>
          <w:tcPr>
            <w:tcW w:w="1240" w:type="pct"/>
            <w:vMerge w:val="continue"/>
            <w:noWrap w:val="0"/>
            <w:vAlign w:val="center"/>
          </w:tcPr>
          <w:p>
            <w:pPr>
              <w:keepNext w:val="0"/>
              <w:keepLines w:val="0"/>
              <w:pageBreakBefore w:val="0"/>
              <w:widowControl/>
              <w:kinsoku/>
              <w:wordWrap/>
              <w:overflowPunct/>
              <w:topLinePunct w:val="0"/>
              <w:autoSpaceDE/>
              <w:autoSpaceDN/>
              <w:bidi w:val="0"/>
              <w:adjustRightInd/>
              <w:snapToGrid/>
              <w:spacing w:before="100" w:beforeAutospacing="1" w:after="100" w:afterAutospacing="1" w:line="240" w:lineRule="auto"/>
              <w:jc w:val="center"/>
              <w:rPr>
                <w:rFonts w:hint="default" w:ascii="Times New Roman" w:hAnsi="Times New Roman" w:cs="Times New Roman"/>
                <w:color w:val="000000"/>
                <w:kern w:val="0"/>
                <w:sz w:val="21"/>
                <w:szCs w:val="21"/>
              </w:rPr>
            </w:pPr>
          </w:p>
        </w:tc>
        <w:tc>
          <w:tcPr>
            <w:tcW w:w="714" w:type="pct"/>
            <w:vMerge w:val="continue"/>
            <w:noWrap w:val="0"/>
            <w:vAlign w:val="center"/>
          </w:tcPr>
          <w:p>
            <w:pPr>
              <w:keepNext w:val="0"/>
              <w:keepLines w:val="0"/>
              <w:pageBreakBefore w:val="0"/>
              <w:widowControl/>
              <w:kinsoku/>
              <w:wordWrap/>
              <w:overflowPunct/>
              <w:topLinePunct w:val="0"/>
              <w:autoSpaceDE/>
              <w:autoSpaceDN/>
              <w:bidi w:val="0"/>
              <w:adjustRightInd/>
              <w:snapToGrid/>
              <w:spacing w:before="100" w:beforeAutospacing="1" w:after="100" w:afterAutospacing="1" w:line="240" w:lineRule="auto"/>
              <w:jc w:val="center"/>
              <w:rPr>
                <w:rFonts w:hint="default" w:ascii="Times New Roman" w:hAnsi="Times New Roman" w:cs="Times New Roman"/>
                <w:color w:val="000000"/>
                <w:kern w:val="0"/>
                <w:sz w:val="21"/>
                <w:szCs w:val="21"/>
              </w:rPr>
            </w:pPr>
          </w:p>
        </w:tc>
        <w:tc>
          <w:tcPr>
            <w:tcW w:w="1430" w:type="pct"/>
            <w:noWrap w:val="0"/>
            <w:vAlign w:val="center"/>
          </w:tcPr>
          <w:p>
            <w:pPr>
              <w:keepNext w:val="0"/>
              <w:keepLines w:val="0"/>
              <w:pageBreakBefore w:val="0"/>
              <w:widowControl/>
              <w:kinsoku/>
              <w:wordWrap/>
              <w:overflowPunct/>
              <w:topLinePunct w:val="0"/>
              <w:autoSpaceDE/>
              <w:autoSpaceDN/>
              <w:bidi w:val="0"/>
              <w:adjustRightInd/>
              <w:snapToGrid/>
              <w:spacing w:before="100" w:beforeAutospacing="1" w:after="100" w:afterAutospacing="1" w:line="240" w:lineRule="auto"/>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rPr>
              <w:t>民营企业</w:t>
            </w:r>
          </w:p>
        </w:tc>
        <w:tc>
          <w:tcPr>
            <w:tcW w:w="1332" w:type="dxa"/>
            <w:noWrap w:val="0"/>
            <w:vAlign w:val="bottom"/>
          </w:tcPr>
          <w:p>
            <w:pPr>
              <w:keepNext w:val="0"/>
              <w:keepLines w:val="0"/>
              <w:widowControl/>
              <w:suppressLineNumbers w:val="0"/>
              <w:jc w:val="center"/>
              <w:textAlignment w:val="bottom"/>
              <w:rPr>
                <w:rFonts w:hint="default" w:ascii="Times New Roman" w:hAnsi="Times New Roman" w:eastAsia="宋体" w:cs="Times New Roman"/>
                <w:color w:val="000000"/>
                <w:kern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15</w:t>
            </w:r>
          </w:p>
        </w:tc>
        <w:tc>
          <w:tcPr>
            <w:tcW w:w="1460" w:type="dxa"/>
            <w:noWrap w:val="0"/>
            <w:tcMar>
              <w:top w:w="0" w:type="dxa"/>
              <w:left w:w="108" w:type="dxa"/>
              <w:bottom w:w="0" w:type="dxa"/>
              <w:right w:w="108" w:type="dxa"/>
            </w:tcMar>
            <w:vAlign w:val="bottom"/>
          </w:tcPr>
          <w:p>
            <w:pPr>
              <w:keepNext w:val="0"/>
              <w:keepLines w:val="0"/>
              <w:widowControl/>
              <w:suppressLineNumbers w:val="0"/>
              <w:jc w:val="center"/>
              <w:textAlignment w:val="bottom"/>
              <w:rPr>
                <w:rFonts w:hint="default" w:ascii="Times New Roman" w:hAnsi="Times New Roman" w:cs="Times New Roman"/>
                <w:color w:val="000000"/>
                <w:kern w:val="0"/>
                <w:sz w:val="21"/>
                <w:szCs w:val="21"/>
              </w:rPr>
            </w:pPr>
            <w:r>
              <w:rPr>
                <w:rFonts w:hint="default" w:ascii="Times New Roman" w:hAnsi="Times New Roman" w:eastAsia="宋体" w:cs="Times New Roman"/>
                <w:i w:val="0"/>
                <w:iCs w:val="0"/>
                <w:color w:val="000000"/>
                <w:kern w:val="0"/>
                <w:sz w:val="21"/>
                <w:szCs w:val="21"/>
                <w:u w:val="none"/>
                <w:lang w:val="en-US" w:eastAsia="zh-CN" w:bidi="ar"/>
              </w:rPr>
              <w:t>50.00%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exact"/>
          <w:jc w:val="center"/>
        </w:trPr>
        <w:tc>
          <w:tcPr>
            <w:tcW w:w="1240" w:type="pct"/>
            <w:vMerge w:val="continue"/>
            <w:noWrap w:val="0"/>
            <w:vAlign w:val="center"/>
          </w:tcPr>
          <w:p>
            <w:pPr>
              <w:keepNext w:val="0"/>
              <w:keepLines w:val="0"/>
              <w:pageBreakBefore w:val="0"/>
              <w:widowControl/>
              <w:kinsoku/>
              <w:wordWrap/>
              <w:overflowPunct/>
              <w:topLinePunct w:val="0"/>
              <w:autoSpaceDE/>
              <w:autoSpaceDN/>
              <w:bidi w:val="0"/>
              <w:adjustRightInd/>
              <w:snapToGrid/>
              <w:spacing w:before="100" w:beforeAutospacing="1" w:after="100" w:afterAutospacing="1" w:line="240" w:lineRule="auto"/>
              <w:jc w:val="center"/>
              <w:rPr>
                <w:rFonts w:hint="default" w:ascii="Times New Roman" w:hAnsi="Times New Roman" w:cs="Times New Roman"/>
                <w:color w:val="000000"/>
                <w:kern w:val="0"/>
                <w:sz w:val="21"/>
                <w:szCs w:val="21"/>
              </w:rPr>
            </w:pPr>
          </w:p>
        </w:tc>
        <w:tc>
          <w:tcPr>
            <w:tcW w:w="714" w:type="pct"/>
            <w:vMerge w:val="continue"/>
            <w:noWrap w:val="0"/>
            <w:vAlign w:val="center"/>
          </w:tcPr>
          <w:p>
            <w:pPr>
              <w:keepNext w:val="0"/>
              <w:keepLines w:val="0"/>
              <w:pageBreakBefore w:val="0"/>
              <w:widowControl/>
              <w:kinsoku/>
              <w:wordWrap/>
              <w:overflowPunct/>
              <w:topLinePunct w:val="0"/>
              <w:autoSpaceDE/>
              <w:autoSpaceDN/>
              <w:bidi w:val="0"/>
              <w:adjustRightInd/>
              <w:snapToGrid/>
              <w:spacing w:before="100" w:beforeAutospacing="1" w:after="100" w:afterAutospacing="1" w:line="240" w:lineRule="auto"/>
              <w:jc w:val="center"/>
              <w:rPr>
                <w:rFonts w:hint="default" w:ascii="Times New Roman" w:hAnsi="Times New Roman" w:cs="Times New Roman"/>
                <w:color w:val="000000"/>
                <w:kern w:val="0"/>
                <w:sz w:val="21"/>
                <w:szCs w:val="21"/>
              </w:rPr>
            </w:pPr>
          </w:p>
        </w:tc>
        <w:tc>
          <w:tcPr>
            <w:tcW w:w="1430" w:type="pct"/>
            <w:noWrap w:val="0"/>
            <w:vAlign w:val="center"/>
          </w:tcPr>
          <w:p>
            <w:pPr>
              <w:keepNext w:val="0"/>
              <w:keepLines w:val="0"/>
              <w:pageBreakBefore w:val="0"/>
              <w:widowControl/>
              <w:kinsoku/>
              <w:wordWrap/>
              <w:overflowPunct/>
              <w:topLinePunct w:val="0"/>
              <w:autoSpaceDE/>
              <w:autoSpaceDN/>
              <w:bidi w:val="0"/>
              <w:adjustRightInd/>
              <w:snapToGrid/>
              <w:spacing w:before="100" w:beforeAutospacing="1" w:after="100" w:afterAutospacing="1" w:line="240" w:lineRule="auto"/>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rPr>
              <w:t>其他（自主创业等）</w:t>
            </w:r>
          </w:p>
        </w:tc>
        <w:tc>
          <w:tcPr>
            <w:tcW w:w="1332" w:type="dxa"/>
            <w:noWrap w:val="0"/>
            <w:vAlign w:val="bottom"/>
          </w:tcPr>
          <w:p>
            <w:pPr>
              <w:keepNext w:val="0"/>
              <w:keepLines w:val="0"/>
              <w:widowControl/>
              <w:suppressLineNumbers w:val="0"/>
              <w:jc w:val="center"/>
              <w:textAlignment w:val="bottom"/>
              <w:rPr>
                <w:rFonts w:hint="default" w:ascii="Times New Roman" w:hAnsi="Times New Roman" w:eastAsia="宋体" w:cs="Times New Roman"/>
                <w:color w:val="000000"/>
                <w:kern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0</w:t>
            </w:r>
          </w:p>
        </w:tc>
        <w:tc>
          <w:tcPr>
            <w:tcW w:w="1460" w:type="dxa"/>
            <w:noWrap w:val="0"/>
            <w:tcMar>
              <w:top w:w="0" w:type="dxa"/>
              <w:left w:w="108" w:type="dxa"/>
              <w:bottom w:w="0" w:type="dxa"/>
              <w:right w:w="108" w:type="dxa"/>
            </w:tcMar>
            <w:vAlign w:val="bottom"/>
          </w:tcPr>
          <w:p>
            <w:pPr>
              <w:keepNext w:val="0"/>
              <w:keepLines w:val="0"/>
              <w:widowControl/>
              <w:suppressLineNumbers w:val="0"/>
              <w:jc w:val="center"/>
              <w:textAlignment w:val="bottom"/>
              <w:rPr>
                <w:rFonts w:hint="default" w:ascii="Times New Roman" w:hAnsi="Times New Roman" w:cs="Times New Roman"/>
                <w:color w:val="000000"/>
                <w:kern w:val="0"/>
                <w:sz w:val="21"/>
                <w:szCs w:val="21"/>
              </w:rPr>
            </w:pPr>
            <w:r>
              <w:rPr>
                <w:rFonts w:hint="default" w:ascii="Times New Roman" w:hAnsi="Times New Roman" w:eastAsia="宋体" w:cs="Times New Roman"/>
                <w:i w:val="0"/>
                <w:iCs w:val="0"/>
                <w:color w:val="000000"/>
                <w:kern w:val="0"/>
                <w:sz w:val="21"/>
                <w:szCs w:val="21"/>
                <w:u w:val="none"/>
                <w:lang w:val="en-US" w:eastAsia="zh-CN" w:bidi="ar"/>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exact"/>
          <w:jc w:val="center"/>
        </w:trPr>
        <w:tc>
          <w:tcPr>
            <w:tcW w:w="1240" w:type="pct"/>
            <w:vMerge w:val="continue"/>
            <w:noWrap w:val="0"/>
            <w:vAlign w:val="center"/>
          </w:tcPr>
          <w:p>
            <w:pPr>
              <w:keepNext w:val="0"/>
              <w:keepLines w:val="0"/>
              <w:pageBreakBefore w:val="0"/>
              <w:widowControl/>
              <w:kinsoku/>
              <w:wordWrap/>
              <w:overflowPunct/>
              <w:topLinePunct w:val="0"/>
              <w:autoSpaceDE/>
              <w:autoSpaceDN/>
              <w:bidi w:val="0"/>
              <w:adjustRightInd/>
              <w:snapToGrid/>
              <w:spacing w:before="100" w:beforeAutospacing="1" w:after="100" w:afterAutospacing="1" w:line="240" w:lineRule="auto"/>
              <w:jc w:val="center"/>
              <w:rPr>
                <w:rFonts w:hint="default" w:ascii="Times New Roman" w:hAnsi="Times New Roman" w:cs="Times New Roman"/>
                <w:color w:val="000000"/>
                <w:kern w:val="0"/>
                <w:sz w:val="21"/>
                <w:szCs w:val="21"/>
              </w:rPr>
            </w:pPr>
          </w:p>
        </w:tc>
        <w:tc>
          <w:tcPr>
            <w:tcW w:w="714" w:type="pct"/>
            <w:vMerge w:val="continue"/>
            <w:noWrap w:val="0"/>
            <w:vAlign w:val="center"/>
          </w:tcPr>
          <w:p>
            <w:pPr>
              <w:keepNext w:val="0"/>
              <w:keepLines w:val="0"/>
              <w:pageBreakBefore w:val="0"/>
              <w:widowControl/>
              <w:kinsoku/>
              <w:wordWrap/>
              <w:overflowPunct/>
              <w:topLinePunct w:val="0"/>
              <w:autoSpaceDE/>
              <w:autoSpaceDN/>
              <w:bidi w:val="0"/>
              <w:adjustRightInd/>
              <w:snapToGrid/>
              <w:spacing w:before="100" w:beforeAutospacing="1" w:after="100" w:afterAutospacing="1" w:line="240" w:lineRule="auto"/>
              <w:jc w:val="center"/>
              <w:rPr>
                <w:rFonts w:hint="default" w:ascii="Times New Roman" w:hAnsi="Times New Roman" w:cs="Times New Roman"/>
                <w:color w:val="000000"/>
                <w:kern w:val="0"/>
                <w:sz w:val="21"/>
                <w:szCs w:val="21"/>
              </w:rPr>
            </w:pPr>
          </w:p>
        </w:tc>
        <w:tc>
          <w:tcPr>
            <w:tcW w:w="1430" w:type="pct"/>
            <w:noWrap w:val="0"/>
            <w:vAlign w:val="center"/>
          </w:tcPr>
          <w:p>
            <w:pPr>
              <w:keepNext w:val="0"/>
              <w:keepLines w:val="0"/>
              <w:pageBreakBefore w:val="0"/>
              <w:widowControl/>
              <w:kinsoku/>
              <w:wordWrap/>
              <w:overflowPunct/>
              <w:topLinePunct w:val="0"/>
              <w:autoSpaceDE/>
              <w:autoSpaceDN/>
              <w:bidi w:val="0"/>
              <w:adjustRightInd/>
              <w:snapToGrid/>
              <w:spacing w:before="100" w:beforeAutospacing="1" w:after="100" w:afterAutospacing="1" w:line="240" w:lineRule="auto"/>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rPr>
              <w:t>考取硕士研究生</w:t>
            </w:r>
          </w:p>
        </w:tc>
        <w:tc>
          <w:tcPr>
            <w:tcW w:w="1332" w:type="dxa"/>
            <w:noWrap w:val="0"/>
            <w:vAlign w:val="bottom"/>
          </w:tcPr>
          <w:p>
            <w:pPr>
              <w:keepNext w:val="0"/>
              <w:keepLines w:val="0"/>
              <w:widowControl/>
              <w:suppressLineNumbers w:val="0"/>
              <w:jc w:val="center"/>
              <w:textAlignment w:val="bottom"/>
              <w:rPr>
                <w:rFonts w:hint="default" w:ascii="Times New Roman" w:hAnsi="Times New Roman" w:eastAsia="宋体" w:cs="Times New Roman"/>
                <w:color w:val="000000"/>
                <w:kern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15</w:t>
            </w:r>
          </w:p>
        </w:tc>
        <w:tc>
          <w:tcPr>
            <w:tcW w:w="1460" w:type="dxa"/>
            <w:noWrap w:val="0"/>
            <w:tcMar>
              <w:top w:w="0" w:type="dxa"/>
              <w:left w:w="108" w:type="dxa"/>
              <w:bottom w:w="0" w:type="dxa"/>
              <w:right w:w="108" w:type="dxa"/>
            </w:tcMar>
            <w:vAlign w:val="bottom"/>
          </w:tcPr>
          <w:p>
            <w:pPr>
              <w:keepNext w:val="0"/>
              <w:keepLines w:val="0"/>
              <w:widowControl/>
              <w:suppressLineNumbers w:val="0"/>
              <w:jc w:val="center"/>
              <w:textAlignment w:val="bottom"/>
              <w:rPr>
                <w:rFonts w:hint="default" w:ascii="Times New Roman" w:hAnsi="Times New Roman" w:cs="Times New Roman"/>
                <w:color w:val="000000"/>
                <w:kern w:val="0"/>
                <w:sz w:val="21"/>
                <w:szCs w:val="21"/>
              </w:rPr>
            </w:pPr>
            <w:r>
              <w:rPr>
                <w:rFonts w:hint="default" w:ascii="Times New Roman" w:hAnsi="Times New Roman" w:eastAsia="宋体" w:cs="Times New Roman"/>
                <w:i w:val="0"/>
                <w:iCs w:val="0"/>
                <w:color w:val="000000"/>
                <w:kern w:val="0"/>
                <w:sz w:val="21"/>
                <w:szCs w:val="21"/>
                <w:u w:val="none"/>
                <w:lang w:val="en-US" w:eastAsia="zh-CN" w:bidi="ar"/>
              </w:rPr>
              <w:t>50.00%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64" w:hRule="exact"/>
          <w:jc w:val="center"/>
        </w:trPr>
        <w:tc>
          <w:tcPr>
            <w:tcW w:w="1240" w:type="pct"/>
            <w:vMerge w:val="continue"/>
            <w:noWrap w:val="0"/>
            <w:vAlign w:val="center"/>
          </w:tcPr>
          <w:p>
            <w:pPr>
              <w:keepNext w:val="0"/>
              <w:keepLines w:val="0"/>
              <w:pageBreakBefore w:val="0"/>
              <w:widowControl/>
              <w:kinsoku/>
              <w:wordWrap/>
              <w:overflowPunct/>
              <w:topLinePunct w:val="0"/>
              <w:autoSpaceDE/>
              <w:autoSpaceDN/>
              <w:bidi w:val="0"/>
              <w:adjustRightInd/>
              <w:snapToGrid/>
              <w:spacing w:before="100" w:beforeAutospacing="1" w:after="100" w:afterAutospacing="1" w:line="240" w:lineRule="auto"/>
              <w:jc w:val="center"/>
              <w:rPr>
                <w:rFonts w:hint="default" w:ascii="Times New Roman" w:hAnsi="Times New Roman" w:cs="Times New Roman"/>
                <w:color w:val="000000"/>
                <w:kern w:val="0"/>
                <w:sz w:val="21"/>
                <w:szCs w:val="21"/>
              </w:rPr>
            </w:pPr>
          </w:p>
        </w:tc>
        <w:tc>
          <w:tcPr>
            <w:tcW w:w="714" w:type="pct"/>
            <w:vMerge w:val="continue"/>
            <w:noWrap w:val="0"/>
            <w:vAlign w:val="center"/>
          </w:tcPr>
          <w:p>
            <w:pPr>
              <w:keepNext w:val="0"/>
              <w:keepLines w:val="0"/>
              <w:pageBreakBefore w:val="0"/>
              <w:widowControl/>
              <w:kinsoku/>
              <w:wordWrap/>
              <w:overflowPunct/>
              <w:topLinePunct w:val="0"/>
              <w:autoSpaceDE/>
              <w:autoSpaceDN/>
              <w:bidi w:val="0"/>
              <w:adjustRightInd/>
              <w:snapToGrid/>
              <w:spacing w:before="100" w:beforeAutospacing="1" w:after="100" w:afterAutospacing="1" w:line="240" w:lineRule="auto"/>
              <w:jc w:val="center"/>
              <w:rPr>
                <w:rFonts w:hint="default" w:ascii="Times New Roman" w:hAnsi="Times New Roman" w:cs="Times New Roman"/>
                <w:color w:val="000000"/>
                <w:kern w:val="0"/>
                <w:sz w:val="21"/>
                <w:szCs w:val="21"/>
              </w:rPr>
            </w:pPr>
          </w:p>
        </w:tc>
        <w:tc>
          <w:tcPr>
            <w:tcW w:w="1430" w:type="pct"/>
            <w:noWrap w:val="0"/>
            <w:vAlign w:val="center"/>
          </w:tcPr>
          <w:p>
            <w:pPr>
              <w:keepNext w:val="0"/>
              <w:keepLines w:val="0"/>
              <w:pageBreakBefore w:val="0"/>
              <w:widowControl/>
              <w:kinsoku/>
              <w:wordWrap/>
              <w:overflowPunct/>
              <w:topLinePunct w:val="0"/>
              <w:autoSpaceDE/>
              <w:autoSpaceDN/>
              <w:bidi w:val="0"/>
              <w:adjustRightInd/>
              <w:snapToGrid/>
              <w:spacing w:before="100" w:beforeAutospacing="1" w:after="100" w:afterAutospacing="1" w:line="240" w:lineRule="auto"/>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rPr>
              <w:t>未就业</w:t>
            </w:r>
          </w:p>
        </w:tc>
        <w:tc>
          <w:tcPr>
            <w:tcW w:w="1332" w:type="dxa"/>
            <w:noWrap w:val="0"/>
            <w:vAlign w:val="bottom"/>
          </w:tcPr>
          <w:p>
            <w:pPr>
              <w:keepNext w:val="0"/>
              <w:keepLines w:val="0"/>
              <w:widowControl/>
              <w:suppressLineNumbers w:val="0"/>
              <w:jc w:val="center"/>
              <w:textAlignment w:val="bottom"/>
              <w:rPr>
                <w:rFonts w:hint="default" w:ascii="Times New Roman" w:hAnsi="Times New Roman" w:eastAsia="宋体" w:cs="Times New Roman"/>
                <w:color w:val="000000"/>
                <w:kern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0</w:t>
            </w:r>
          </w:p>
        </w:tc>
        <w:tc>
          <w:tcPr>
            <w:tcW w:w="1460" w:type="dxa"/>
            <w:noWrap w:val="0"/>
            <w:tcMar>
              <w:top w:w="0" w:type="dxa"/>
              <w:left w:w="108" w:type="dxa"/>
              <w:bottom w:w="0" w:type="dxa"/>
              <w:right w:w="108" w:type="dxa"/>
            </w:tcMar>
            <w:vAlign w:val="bottom"/>
          </w:tcPr>
          <w:p>
            <w:pPr>
              <w:keepNext w:val="0"/>
              <w:keepLines w:val="0"/>
              <w:widowControl/>
              <w:suppressLineNumbers w:val="0"/>
              <w:jc w:val="center"/>
              <w:textAlignment w:val="bottom"/>
              <w:rPr>
                <w:rFonts w:hint="default" w:ascii="Times New Roman" w:hAnsi="Times New Roman" w:eastAsia="宋体" w:cs="Times New Roman"/>
                <w:color w:val="000000"/>
                <w:kern w:val="0"/>
                <w:sz w:val="21"/>
                <w:szCs w:val="21"/>
                <w:lang w:eastAsia="zh-CN"/>
              </w:rPr>
            </w:pPr>
            <w:r>
              <w:rPr>
                <w:rFonts w:hint="default" w:ascii="Times New Roman" w:hAnsi="Times New Roman" w:eastAsia="宋体" w:cs="Times New Roman"/>
                <w:i w:val="0"/>
                <w:iCs w:val="0"/>
                <w:color w:val="000000"/>
                <w:kern w:val="0"/>
                <w:sz w:val="21"/>
                <w:szCs w:val="21"/>
                <w:u w:val="none"/>
                <w:lang w:val="en-US" w:eastAsia="zh-CN" w:bidi="ar"/>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exact"/>
          <w:jc w:val="center"/>
        </w:trPr>
        <w:tc>
          <w:tcPr>
            <w:tcW w:w="1240" w:type="pct"/>
            <w:vMerge w:val="restart"/>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rPr>
              <w:t>能源化学工程</w:t>
            </w:r>
          </w:p>
          <w:p>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rPr>
              <w:t>（本科）</w:t>
            </w:r>
          </w:p>
        </w:tc>
        <w:tc>
          <w:tcPr>
            <w:tcW w:w="714" w:type="pct"/>
            <w:vMerge w:val="restart"/>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000000"/>
                <w:kern w:val="0"/>
                <w:sz w:val="21"/>
                <w:szCs w:val="21"/>
                <w:lang w:val="en-US" w:eastAsia="zh-CN"/>
              </w:rPr>
            </w:pPr>
            <w:r>
              <w:rPr>
                <w:rFonts w:hint="eastAsia" w:ascii="Times New Roman" w:hAnsi="Times New Roman" w:cs="Times New Roman"/>
                <w:color w:val="000000"/>
                <w:kern w:val="0"/>
                <w:sz w:val="21"/>
                <w:szCs w:val="21"/>
                <w:lang w:val="en-US" w:eastAsia="zh-CN"/>
              </w:rPr>
              <w:t>37</w:t>
            </w:r>
          </w:p>
        </w:tc>
        <w:tc>
          <w:tcPr>
            <w:tcW w:w="1430" w:type="pct"/>
            <w:noWrap w:val="0"/>
            <w:vAlign w:val="center"/>
          </w:tcPr>
          <w:p>
            <w:pPr>
              <w:keepNext w:val="0"/>
              <w:keepLines w:val="0"/>
              <w:pageBreakBefore w:val="0"/>
              <w:widowControl/>
              <w:kinsoku/>
              <w:wordWrap/>
              <w:overflowPunct/>
              <w:topLinePunct w:val="0"/>
              <w:autoSpaceDE/>
              <w:autoSpaceDN/>
              <w:bidi w:val="0"/>
              <w:adjustRightInd/>
              <w:snapToGrid/>
              <w:spacing w:before="100" w:beforeAutospacing="1" w:after="100" w:afterAutospacing="1" w:line="240" w:lineRule="auto"/>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lang w:eastAsia="zh-CN"/>
              </w:rPr>
              <w:t>公务员、</w:t>
            </w:r>
            <w:r>
              <w:rPr>
                <w:rFonts w:hint="default" w:ascii="Times New Roman" w:hAnsi="Times New Roman" w:cs="Times New Roman"/>
                <w:color w:val="000000"/>
                <w:kern w:val="0"/>
                <w:sz w:val="21"/>
                <w:szCs w:val="21"/>
              </w:rPr>
              <w:t>事业单位</w:t>
            </w:r>
          </w:p>
        </w:tc>
        <w:tc>
          <w:tcPr>
            <w:tcW w:w="1332" w:type="dxa"/>
            <w:noWrap w:val="0"/>
            <w:vAlign w:val="bottom"/>
          </w:tcPr>
          <w:p>
            <w:pPr>
              <w:keepNext w:val="0"/>
              <w:keepLines w:val="0"/>
              <w:widowControl/>
              <w:suppressLineNumbers w:val="0"/>
              <w:jc w:val="center"/>
              <w:textAlignment w:val="bottom"/>
              <w:rPr>
                <w:rFonts w:hint="default" w:ascii="Times New Roman" w:hAnsi="Times New Roman" w:eastAsia="宋体" w:cs="Times New Roman"/>
                <w:color w:val="000000"/>
                <w:kern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1460" w:type="dxa"/>
            <w:noWrap w:val="0"/>
            <w:tcMar>
              <w:top w:w="0" w:type="dxa"/>
              <w:left w:w="108" w:type="dxa"/>
              <w:bottom w:w="0" w:type="dxa"/>
              <w:right w:w="108" w:type="dxa"/>
            </w:tcMar>
            <w:vAlign w:val="bottom"/>
          </w:tcPr>
          <w:p>
            <w:pPr>
              <w:keepNext w:val="0"/>
              <w:keepLines w:val="0"/>
              <w:widowControl/>
              <w:suppressLineNumbers w:val="0"/>
              <w:jc w:val="center"/>
              <w:textAlignment w:val="bottom"/>
              <w:rPr>
                <w:rFonts w:hint="default" w:ascii="Times New Roman" w:hAnsi="Times New Roman" w:eastAsia="宋体" w:cs="Times New Roman"/>
                <w:color w:val="000000"/>
                <w:kern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2.70%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exact"/>
          <w:jc w:val="center"/>
        </w:trPr>
        <w:tc>
          <w:tcPr>
            <w:tcW w:w="1240"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color w:val="000000"/>
                <w:kern w:val="0"/>
                <w:sz w:val="21"/>
                <w:szCs w:val="21"/>
              </w:rPr>
            </w:pPr>
          </w:p>
        </w:tc>
        <w:tc>
          <w:tcPr>
            <w:tcW w:w="714"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color w:val="000000"/>
                <w:kern w:val="0"/>
                <w:sz w:val="21"/>
                <w:szCs w:val="21"/>
              </w:rPr>
            </w:pPr>
          </w:p>
        </w:tc>
        <w:tc>
          <w:tcPr>
            <w:tcW w:w="1430" w:type="pct"/>
            <w:noWrap w:val="0"/>
            <w:vAlign w:val="center"/>
          </w:tcPr>
          <w:p>
            <w:pPr>
              <w:keepNext w:val="0"/>
              <w:keepLines w:val="0"/>
              <w:pageBreakBefore w:val="0"/>
              <w:widowControl/>
              <w:kinsoku/>
              <w:wordWrap/>
              <w:overflowPunct/>
              <w:topLinePunct w:val="0"/>
              <w:autoSpaceDE/>
              <w:autoSpaceDN/>
              <w:bidi w:val="0"/>
              <w:adjustRightInd/>
              <w:snapToGrid/>
              <w:spacing w:before="100" w:beforeAutospacing="1" w:after="100" w:afterAutospacing="1" w:line="240" w:lineRule="auto"/>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rPr>
              <w:t>国有企业</w:t>
            </w:r>
          </w:p>
        </w:tc>
        <w:tc>
          <w:tcPr>
            <w:tcW w:w="1332" w:type="dxa"/>
            <w:noWrap w:val="0"/>
            <w:vAlign w:val="bottom"/>
          </w:tcPr>
          <w:p>
            <w:pPr>
              <w:keepNext w:val="0"/>
              <w:keepLines w:val="0"/>
              <w:widowControl/>
              <w:suppressLineNumbers w:val="0"/>
              <w:jc w:val="center"/>
              <w:textAlignment w:val="bottom"/>
              <w:rPr>
                <w:rFonts w:hint="default" w:ascii="Times New Roman" w:hAnsi="Times New Roman" w:eastAsia="宋体" w:cs="Times New Roman"/>
                <w:color w:val="000000"/>
                <w:kern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1460" w:type="dxa"/>
            <w:noWrap w:val="0"/>
            <w:tcMar>
              <w:top w:w="0" w:type="dxa"/>
              <w:left w:w="108" w:type="dxa"/>
              <w:bottom w:w="0" w:type="dxa"/>
              <w:right w:w="108" w:type="dxa"/>
            </w:tcMar>
            <w:vAlign w:val="bottom"/>
          </w:tcPr>
          <w:p>
            <w:pPr>
              <w:keepNext w:val="0"/>
              <w:keepLines w:val="0"/>
              <w:widowControl/>
              <w:suppressLineNumbers w:val="0"/>
              <w:jc w:val="center"/>
              <w:textAlignment w:val="bottom"/>
              <w:rPr>
                <w:rFonts w:hint="default" w:ascii="Times New Roman" w:hAnsi="Times New Roman" w:cs="Times New Roman"/>
                <w:color w:val="000000"/>
                <w:kern w:val="0"/>
                <w:sz w:val="21"/>
                <w:szCs w:val="21"/>
              </w:rPr>
            </w:pPr>
            <w:r>
              <w:rPr>
                <w:rFonts w:hint="default" w:ascii="Times New Roman" w:hAnsi="Times New Roman" w:eastAsia="宋体" w:cs="Times New Roman"/>
                <w:i w:val="0"/>
                <w:iCs w:val="0"/>
                <w:color w:val="000000"/>
                <w:kern w:val="0"/>
                <w:sz w:val="21"/>
                <w:szCs w:val="21"/>
                <w:u w:val="none"/>
                <w:lang w:val="en-US" w:eastAsia="zh-CN" w:bidi="ar"/>
              </w:rPr>
              <w:t>2.70%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exact"/>
          <w:jc w:val="center"/>
        </w:trPr>
        <w:tc>
          <w:tcPr>
            <w:tcW w:w="1240"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color w:val="000000"/>
                <w:kern w:val="0"/>
                <w:sz w:val="21"/>
                <w:szCs w:val="21"/>
              </w:rPr>
            </w:pPr>
          </w:p>
        </w:tc>
        <w:tc>
          <w:tcPr>
            <w:tcW w:w="714"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color w:val="000000"/>
                <w:kern w:val="0"/>
                <w:sz w:val="21"/>
                <w:szCs w:val="21"/>
              </w:rPr>
            </w:pPr>
          </w:p>
        </w:tc>
        <w:tc>
          <w:tcPr>
            <w:tcW w:w="1430" w:type="pct"/>
            <w:noWrap w:val="0"/>
            <w:vAlign w:val="center"/>
          </w:tcPr>
          <w:p>
            <w:pPr>
              <w:keepNext w:val="0"/>
              <w:keepLines w:val="0"/>
              <w:pageBreakBefore w:val="0"/>
              <w:widowControl/>
              <w:kinsoku/>
              <w:wordWrap/>
              <w:overflowPunct/>
              <w:topLinePunct w:val="0"/>
              <w:autoSpaceDE/>
              <w:autoSpaceDN/>
              <w:bidi w:val="0"/>
              <w:adjustRightInd/>
              <w:snapToGrid/>
              <w:spacing w:before="100" w:beforeAutospacing="1" w:after="100" w:afterAutospacing="1" w:line="240" w:lineRule="auto"/>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rPr>
              <w:t>三资企业</w:t>
            </w:r>
          </w:p>
        </w:tc>
        <w:tc>
          <w:tcPr>
            <w:tcW w:w="1332" w:type="dxa"/>
            <w:noWrap w:val="0"/>
            <w:vAlign w:val="bottom"/>
          </w:tcPr>
          <w:p>
            <w:pPr>
              <w:keepNext w:val="0"/>
              <w:keepLines w:val="0"/>
              <w:widowControl/>
              <w:suppressLineNumbers w:val="0"/>
              <w:jc w:val="center"/>
              <w:textAlignment w:val="bottom"/>
              <w:rPr>
                <w:rFonts w:hint="default" w:ascii="Times New Roman" w:hAnsi="Times New Roman" w:eastAsia="宋体" w:cs="Times New Roman"/>
                <w:color w:val="000000"/>
                <w:kern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5</w:t>
            </w:r>
          </w:p>
        </w:tc>
        <w:tc>
          <w:tcPr>
            <w:tcW w:w="1460" w:type="dxa"/>
            <w:noWrap w:val="0"/>
            <w:tcMar>
              <w:top w:w="0" w:type="dxa"/>
              <w:left w:w="108" w:type="dxa"/>
              <w:bottom w:w="0" w:type="dxa"/>
              <w:right w:w="108" w:type="dxa"/>
            </w:tcMar>
            <w:vAlign w:val="bottom"/>
          </w:tcPr>
          <w:p>
            <w:pPr>
              <w:keepNext w:val="0"/>
              <w:keepLines w:val="0"/>
              <w:widowControl/>
              <w:suppressLineNumbers w:val="0"/>
              <w:jc w:val="center"/>
              <w:textAlignment w:val="bottom"/>
              <w:rPr>
                <w:rFonts w:hint="default" w:ascii="Times New Roman" w:hAnsi="Times New Roman" w:eastAsia="宋体" w:cs="Times New Roman"/>
                <w:color w:val="000000"/>
                <w:kern w:val="0"/>
                <w:sz w:val="21"/>
                <w:szCs w:val="21"/>
                <w:lang w:eastAsia="zh-CN"/>
              </w:rPr>
            </w:pPr>
            <w:r>
              <w:rPr>
                <w:rFonts w:hint="default" w:ascii="Times New Roman" w:hAnsi="Times New Roman" w:eastAsia="宋体" w:cs="Times New Roman"/>
                <w:i w:val="0"/>
                <w:iCs w:val="0"/>
                <w:color w:val="000000"/>
                <w:kern w:val="0"/>
                <w:sz w:val="21"/>
                <w:szCs w:val="21"/>
                <w:u w:val="none"/>
                <w:lang w:val="en-US" w:eastAsia="zh-CN" w:bidi="ar"/>
              </w:rPr>
              <w:t>13.51%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exact"/>
          <w:jc w:val="center"/>
        </w:trPr>
        <w:tc>
          <w:tcPr>
            <w:tcW w:w="1240"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color w:val="000000"/>
                <w:kern w:val="0"/>
                <w:sz w:val="21"/>
                <w:szCs w:val="21"/>
              </w:rPr>
            </w:pPr>
          </w:p>
        </w:tc>
        <w:tc>
          <w:tcPr>
            <w:tcW w:w="714"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color w:val="000000"/>
                <w:kern w:val="0"/>
                <w:sz w:val="21"/>
                <w:szCs w:val="21"/>
              </w:rPr>
            </w:pPr>
          </w:p>
        </w:tc>
        <w:tc>
          <w:tcPr>
            <w:tcW w:w="1430" w:type="pct"/>
            <w:noWrap w:val="0"/>
            <w:vAlign w:val="center"/>
          </w:tcPr>
          <w:p>
            <w:pPr>
              <w:keepNext w:val="0"/>
              <w:keepLines w:val="0"/>
              <w:pageBreakBefore w:val="0"/>
              <w:widowControl/>
              <w:kinsoku/>
              <w:wordWrap/>
              <w:overflowPunct/>
              <w:topLinePunct w:val="0"/>
              <w:autoSpaceDE/>
              <w:autoSpaceDN/>
              <w:bidi w:val="0"/>
              <w:adjustRightInd/>
              <w:snapToGrid/>
              <w:spacing w:before="100" w:beforeAutospacing="1" w:after="100" w:afterAutospacing="1" w:line="240" w:lineRule="auto"/>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rPr>
              <w:t>民营企业</w:t>
            </w:r>
          </w:p>
        </w:tc>
        <w:tc>
          <w:tcPr>
            <w:tcW w:w="1332" w:type="dxa"/>
            <w:noWrap w:val="0"/>
            <w:vAlign w:val="bottom"/>
          </w:tcPr>
          <w:p>
            <w:pPr>
              <w:keepNext w:val="0"/>
              <w:keepLines w:val="0"/>
              <w:widowControl/>
              <w:suppressLineNumbers w:val="0"/>
              <w:jc w:val="center"/>
              <w:textAlignment w:val="bottom"/>
              <w:rPr>
                <w:rFonts w:hint="default" w:ascii="Times New Roman" w:hAnsi="Times New Roman" w:eastAsia="宋体" w:cs="Times New Roman"/>
                <w:color w:val="000000"/>
                <w:kern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17</w:t>
            </w:r>
          </w:p>
        </w:tc>
        <w:tc>
          <w:tcPr>
            <w:tcW w:w="1460" w:type="dxa"/>
            <w:noWrap w:val="0"/>
            <w:tcMar>
              <w:top w:w="0" w:type="dxa"/>
              <w:left w:w="108" w:type="dxa"/>
              <w:bottom w:w="0" w:type="dxa"/>
              <w:right w:w="108" w:type="dxa"/>
            </w:tcMar>
            <w:vAlign w:val="bottom"/>
          </w:tcPr>
          <w:p>
            <w:pPr>
              <w:keepNext w:val="0"/>
              <w:keepLines w:val="0"/>
              <w:widowControl/>
              <w:suppressLineNumbers w:val="0"/>
              <w:jc w:val="center"/>
              <w:textAlignment w:val="bottom"/>
              <w:rPr>
                <w:rFonts w:hint="default" w:ascii="Times New Roman" w:hAnsi="Times New Roman" w:cs="Times New Roman"/>
                <w:color w:val="000000"/>
                <w:kern w:val="0"/>
                <w:sz w:val="21"/>
                <w:szCs w:val="21"/>
              </w:rPr>
            </w:pPr>
            <w:r>
              <w:rPr>
                <w:rFonts w:hint="default" w:ascii="Times New Roman" w:hAnsi="Times New Roman" w:eastAsia="宋体" w:cs="Times New Roman"/>
                <w:i w:val="0"/>
                <w:iCs w:val="0"/>
                <w:color w:val="000000"/>
                <w:kern w:val="0"/>
                <w:sz w:val="21"/>
                <w:szCs w:val="21"/>
                <w:u w:val="none"/>
                <w:lang w:val="en-US" w:eastAsia="zh-CN" w:bidi="ar"/>
              </w:rPr>
              <w:t>45.95%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exact"/>
          <w:jc w:val="center"/>
        </w:trPr>
        <w:tc>
          <w:tcPr>
            <w:tcW w:w="1240"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color w:val="000000"/>
                <w:kern w:val="0"/>
                <w:sz w:val="21"/>
                <w:szCs w:val="21"/>
              </w:rPr>
            </w:pPr>
          </w:p>
        </w:tc>
        <w:tc>
          <w:tcPr>
            <w:tcW w:w="714"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color w:val="000000"/>
                <w:kern w:val="0"/>
                <w:sz w:val="21"/>
                <w:szCs w:val="21"/>
              </w:rPr>
            </w:pPr>
          </w:p>
        </w:tc>
        <w:tc>
          <w:tcPr>
            <w:tcW w:w="1430" w:type="pct"/>
            <w:noWrap w:val="0"/>
            <w:vAlign w:val="center"/>
          </w:tcPr>
          <w:p>
            <w:pPr>
              <w:keepNext w:val="0"/>
              <w:keepLines w:val="0"/>
              <w:pageBreakBefore w:val="0"/>
              <w:widowControl/>
              <w:kinsoku/>
              <w:wordWrap/>
              <w:overflowPunct/>
              <w:topLinePunct w:val="0"/>
              <w:autoSpaceDE/>
              <w:autoSpaceDN/>
              <w:bidi w:val="0"/>
              <w:adjustRightInd/>
              <w:snapToGrid/>
              <w:spacing w:before="100" w:beforeAutospacing="1" w:after="100" w:afterAutospacing="1" w:line="240" w:lineRule="auto"/>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rPr>
              <w:t>其他（自主创业等）</w:t>
            </w:r>
          </w:p>
        </w:tc>
        <w:tc>
          <w:tcPr>
            <w:tcW w:w="1332" w:type="dxa"/>
            <w:noWrap w:val="0"/>
            <w:vAlign w:val="bottom"/>
          </w:tcPr>
          <w:p>
            <w:pPr>
              <w:keepNext w:val="0"/>
              <w:keepLines w:val="0"/>
              <w:widowControl/>
              <w:suppressLineNumbers w:val="0"/>
              <w:jc w:val="center"/>
              <w:textAlignment w:val="bottom"/>
              <w:rPr>
                <w:rFonts w:hint="default" w:ascii="Times New Roman" w:hAnsi="Times New Roman" w:eastAsia="宋体" w:cs="Times New Roman"/>
                <w:color w:val="000000"/>
                <w:kern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0</w:t>
            </w:r>
          </w:p>
        </w:tc>
        <w:tc>
          <w:tcPr>
            <w:tcW w:w="1460" w:type="dxa"/>
            <w:noWrap w:val="0"/>
            <w:tcMar>
              <w:top w:w="0" w:type="dxa"/>
              <w:left w:w="108" w:type="dxa"/>
              <w:bottom w:w="0" w:type="dxa"/>
              <w:right w:w="108" w:type="dxa"/>
            </w:tcMar>
            <w:vAlign w:val="bottom"/>
          </w:tcPr>
          <w:p>
            <w:pPr>
              <w:keepNext w:val="0"/>
              <w:keepLines w:val="0"/>
              <w:widowControl/>
              <w:suppressLineNumbers w:val="0"/>
              <w:jc w:val="center"/>
              <w:textAlignment w:val="bottom"/>
              <w:rPr>
                <w:rFonts w:hint="default" w:ascii="Times New Roman" w:hAnsi="Times New Roman" w:cs="Times New Roman"/>
                <w:color w:val="000000"/>
                <w:kern w:val="0"/>
                <w:sz w:val="21"/>
                <w:szCs w:val="21"/>
              </w:rPr>
            </w:pPr>
            <w:r>
              <w:rPr>
                <w:rFonts w:hint="default" w:ascii="Times New Roman" w:hAnsi="Times New Roman" w:eastAsia="宋体" w:cs="Times New Roman"/>
                <w:i w:val="0"/>
                <w:iCs w:val="0"/>
                <w:color w:val="000000"/>
                <w:kern w:val="0"/>
                <w:sz w:val="21"/>
                <w:szCs w:val="21"/>
                <w:u w:val="none"/>
                <w:lang w:val="en-US" w:eastAsia="zh-CN" w:bidi="ar"/>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exact"/>
          <w:jc w:val="center"/>
        </w:trPr>
        <w:tc>
          <w:tcPr>
            <w:tcW w:w="1240"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color w:val="000000"/>
                <w:kern w:val="0"/>
                <w:sz w:val="21"/>
                <w:szCs w:val="21"/>
              </w:rPr>
            </w:pPr>
          </w:p>
        </w:tc>
        <w:tc>
          <w:tcPr>
            <w:tcW w:w="714"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color w:val="000000"/>
                <w:kern w:val="0"/>
                <w:sz w:val="21"/>
                <w:szCs w:val="21"/>
              </w:rPr>
            </w:pPr>
          </w:p>
        </w:tc>
        <w:tc>
          <w:tcPr>
            <w:tcW w:w="1430" w:type="pct"/>
            <w:noWrap w:val="0"/>
            <w:vAlign w:val="center"/>
          </w:tcPr>
          <w:p>
            <w:pPr>
              <w:keepNext w:val="0"/>
              <w:keepLines w:val="0"/>
              <w:pageBreakBefore w:val="0"/>
              <w:widowControl/>
              <w:kinsoku/>
              <w:wordWrap/>
              <w:overflowPunct/>
              <w:topLinePunct w:val="0"/>
              <w:autoSpaceDE/>
              <w:autoSpaceDN/>
              <w:bidi w:val="0"/>
              <w:adjustRightInd/>
              <w:snapToGrid/>
              <w:spacing w:before="100" w:beforeAutospacing="1" w:after="100" w:afterAutospacing="1" w:line="240" w:lineRule="auto"/>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rPr>
              <w:t>考取硕士研究生</w:t>
            </w:r>
          </w:p>
        </w:tc>
        <w:tc>
          <w:tcPr>
            <w:tcW w:w="1332" w:type="dxa"/>
            <w:noWrap w:val="0"/>
            <w:vAlign w:val="bottom"/>
          </w:tcPr>
          <w:p>
            <w:pPr>
              <w:keepNext w:val="0"/>
              <w:keepLines w:val="0"/>
              <w:widowControl/>
              <w:suppressLineNumbers w:val="0"/>
              <w:jc w:val="center"/>
              <w:textAlignment w:val="bottom"/>
              <w:rPr>
                <w:rFonts w:hint="default" w:ascii="Times New Roman" w:hAnsi="Times New Roman" w:eastAsia="宋体" w:cs="Times New Roman"/>
                <w:color w:val="000000"/>
                <w:kern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11</w:t>
            </w:r>
          </w:p>
        </w:tc>
        <w:tc>
          <w:tcPr>
            <w:tcW w:w="1460" w:type="dxa"/>
            <w:noWrap w:val="0"/>
            <w:tcMar>
              <w:top w:w="0" w:type="dxa"/>
              <w:left w:w="108" w:type="dxa"/>
              <w:bottom w:w="0" w:type="dxa"/>
              <w:right w:w="108" w:type="dxa"/>
            </w:tcMar>
            <w:vAlign w:val="bottom"/>
          </w:tcPr>
          <w:p>
            <w:pPr>
              <w:keepNext w:val="0"/>
              <w:keepLines w:val="0"/>
              <w:widowControl/>
              <w:suppressLineNumbers w:val="0"/>
              <w:jc w:val="center"/>
              <w:textAlignment w:val="bottom"/>
              <w:rPr>
                <w:rFonts w:hint="default" w:ascii="Times New Roman" w:hAnsi="Times New Roman" w:cs="Times New Roman"/>
                <w:color w:val="000000"/>
                <w:kern w:val="0"/>
                <w:sz w:val="21"/>
                <w:szCs w:val="21"/>
              </w:rPr>
            </w:pPr>
            <w:r>
              <w:rPr>
                <w:rFonts w:hint="default" w:ascii="Times New Roman" w:hAnsi="Times New Roman" w:eastAsia="宋体" w:cs="Times New Roman"/>
                <w:i w:val="0"/>
                <w:iCs w:val="0"/>
                <w:color w:val="000000"/>
                <w:kern w:val="0"/>
                <w:sz w:val="21"/>
                <w:szCs w:val="21"/>
                <w:u w:val="none"/>
                <w:lang w:val="en-US" w:eastAsia="zh-CN" w:bidi="ar"/>
              </w:rPr>
              <w:t>29.73%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exact"/>
          <w:jc w:val="center"/>
        </w:trPr>
        <w:tc>
          <w:tcPr>
            <w:tcW w:w="1240"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color w:val="000000"/>
                <w:kern w:val="0"/>
                <w:sz w:val="21"/>
                <w:szCs w:val="21"/>
              </w:rPr>
            </w:pPr>
          </w:p>
        </w:tc>
        <w:tc>
          <w:tcPr>
            <w:tcW w:w="714"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color w:val="000000"/>
                <w:kern w:val="0"/>
                <w:sz w:val="21"/>
                <w:szCs w:val="21"/>
              </w:rPr>
            </w:pPr>
          </w:p>
        </w:tc>
        <w:tc>
          <w:tcPr>
            <w:tcW w:w="1430" w:type="pct"/>
            <w:noWrap w:val="0"/>
            <w:vAlign w:val="center"/>
          </w:tcPr>
          <w:p>
            <w:pPr>
              <w:keepNext w:val="0"/>
              <w:keepLines w:val="0"/>
              <w:pageBreakBefore w:val="0"/>
              <w:widowControl/>
              <w:kinsoku/>
              <w:wordWrap/>
              <w:overflowPunct/>
              <w:topLinePunct w:val="0"/>
              <w:autoSpaceDE/>
              <w:autoSpaceDN/>
              <w:bidi w:val="0"/>
              <w:adjustRightInd/>
              <w:snapToGrid/>
              <w:spacing w:before="100" w:beforeAutospacing="1" w:after="100" w:afterAutospacing="1" w:line="240" w:lineRule="auto"/>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rPr>
              <w:t>未就业</w:t>
            </w:r>
          </w:p>
        </w:tc>
        <w:tc>
          <w:tcPr>
            <w:tcW w:w="1332" w:type="dxa"/>
            <w:noWrap w:val="0"/>
            <w:vAlign w:val="bottom"/>
          </w:tcPr>
          <w:p>
            <w:pPr>
              <w:keepNext w:val="0"/>
              <w:keepLines w:val="0"/>
              <w:widowControl/>
              <w:suppressLineNumbers w:val="0"/>
              <w:jc w:val="center"/>
              <w:textAlignment w:val="bottom"/>
              <w:rPr>
                <w:rFonts w:hint="default" w:ascii="Times New Roman" w:hAnsi="Times New Roman" w:eastAsia="宋体" w:cs="Times New Roman"/>
                <w:color w:val="000000"/>
                <w:kern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2</w:t>
            </w:r>
          </w:p>
        </w:tc>
        <w:tc>
          <w:tcPr>
            <w:tcW w:w="1460" w:type="dxa"/>
            <w:noWrap w:val="0"/>
            <w:tcMar>
              <w:top w:w="0" w:type="dxa"/>
              <w:left w:w="108" w:type="dxa"/>
              <w:bottom w:w="0" w:type="dxa"/>
              <w:right w:w="108" w:type="dxa"/>
            </w:tcMar>
            <w:vAlign w:val="bottom"/>
          </w:tcPr>
          <w:p>
            <w:pPr>
              <w:keepNext w:val="0"/>
              <w:keepLines w:val="0"/>
              <w:widowControl/>
              <w:suppressLineNumbers w:val="0"/>
              <w:jc w:val="center"/>
              <w:textAlignment w:val="bottom"/>
              <w:rPr>
                <w:rFonts w:hint="default" w:ascii="Times New Roman" w:hAnsi="Times New Roman" w:eastAsia="宋体" w:cs="Times New Roman"/>
                <w:color w:val="000000"/>
                <w:kern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5.41%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exact"/>
          <w:jc w:val="center"/>
        </w:trPr>
        <w:tc>
          <w:tcPr>
            <w:tcW w:w="1240" w:type="pct"/>
            <w:vMerge w:val="restart"/>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rPr>
                <w:rFonts w:hint="eastAsia" w:ascii="Times New Roman" w:hAnsi="Times New Roman" w:cs="Times New Roman"/>
                <w:color w:val="000000"/>
                <w:kern w:val="0"/>
                <w:sz w:val="21"/>
                <w:szCs w:val="21"/>
                <w:lang w:val="en-US" w:eastAsia="zh-CN"/>
              </w:rPr>
            </w:pPr>
            <w:r>
              <w:rPr>
                <w:rFonts w:hint="eastAsia" w:ascii="Times New Roman" w:hAnsi="Times New Roman" w:cs="Times New Roman"/>
                <w:color w:val="000000"/>
                <w:kern w:val="0"/>
                <w:sz w:val="21"/>
                <w:szCs w:val="21"/>
                <w:lang w:val="en-US" w:eastAsia="zh-CN"/>
              </w:rPr>
              <w:t>材料科学与工程</w:t>
            </w:r>
          </w:p>
          <w:p>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color w:val="000000"/>
                <w:kern w:val="0"/>
                <w:sz w:val="21"/>
                <w:szCs w:val="21"/>
                <w:lang w:val="en-US" w:eastAsia="zh-CN"/>
              </w:rPr>
            </w:pPr>
            <w:r>
              <w:rPr>
                <w:rFonts w:hint="eastAsia" w:ascii="Times New Roman" w:hAnsi="Times New Roman" w:cs="Times New Roman"/>
                <w:color w:val="000000"/>
                <w:kern w:val="0"/>
                <w:sz w:val="21"/>
                <w:szCs w:val="21"/>
                <w:lang w:val="en-US" w:eastAsia="zh-CN"/>
              </w:rPr>
              <w:t>（研究生）</w:t>
            </w:r>
          </w:p>
        </w:tc>
        <w:tc>
          <w:tcPr>
            <w:tcW w:w="714" w:type="pct"/>
            <w:vMerge w:val="restart"/>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000000"/>
                <w:kern w:val="0"/>
                <w:sz w:val="21"/>
                <w:szCs w:val="21"/>
                <w:lang w:val="en-US" w:eastAsia="zh-CN"/>
              </w:rPr>
            </w:pPr>
            <w:r>
              <w:rPr>
                <w:rFonts w:hint="eastAsia" w:ascii="Times New Roman" w:hAnsi="Times New Roman" w:cs="Times New Roman"/>
                <w:color w:val="000000"/>
                <w:kern w:val="0"/>
                <w:sz w:val="21"/>
                <w:szCs w:val="21"/>
                <w:lang w:val="en-US" w:eastAsia="zh-CN"/>
              </w:rPr>
              <w:t>40</w:t>
            </w:r>
          </w:p>
        </w:tc>
        <w:tc>
          <w:tcPr>
            <w:tcW w:w="1430" w:type="pct"/>
            <w:noWrap w:val="0"/>
            <w:vAlign w:val="center"/>
          </w:tcPr>
          <w:p>
            <w:pPr>
              <w:keepNext w:val="0"/>
              <w:keepLines w:val="0"/>
              <w:pageBreakBefore w:val="0"/>
              <w:widowControl/>
              <w:kinsoku/>
              <w:wordWrap/>
              <w:overflowPunct/>
              <w:topLinePunct w:val="0"/>
              <w:autoSpaceDE/>
              <w:autoSpaceDN/>
              <w:bidi w:val="0"/>
              <w:adjustRightInd/>
              <w:snapToGrid/>
              <w:spacing w:before="100" w:beforeAutospacing="1" w:after="100" w:afterAutospacing="1" w:line="240" w:lineRule="auto"/>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lang w:eastAsia="zh-CN"/>
              </w:rPr>
              <w:t>公务员、</w:t>
            </w:r>
            <w:r>
              <w:rPr>
                <w:rFonts w:hint="default" w:ascii="Times New Roman" w:hAnsi="Times New Roman" w:cs="Times New Roman"/>
                <w:color w:val="000000"/>
                <w:kern w:val="0"/>
                <w:sz w:val="21"/>
                <w:szCs w:val="21"/>
              </w:rPr>
              <w:t>事业单位</w:t>
            </w:r>
          </w:p>
        </w:tc>
        <w:tc>
          <w:tcPr>
            <w:tcW w:w="1332" w:type="dxa"/>
            <w:noWrap w:val="0"/>
            <w:vAlign w:val="bottom"/>
          </w:tcPr>
          <w:p>
            <w:pPr>
              <w:keepNext w:val="0"/>
              <w:keepLines w:val="0"/>
              <w:widowControl/>
              <w:suppressLineNumbers w:val="0"/>
              <w:jc w:val="center"/>
              <w:textAlignment w:val="bottom"/>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w:t>
            </w:r>
          </w:p>
        </w:tc>
        <w:tc>
          <w:tcPr>
            <w:tcW w:w="1460" w:type="dxa"/>
            <w:noWrap w:val="0"/>
            <w:tcMar>
              <w:top w:w="0" w:type="dxa"/>
              <w:left w:w="108" w:type="dxa"/>
              <w:bottom w:w="0" w:type="dxa"/>
              <w:right w:w="108" w:type="dxa"/>
            </w:tcMar>
            <w:vAlign w:val="bottom"/>
          </w:tcPr>
          <w:p>
            <w:pPr>
              <w:keepNext w:val="0"/>
              <w:keepLines w:val="0"/>
              <w:widowControl/>
              <w:suppressLineNumbers w:val="0"/>
              <w:jc w:val="center"/>
              <w:textAlignment w:val="bottom"/>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10.81%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exact"/>
          <w:jc w:val="center"/>
        </w:trPr>
        <w:tc>
          <w:tcPr>
            <w:tcW w:w="1240"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color w:val="000000"/>
                <w:kern w:val="0"/>
                <w:sz w:val="21"/>
                <w:szCs w:val="21"/>
              </w:rPr>
            </w:pPr>
          </w:p>
        </w:tc>
        <w:tc>
          <w:tcPr>
            <w:tcW w:w="714"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color w:val="000000"/>
                <w:kern w:val="0"/>
                <w:sz w:val="21"/>
                <w:szCs w:val="21"/>
              </w:rPr>
            </w:pPr>
          </w:p>
        </w:tc>
        <w:tc>
          <w:tcPr>
            <w:tcW w:w="1430" w:type="pct"/>
            <w:noWrap w:val="0"/>
            <w:vAlign w:val="center"/>
          </w:tcPr>
          <w:p>
            <w:pPr>
              <w:keepNext w:val="0"/>
              <w:keepLines w:val="0"/>
              <w:pageBreakBefore w:val="0"/>
              <w:widowControl/>
              <w:kinsoku/>
              <w:wordWrap/>
              <w:overflowPunct/>
              <w:topLinePunct w:val="0"/>
              <w:autoSpaceDE/>
              <w:autoSpaceDN/>
              <w:bidi w:val="0"/>
              <w:adjustRightInd/>
              <w:snapToGrid/>
              <w:spacing w:before="100" w:beforeAutospacing="1" w:after="100" w:afterAutospacing="1" w:line="240" w:lineRule="auto"/>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rPr>
              <w:t>国有企业</w:t>
            </w:r>
          </w:p>
        </w:tc>
        <w:tc>
          <w:tcPr>
            <w:tcW w:w="1332" w:type="dxa"/>
            <w:noWrap w:val="0"/>
            <w:vAlign w:val="bottom"/>
          </w:tcPr>
          <w:p>
            <w:pPr>
              <w:keepNext w:val="0"/>
              <w:keepLines w:val="0"/>
              <w:widowControl/>
              <w:suppressLineNumbers w:val="0"/>
              <w:jc w:val="center"/>
              <w:textAlignment w:val="bottom"/>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w:t>
            </w:r>
          </w:p>
        </w:tc>
        <w:tc>
          <w:tcPr>
            <w:tcW w:w="1460" w:type="dxa"/>
            <w:noWrap w:val="0"/>
            <w:tcMar>
              <w:top w:w="0" w:type="dxa"/>
              <w:left w:w="108" w:type="dxa"/>
              <w:bottom w:w="0" w:type="dxa"/>
              <w:right w:w="108" w:type="dxa"/>
            </w:tcMar>
            <w:vAlign w:val="bottom"/>
          </w:tcPr>
          <w:p>
            <w:pPr>
              <w:keepNext w:val="0"/>
              <w:keepLines w:val="0"/>
              <w:widowControl/>
              <w:suppressLineNumbers w:val="0"/>
              <w:jc w:val="center"/>
              <w:textAlignment w:val="bottom"/>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13.51%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exact"/>
          <w:jc w:val="center"/>
        </w:trPr>
        <w:tc>
          <w:tcPr>
            <w:tcW w:w="1240"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color w:val="000000"/>
                <w:kern w:val="0"/>
                <w:sz w:val="21"/>
                <w:szCs w:val="21"/>
              </w:rPr>
            </w:pPr>
          </w:p>
        </w:tc>
        <w:tc>
          <w:tcPr>
            <w:tcW w:w="714"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color w:val="000000"/>
                <w:kern w:val="0"/>
                <w:sz w:val="21"/>
                <w:szCs w:val="21"/>
              </w:rPr>
            </w:pPr>
          </w:p>
        </w:tc>
        <w:tc>
          <w:tcPr>
            <w:tcW w:w="1430" w:type="pct"/>
            <w:noWrap w:val="0"/>
            <w:vAlign w:val="center"/>
          </w:tcPr>
          <w:p>
            <w:pPr>
              <w:keepNext w:val="0"/>
              <w:keepLines w:val="0"/>
              <w:pageBreakBefore w:val="0"/>
              <w:widowControl/>
              <w:kinsoku/>
              <w:wordWrap/>
              <w:overflowPunct/>
              <w:topLinePunct w:val="0"/>
              <w:autoSpaceDE/>
              <w:autoSpaceDN/>
              <w:bidi w:val="0"/>
              <w:adjustRightInd/>
              <w:snapToGrid/>
              <w:spacing w:before="100" w:beforeAutospacing="1" w:after="100" w:afterAutospacing="1" w:line="240" w:lineRule="auto"/>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rPr>
              <w:t>三资企业</w:t>
            </w:r>
          </w:p>
        </w:tc>
        <w:tc>
          <w:tcPr>
            <w:tcW w:w="1332" w:type="dxa"/>
            <w:noWrap w:val="0"/>
            <w:vAlign w:val="bottom"/>
          </w:tcPr>
          <w:p>
            <w:pPr>
              <w:keepNext w:val="0"/>
              <w:keepLines w:val="0"/>
              <w:widowControl/>
              <w:suppressLineNumbers w:val="0"/>
              <w:jc w:val="center"/>
              <w:textAlignment w:val="bottom"/>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7</w:t>
            </w:r>
          </w:p>
        </w:tc>
        <w:tc>
          <w:tcPr>
            <w:tcW w:w="1460" w:type="dxa"/>
            <w:noWrap w:val="0"/>
            <w:tcMar>
              <w:top w:w="0" w:type="dxa"/>
              <w:left w:w="108" w:type="dxa"/>
              <w:bottom w:w="0" w:type="dxa"/>
              <w:right w:w="108" w:type="dxa"/>
            </w:tcMar>
            <w:vAlign w:val="bottom"/>
          </w:tcPr>
          <w:p>
            <w:pPr>
              <w:keepNext w:val="0"/>
              <w:keepLines w:val="0"/>
              <w:widowControl/>
              <w:suppressLineNumbers w:val="0"/>
              <w:jc w:val="center"/>
              <w:textAlignment w:val="bottom"/>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18.92%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exact"/>
          <w:jc w:val="center"/>
        </w:trPr>
        <w:tc>
          <w:tcPr>
            <w:tcW w:w="1240"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color w:val="000000"/>
                <w:kern w:val="0"/>
                <w:sz w:val="21"/>
                <w:szCs w:val="21"/>
              </w:rPr>
            </w:pPr>
          </w:p>
        </w:tc>
        <w:tc>
          <w:tcPr>
            <w:tcW w:w="714"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color w:val="000000"/>
                <w:kern w:val="0"/>
                <w:sz w:val="21"/>
                <w:szCs w:val="21"/>
              </w:rPr>
            </w:pPr>
          </w:p>
        </w:tc>
        <w:tc>
          <w:tcPr>
            <w:tcW w:w="1430" w:type="pct"/>
            <w:noWrap w:val="0"/>
            <w:vAlign w:val="center"/>
          </w:tcPr>
          <w:p>
            <w:pPr>
              <w:keepNext w:val="0"/>
              <w:keepLines w:val="0"/>
              <w:pageBreakBefore w:val="0"/>
              <w:widowControl/>
              <w:kinsoku/>
              <w:wordWrap/>
              <w:overflowPunct/>
              <w:topLinePunct w:val="0"/>
              <w:autoSpaceDE/>
              <w:autoSpaceDN/>
              <w:bidi w:val="0"/>
              <w:adjustRightInd/>
              <w:snapToGrid/>
              <w:spacing w:before="100" w:beforeAutospacing="1" w:after="100" w:afterAutospacing="1" w:line="240" w:lineRule="auto"/>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rPr>
              <w:t>民营企业</w:t>
            </w:r>
          </w:p>
        </w:tc>
        <w:tc>
          <w:tcPr>
            <w:tcW w:w="1332" w:type="dxa"/>
            <w:noWrap w:val="0"/>
            <w:vAlign w:val="bottom"/>
          </w:tcPr>
          <w:p>
            <w:pPr>
              <w:keepNext w:val="0"/>
              <w:keepLines w:val="0"/>
              <w:widowControl/>
              <w:suppressLineNumbers w:val="0"/>
              <w:jc w:val="center"/>
              <w:textAlignment w:val="bottom"/>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23</w:t>
            </w:r>
          </w:p>
        </w:tc>
        <w:tc>
          <w:tcPr>
            <w:tcW w:w="1460" w:type="dxa"/>
            <w:noWrap w:val="0"/>
            <w:tcMar>
              <w:top w:w="0" w:type="dxa"/>
              <w:left w:w="108" w:type="dxa"/>
              <w:bottom w:w="0" w:type="dxa"/>
              <w:right w:w="108" w:type="dxa"/>
            </w:tcMar>
            <w:vAlign w:val="bottom"/>
          </w:tcPr>
          <w:p>
            <w:pPr>
              <w:keepNext w:val="0"/>
              <w:keepLines w:val="0"/>
              <w:widowControl/>
              <w:suppressLineNumbers w:val="0"/>
              <w:jc w:val="center"/>
              <w:textAlignment w:val="bottom"/>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62.16%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exact"/>
          <w:jc w:val="center"/>
        </w:trPr>
        <w:tc>
          <w:tcPr>
            <w:tcW w:w="1240"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color w:val="000000"/>
                <w:kern w:val="0"/>
                <w:sz w:val="21"/>
                <w:szCs w:val="21"/>
              </w:rPr>
            </w:pPr>
          </w:p>
        </w:tc>
        <w:tc>
          <w:tcPr>
            <w:tcW w:w="714"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color w:val="000000"/>
                <w:kern w:val="0"/>
                <w:sz w:val="21"/>
                <w:szCs w:val="21"/>
              </w:rPr>
            </w:pPr>
          </w:p>
        </w:tc>
        <w:tc>
          <w:tcPr>
            <w:tcW w:w="1430" w:type="pct"/>
            <w:noWrap w:val="0"/>
            <w:vAlign w:val="center"/>
          </w:tcPr>
          <w:p>
            <w:pPr>
              <w:keepNext w:val="0"/>
              <w:keepLines w:val="0"/>
              <w:pageBreakBefore w:val="0"/>
              <w:widowControl/>
              <w:kinsoku/>
              <w:wordWrap/>
              <w:overflowPunct/>
              <w:topLinePunct w:val="0"/>
              <w:autoSpaceDE/>
              <w:autoSpaceDN/>
              <w:bidi w:val="0"/>
              <w:adjustRightInd/>
              <w:snapToGrid/>
              <w:spacing w:before="100" w:beforeAutospacing="1" w:after="100" w:afterAutospacing="1" w:line="240" w:lineRule="auto"/>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rPr>
              <w:t>其他（自主创业等）</w:t>
            </w:r>
          </w:p>
        </w:tc>
        <w:tc>
          <w:tcPr>
            <w:tcW w:w="1332" w:type="dxa"/>
            <w:noWrap w:val="0"/>
            <w:vAlign w:val="bottom"/>
          </w:tcPr>
          <w:p>
            <w:pPr>
              <w:keepNext w:val="0"/>
              <w:keepLines w:val="0"/>
              <w:widowControl/>
              <w:suppressLineNumbers w:val="0"/>
              <w:jc w:val="center"/>
              <w:textAlignment w:val="bottom"/>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1460" w:type="dxa"/>
            <w:noWrap w:val="0"/>
            <w:tcMar>
              <w:top w:w="0" w:type="dxa"/>
              <w:left w:w="108" w:type="dxa"/>
              <w:bottom w:w="0" w:type="dxa"/>
              <w:right w:w="108" w:type="dxa"/>
            </w:tcMar>
            <w:vAlign w:val="bottom"/>
          </w:tcPr>
          <w:p>
            <w:pPr>
              <w:keepNext w:val="0"/>
              <w:keepLines w:val="0"/>
              <w:widowControl/>
              <w:suppressLineNumbers w:val="0"/>
              <w:jc w:val="center"/>
              <w:textAlignment w:val="bottom"/>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exact"/>
          <w:jc w:val="center"/>
        </w:trPr>
        <w:tc>
          <w:tcPr>
            <w:tcW w:w="1240"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color w:val="000000"/>
                <w:kern w:val="0"/>
                <w:sz w:val="21"/>
                <w:szCs w:val="21"/>
              </w:rPr>
            </w:pPr>
          </w:p>
        </w:tc>
        <w:tc>
          <w:tcPr>
            <w:tcW w:w="714"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color w:val="000000"/>
                <w:kern w:val="0"/>
                <w:sz w:val="21"/>
                <w:szCs w:val="21"/>
              </w:rPr>
            </w:pPr>
          </w:p>
        </w:tc>
        <w:tc>
          <w:tcPr>
            <w:tcW w:w="1430" w:type="pct"/>
            <w:noWrap w:val="0"/>
            <w:vAlign w:val="center"/>
          </w:tcPr>
          <w:p>
            <w:pPr>
              <w:keepNext w:val="0"/>
              <w:keepLines w:val="0"/>
              <w:pageBreakBefore w:val="0"/>
              <w:widowControl/>
              <w:kinsoku/>
              <w:wordWrap/>
              <w:overflowPunct/>
              <w:topLinePunct w:val="0"/>
              <w:autoSpaceDE/>
              <w:autoSpaceDN/>
              <w:bidi w:val="0"/>
              <w:adjustRightInd/>
              <w:snapToGrid/>
              <w:spacing w:before="100" w:beforeAutospacing="1" w:after="100" w:afterAutospacing="1" w:line="240" w:lineRule="auto"/>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rPr>
              <w:t>未就业</w:t>
            </w:r>
          </w:p>
        </w:tc>
        <w:tc>
          <w:tcPr>
            <w:tcW w:w="770" w:type="pct"/>
            <w:noWrap w:val="0"/>
            <w:vAlign w:val="bottom"/>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bottom"/>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0</w:t>
            </w:r>
          </w:p>
        </w:tc>
        <w:tc>
          <w:tcPr>
            <w:tcW w:w="844" w:type="pct"/>
            <w:noWrap w:val="0"/>
            <w:tcMar>
              <w:top w:w="0" w:type="dxa"/>
              <w:left w:w="108" w:type="dxa"/>
              <w:bottom w:w="0" w:type="dxa"/>
              <w:right w:w="108" w:type="dxa"/>
            </w:tcMar>
            <w:vAlign w:val="bottom"/>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bottom"/>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0.00%</w:t>
            </w:r>
          </w:p>
        </w:tc>
      </w:tr>
    </w:tbl>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val="0"/>
          <w:bCs w:val="0"/>
          <w:color w:val="000000"/>
          <w:sz w:val="24"/>
          <w:lang w:val="en-US" w:eastAsia="zh-CN"/>
        </w:rPr>
      </w:pPr>
      <w:r>
        <w:rPr>
          <w:rFonts w:hint="eastAsia" w:ascii="宋体" w:hAnsi="宋体" w:eastAsia="宋体" w:cs="宋体"/>
          <w:b w:val="0"/>
          <w:bCs w:val="0"/>
          <w:color w:val="000000"/>
          <w:sz w:val="24"/>
          <w:lang w:val="en-US" w:eastAsia="zh-CN"/>
        </w:rPr>
        <w:t>我院2022届毕业生的就业去向有如下特点：</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val="0"/>
          <w:bCs w:val="0"/>
          <w:color w:val="000000"/>
          <w:sz w:val="24"/>
          <w:lang w:val="en-US" w:eastAsia="zh-CN"/>
        </w:rPr>
      </w:pPr>
      <w:r>
        <w:rPr>
          <w:rFonts w:hint="eastAsia" w:ascii="宋体" w:hAnsi="宋体" w:eastAsia="宋体" w:cs="宋体"/>
          <w:b w:val="0"/>
          <w:bCs w:val="0"/>
          <w:color w:val="000000"/>
          <w:sz w:val="24"/>
          <w:lang w:val="en-US" w:eastAsia="zh-CN"/>
        </w:rPr>
        <w:t>（1）本届毕业生中考取硕士研究生的比例与去年相比略有上升，其中粉体专业考研率达到50%，创历届新高。</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val="0"/>
          <w:bCs w:val="0"/>
          <w:color w:val="000000"/>
          <w:sz w:val="24"/>
          <w:lang w:val="en-US" w:eastAsia="zh-CN"/>
        </w:rPr>
      </w:pPr>
      <w:r>
        <w:rPr>
          <w:rFonts w:hint="eastAsia" w:ascii="宋体" w:hAnsi="宋体" w:eastAsia="宋体" w:cs="宋体"/>
          <w:b w:val="0"/>
          <w:bCs w:val="0"/>
          <w:color w:val="000000"/>
          <w:sz w:val="24"/>
          <w:lang w:val="en-US" w:eastAsia="zh-CN"/>
        </w:rPr>
        <w:t>（2）有不到10%的毕业生在国有企业中任职，主要单位有安徽省海螺水泥、中铁四局、中铁二十四局、中国石化、中国石油等。近几年由于新材料行业和新能源行业的快速发展，材料就业形势较好，一些老牌国企失去了竞争力。</w:t>
      </w:r>
    </w:p>
    <w:p>
      <w:pPr>
        <w:spacing w:line="360" w:lineRule="auto"/>
        <w:ind w:firstLine="241" w:firstLineChars="100"/>
        <w:rPr>
          <w:rFonts w:hint="default" w:ascii="Times New Roman" w:hAnsi="Times New Roman" w:eastAsia="宋体" w:cs="Times New Roman"/>
          <w:b/>
          <w:bCs/>
          <w:color w:val="000000"/>
          <w:sz w:val="24"/>
          <w:lang w:val="en-US" w:eastAsia="zh-CN"/>
        </w:rPr>
      </w:pPr>
      <w:r>
        <w:rPr>
          <w:rFonts w:hint="eastAsia" w:ascii="Times New Roman" w:hAnsi="Times New Roman" w:eastAsia="宋体" w:cs="Times New Roman"/>
          <w:b/>
          <w:bCs/>
          <w:color w:val="000000"/>
          <w:sz w:val="24"/>
          <w:lang w:val="en-US" w:eastAsia="zh-CN"/>
        </w:rPr>
        <w:t>2.2 2022届毕业生升学情况分析</w:t>
      </w:r>
    </w:p>
    <w:p>
      <w:pPr>
        <w:spacing w:line="360" w:lineRule="auto"/>
        <w:jc w:val="center"/>
        <w:rPr>
          <w:rFonts w:hint="eastAsia" w:ascii="Times New Roman" w:hAnsi="Times New Roman" w:eastAsia="宋体" w:cs="Times New Roman"/>
          <w:color w:val="000000"/>
          <w:sz w:val="24"/>
          <w:lang w:eastAsia="zh-CN"/>
        </w:rPr>
      </w:pPr>
      <w:r>
        <w:drawing>
          <wp:inline distT="0" distB="0" distL="114300" distR="114300">
            <wp:extent cx="4368165" cy="2387600"/>
            <wp:effectExtent l="0" t="0" r="635" b="0"/>
            <wp:docPr id="10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22"/>
                    <pic:cNvPicPr>
                      <a:picLocks noChangeAspect="1"/>
                    </pic:cNvPicPr>
                  </pic:nvPicPr>
                  <pic:blipFill>
                    <a:blip r:embed="rId40"/>
                    <a:srcRect l="8501" t="7596" r="8670" b="5064"/>
                    <a:stretch>
                      <a:fillRect/>
                    </a:stretch>
                  </pic:blipFill>
                  <pic:spPr>
                    <a:xfrm>
                      <a:off x="0" y="0"/>
                      <a:ext cx="4368165" cy="2387600"/>
                    </a:xfrm>
                    <a:prstGeom prst="rect">
                      <a:avLst/>
                    </a:prstGeom>
                    <a:noFill/>
                    <a:ln>
                      <a:noFill/>
                    </a:ln>
                  </pic:spPr>
                </pic:pic>
              </a:graphicData>
            </a:graphic>
          </wp:inline>
        </w:drawing>
      </w:r>
    </w:p>
    <w:p>
      <w:pPr>
        <w:spacing w:line="360" w:lineRule="auto"/>
        <w:jc w:val="center"/>
        <w:rPr>
          <w:rFonts w:hint="default" w:ascii="Times New Roman" w:hAnsi="Times New Roman" w:eastAsia="宋体" w:cs="Times New Roman"/>
          <w:color w:val="000000"/>
          <w:sz w:val="24"/>
          <w:lang w:val="en-US" w:eastAsia="zh-CN"/>
        </w:rPr>
      </w:pPr>
      <w:r>
        <w:rPr>
          <w:rFonts w:hint="eastAsia" w:ascii="Times New Roman" w:hAnsi="Times New Roman" w:cs="Times New Roman"/>
          <w:color w:val="000000"/>
          <w:sz w:val="21"/>
          <w:szCs w:val="21"/>
          <w:lang w:val="en-US" w:eastAsia="zh-CN"/>
        </w:rPr>
        <w:t>图2-1 材化学院各专业2018-2022届升学率</w:t>
      </w:r>
    </w:p>
    <w:p>
      <w:pPr>
        <w:spacing w:line="360" w:lineRule="auto"/>
        <w:ind w:firstLine="480" w:firstLineChars="200"/>
        <w:rPr>
          <w:rFonts w:hint="eastAsia" w:ascii="Times New Roman" w:hAnsi="Times New Roman" w:cs="Times New Roman"/>
          <w:color w:val="000000"/>
          <w:sz w:val="24"/>
          <w:lang w:val="en-US" w:eastAsia="zh-CN"/>
        </w:rPr>
      </w:pPr>
      <w:r>
        <w:rPr>
          <w:rFonts w:hint="eastAsia" w:ascii="Times New Roman" w:hAnsi="Times New Roman" w:cs="Times New Roman"/>
          <w:color w:val="000000"/>
          <w:sz w:val="24"/>
          <w:lang w:val="en-US" w:eastAsia="zh-CN"/>
        </w:rPr>
        <w:t>由图2-1可知2022届毕业生升学率30.5%，是近5年最高的一年。分专业来看，2022年粉体专业升学率最高、无机非专业最低。横向比较分析化工专业历年升学率整体持平、变化不大，分析原因可能是因为化工专业师资结构稳定，专业成熟度高，学生状态波动较小；无机非专业升学率近两年相对持平，较以前有所提升，但是与其他三个专业仍有一定差距，分析原因，无机非专业就业市场持续走俏，工资水平不断提高，学生供不应求，学生考研的内在动力不足，同时由于近几年无机非专业女生数量相对较多，更倾向于读研，故升学率有所提高；粉体专业的升学率和无机非专业类似，原因也大致相同；能源专业升学率近5年稳中有近，这是因为一方面近几年能源专业师资力量持续增强，对学生的管理和指导更为深入和全面，另一方面，能源专业在2018年开展了专项学风整治活动，学风建设得到进一步加强，在整体毕业生质量和就业率上均有体现。</w:t>
      </w:r>
    </w:p>
    <w:p>
      <w:pPr>
        <w:spacing w:line="360" w:lineRule="auto"/>
        <w:ind w:firstLine="482" w:firstLineChars="200"/>
        <w:rPr>
          <w:rFonts w:hint="eastAsia" w:ascii="Times New Roman" w:hAnsi="Times New Roman" w:eastAsia="宋体" w:cs="Times New Roman"/>
          <w:b/>
          <w:bCs/>
          <w:color w:val="000000"/>
          <w:sz w:val="24"/>
          <w:lang w:val="en-US" w:eastAsia="zh-CN"/>
        </w:rPr>
      </w:pPr>
      <w:r>
        <w:rPr>
          <w:rFonts w:hint="eastAsia" w:ascii="Times New Roman" w:hAnsi="Times New Roman" w:eastAsia="宋体" w:cs="Times New Roman"/>
          <w:b/>
          <w:bCs/>
          <w:color w:val="000000"/>
          <w:sz w:val="24"/>
          <w:lang w:val="en-US" w:eastAsia="zh-CN"/>
        </w:rPr>
        <w:t>2.3 2022届毕业生就业结构</w:t>
      </w:r>
    </w:p>
    <w:p>
      <w:pPr>
        <w:spacing w:line="360" w:lineRule="auto"/>
        <w:rPr>
          <w:rFonts w:hint="default" w:ascii="Times New Roman" w:hAnsi="Times New Roman" w:eastAsia="宋体" w:cs="Times New Roman"/>
          <w:b/>
          <w:bCs/>
          <w:color w:val="000000"/>
          <w:sz w:val="24"/>
          <w:lang w:val="en-US" w:eastAsia="zh-CN"/>
        </w:rPr>
      </w:pPr>
      <w:r>
        <w:drawing>
          <wp:inline distT="0" distB="0" distL="114300" distR="114300">
            <wp:extent cx="5093335" cy="1226820"/>
            <wp:effectExtent l="0" t="0" r="12065" b="5080"/>
            <wp:docPr id="10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23"/>
                    <pic:cNvPicPr>
                      <a:picLocks noChangeAspect="1"/>
                    </pic:cNvPicPr>
                  </pic:nvPicPr>
                  <pic:blipFill>
                    <a:blip r:embed="rId41"/>
                    <a:srcRect l="1312" t="9399" r="2107" b="4544"/>
                    <a:stretch>
                      <a:fillRect/>
                    </a:stretch>
                  </pic:blipFill>
                  <pic:spPr>
                    <a:xfrm>
                      <a:off x="0" y="0"/>
                      <a:ext cx="5093335" cy="1226820"/>
                    </a:xfrm>
                    <a:prstGeom prst="rect">
                      <a:avLst/>
                    </a:prstGeom>
                    <a:noFill/>
                    <a:ln>
                      <a:noFill/>
                    </a:ln>
                  </pic:spPr>
                </pic:pic>
              </a:graphicData>
            </a:graphic>
          </wp:inline>
        </w:drawing>
      </w:r>
    </w:p>
    <w:p>
      <w:pPr>
        <w:spacing w:line="360" w:lineRule="auto"/>
        <w:jc w:val="center"/>
        <w:rPr>
          <w:rFonts w:hint="default" w:ascii="Times New Roman" w:hAnsi="Times New Roman" w:eastAsia="宋体" w:cs="Times New Roman"/>
          <w:b w:val="0"/>
          <w:bCs w:val="0"/>
          <w:color w:val="000000"/>
          <w:sz w:val="21"/>
          <w:szCs w:val="21"/>
          <w:lang w:val="en-US" w:eastAsia="zh-CN"/>
        </w:rPr>
      </w:pPr>
      <w:r>
        <w:rPr>
          <w:rFonts w:hint="eastAsia" w:ascii="Times New Roman" w:hAnsi="Times New Roman" w:eastAsia="宋体" w:cs="Times New Roman"/>
          <w:b w:val="0"/>
          <w:bCs w:val="0"/>
          <w:color w:val="000000"/>
          <w:sz w:val="21"/>
          <w:szCs w:val="21"/>
          <w:lang w:val="en-US" w:eastAsia="zh-CN"/>
        </w:rPr>
        <w:t>图2-2 材化学院2022届毕业生就业结构</w:t>
      </w:r>
    </w:p>
    <w:p>
      <w:pPr>
        <w:spacing w:line="360" w:lineRule="auto"/>
        <w:ind w:firstLine="480" w:firstLineChars="200"/>
        <w:rPr>
          <w:rFonts w:hint="default" w:ascii="Times New Roman" w:hAnsi="Times New Roman" w:eastAsia="宋体" w:cs="Times New Roman"/>
          <w:color w:val="000000"/>
          <w:sz w:val="24"/>
          <w:lang w:val="en-US" w:eastAsia="zh-CN"/>
        </w:rPr>
      </w:pPr>
      <w:r>
        <w:rPr>
          <w:rFonts w:hint="eastAsia" w:ascii="Times New Roman" w:hAnsi="Times New Roman" w:eastAsia="宋体" w:cs="Times New Roman"/>
          <w:color w:val="000000"/>
          <w:sz w:val="24"/>
          <w:lang w:val="en-US" w:eastAsia="zh-CN"/>
        </w:rPr>
        <w:t>由图2-2可知，民营企业仍是我院各专业就业的主渠道，其次是三资企业，国有企业和自主创业占比较少。随着环境保护和治理的力度不断加大，新能源和材料行业的薪资水平和成长空间不断提高，以半导体行业为代表的材料行业对化工和材料类学生招聘规模不断扩大，这在一定程度上吸引了我们的学生去就业。</w:t>
      </w:r>
    </w:p>
    <w:p>
      <w:pPr>
        <w:spacing w:line="360" w:lineRule="auto"/>
        <w:ind w:firstLine="482" w:firstLineChars="200"/>
        <w:jc w:val="both"/>
        <w:rPr>
          <w:rFonts w:hint="default" w:ascii="Times New Roman" w:hAnsi="Times New Roman" w:cs="Times New Roman"/>
          <w:b/>
          <w:color w:val="000000"/>
          <w:sz w:val="24"/>
        </w:rPr>
      </w:pPr>
      <w:r>
        <w:rPr>
          <w:rFonts w:hint="eastAsia" w:ascii="Times New Roman" w:hAnsi="Times New Roman" w:cs="Times New Roman"/>
          <w:b/>
          <w:color w:val="000000"/>
          <w:sz w:val="24"/>
          <w:lang w:val="en-US" w:eastAsia="zh-CN"/>
        </w:rPr>
        <w:t xml:space="preserve">2.4 </w:t>
      </w:r>
      <w:r>
        <w:rPr>
          <w:rFonts w:hint="default" w:ascii="Times New Roman" w:hAnsi="Times New Roman" w:cs="Times New Roman"/>
          <w:b/>
          <w:color w:val="000000"/>
          <w:sz w:val="24"/>
          <w:lang w:eastAsia="zh-CN"/>
        </w:rPr>
        <w:t>20</w:t>
      </w:r>
      <w:r>
        <w:rPr>
          <w:rFonts w:hint="eastAsia" w:ascii="Times New Roman" w:hAnsi="Times New Roman" w:cs="Times New Roman"/>
          <w:b/>
          <w:color w:val="000000"/>
          <w:sz w:val="24"/>
          <w:lang w:val="en-US" w:eastAsia="zh-CN"/>
        </w:rPr>
        <w:t>21</w:t>
      </w:r>
      <w:r>
        <w:rPr>
          <w:rFonts w:hint="default" w:ascii="Times New Roman" w:hAnsi="Times New Roman" w:cs="Times New Roman"/>
          <w:b/>
          <w:color w:val="000000"/>
          <w:sz w:val="24"/>
        </w:rPr>
        <w:t>届毕业生就业区域分析</w:t>
      </w:r>
    </w:p>
    <w:p>
      <w:pPr>
        <w:spacing w:line="360" w:lineRule="auto"/>
        <w:jc w:val="center"/>
        <w:rPr>
          <w:rFonts w:hint="eastAsia" w:ascii="Times New Roman" w:hAnsi="Times New Roman" w:eastAsia="宋体" w:cs="Times New Roman"/>
          <w:b/>
          <w:color w:val="000000"/>
          <w:sz w:val="24"/>
          <w:lang w:eastAsia="zh-CN"/>
        </w:rPr>
      </w:pPr>
      <w:r>
        <w:drawing>
          <wp:inline distT="0" distB="0" distL="114300" distR="114300">
            <wp:extent cx="3902710" cy="2544445"/>
            <wp:effectExtent l="0" t="0" r="8890" b="8255"/>
            <wp:docPr id="101"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24"/>
                    <pic:cNvPicPr>
                      <a:picLocks noChangeAspect="1"/>
                    </pic:cNvPicPr>
                  </pic:nvPicPr>
                  <pic:blipFill>
                    <a:blip r:embed="rId42"/>
                    <a:srcRect l="17711" t="13193" r="8241" b="4205"/>
                    <a:stretch>
                      <a:fillRect/>
                    </a:stretch>
                  </pic:blipFill>
                  <pic:spPr>
                    <a:xfrm>
                      <a:off x="0" y="0"/>
                      <a:ext cx="3902710" cy="2544445"/>
                    </a:xfrm>
                    <a:prstGeom prst="rect">
                      <a:avLst/>
                    </a:prstGeom>
                    <a:noFill/>
                    <a:ln>
                      <a:noFill/>
                    </a:ln>
                  </pic:spPr>
                </pic:pic>
              </a:graphicData>
            </a:graphic>
          </wp:inline>
        </w:drawing>
      </w:r>
    </w:p>
    <w:p>
      <w:pPr>
        <w:spacing w:line="360" w:lineRule="auto"/>
        <w:jc w:val="center"/>
        <w:rPr>
          <w:rFonts w:hint="eastAsia" w:eastAsia="宋体"/>
          <w:lang w:eastAsia="zh-CN"/>
        </w:rPr>
      </w:pPr>
      <w:r>
        <w:rPr>
          <w:rFonts w:hint="eastAsia" w:ascii="Times New Roman" w:hAnsi="Times New Roman" w:eastAsia="宋体" w:cs="Times New Roman"/>
          <w:b w:val="0"/>
          <w:bCs w:val="0"/>
          <w:color w:val="000000"/>
          <w:sz w:val="21"/>
          <w:szCs w:val="21"/>
          <w:lang w:val="en-US" w:eastAsia="zh-CN"/>
        </w:rPr>
        <w:t>图2-3 材化学院2022届毕业生就业区域分布雷达图</w:t>
      </w:r>
    </w:p>
    <w:p>
      <w:pPr>
        <w:spacing w:line="360" w:lineRule="auto"/>
        <w:ind w:firstLine="480" w:firstLineChars="200"/>
        <w:rPr>
          <w:rFonts w:hint="default" w:ascii="Times New Roman" w:hAnsi="Times New Roman" w:cs="Times New Roman"/>
          <w:sz w:val="24"/>
          <w:lang w:val="en-US"/>
        </w:rPr>
      </w:pPr>
      <w:r>
        <w:rPr>
          <w:rFonts w:hint="eastAsia" w:ascii="Times New Roman" w:hAnsi="Times New Roman" w:cs="Times New Roman"/>
          <w:color w:val="000000"/>
          <w:sz w:val="24"/>
          <w:lang w:eastAsia="zh-CN"/>
        </w:rPr>
        <w:t>由图</w:t>
      </w:r>
      <w:r>
        <w:rPr>
          <w:rFonts w:hint="eastAsia" w:ascii="Times New Roman" w:hAnsi="Times New Roman" w:cs="Times New Roman"/>
          <w:color w:val="000000"/>
          <w:sz w:val="24"/>
          <w:lang w:val="en-US" w:eastAsia="zh-CN"/>
        </w:rPr>
        <w:t>2-3</w:t>
      </w:r>
      <w:r>
        <w:rPr>
          <w:rFonts w:hint="default" w:ascii="Times New Roman" w:hAnsi="Times New Roman" w:cs="Times New Roman"/>
          <w:color w:val="000000"/>
          <w:sz w:val="24"/>
        </w:rPr>
        <w:t>可以看出，我</w:t>
      </w:r>
      <w:r>
        <w:rPr>
          <w:rFonts w:hint="default" w:ascii="Times New Roman" w:hAnsi="Times New Roman" w:cs="Times New Roman"/>
          <w:color w:val="000000"/>
          <w:sz w:val="24"/>
          <w:lang w:eastAsia="zh-CN"/>
        </w:rPr>
        <w:t>院</w:t>
      </w:r>
      <w:r>
        <w:rPr>
          <w:rFonts w:hint="eastAsia" w:ascii="Times New Roman" w:hAnsi="Times New Roman" w:cs="Times New Roman"/>
          <w:color w:val="000000"/>
          <w:sz w:val="24"/>
          <w:lang w:val="en-US" w:eastAsia="zh-CN"/>
        </w:rPr>
        <w:t>2022届毕业生约50%</w:t>
      </w:r>
      <w:r>
        <w:rPr>
          <w:rFonts w:hint="default" w:ascii="Times New Roman" w:hAnsi="Times New Roman" w:cs="Times New Roman"/>
          <w:color w:val="000000"/>
          <w:sz w:val="24"/>
        </w:rPr>
        <w:t>学生在</w:t>
      </w:r>
      <w:r>
        <w:rPr>
          <w:rFonts w:hint="eastAsia" w:ascii="Times New Roman" w:hAnsi="Times New Roman" w:cs="Times New Roman"/>
          <w:color w:val="000000"/>
          <w:sz w:val="24"/>
          <w:lang w:eastAsia="zh-CN"/>
        </w:rPr>
        <w:t>省内</w:t>
      </w:r>
      <w:r>
        <w:rPr>
          <w:rFonts w:hint="default" w:ascii="Times New Roman" w:hAnsi="Times New Roman" w:cs="Times New Roman"/>
          <w:color w:val="000000"/>
          <w:sz w:val="24"/>
        </w:rPr>
        <w:t>就业，</w:t>
      </w:r>
      <w:r>
        <w:rPr>
          <w:rFonts w:hint="default" w:ascii="Times New Roman" w:hAnsi="Times New Roman" w:cs="Times New Roman"/>
          <w:color w:val="000000"/>
          <w:sz w:val="24"/>
          <w:lang w:val="en-US" w:eastAsia="zh-CN"/>
        </w:rPr>
        <w:t>除了在安徽省内就业外，我院的毕业生主要就业区域为</w:t>
      </w:r>
      <w:r>
        <w:rPr>
          <w:rFonts w:hint="eastAsia" w:ascii="Times New Roman" w:hAnsi="Times New Roman" w:cs="Times New Roman"/>
          <w:color w:val="000000"/>
          <w:sz w:val="24"/>
          <w:lang w:val="en-US" w:eastAsia="zh-CN"/>
        </w:rPr>
        <w:t>邻近</w:t>
      </w:r>
      <w:r>
        <w:rPr>
          <w:rFonts w:hint="default" w:ascii="Times New Roman" w:hAnsi="Times New Roman" w:cs="Times New Roman"/>
          <w:color w:val="000000"/>
          <w:sz w:val="24"/>
          <w:lang w:val="en-US" w:eastAsia="zh-CN"/>
        </w:rPr>
        <w:t>省份江苏省和上海市</w:t>
      </w:r>
      <w:r>
        <w:rPr>
          <w:rFonts w:hint="eastAsia" w:ascii="Times New Roman" w:hAnsi="Times New Roman" w:cs="Times New Roman"/>
          <w:color w:val="000000"/>
          <w:sz w:val="24"/>
          <w:lang w:val="en-US" w:eastAsia="zh-CN"/>
        </w:rPr>
        <w:t>，省内就业人数增多，其中研究生集中在省内就业，合肥市就业人数进一步增高</w:t>
      </w:r>
      <w:r>
        <w:rPr>
          <w:rFonts w:hint="default" w:ascii="Times New Roman" w:hAnsi="Times New Roman" w:cs="Times New Roman"/>
          <w:color w:val="000000"/>
          <w:sz w:val="24"/>
          <w:lang w:val="en-US" w:eastAsia="zh-CN"/>
        </w:rPr>
        <w:t>。</w:t>
      </w:r>
      <w:r>
        <w:rPr>
          <w:rFonts w:hint="eastAsia" w:ascii="Times New Roman" w:hAnsi="Times New Roman" w:cs="Times New Roman"/>
          <w:color w:val="000000"/>
          <w:sz w:val="24"/>
          <w:lang w:val="en-US" w:eastAsia="zh-CN"/>
        </w:rPr>
        <w:t>分专业对比不难发现，粉体专业更倾向于省内，能源专业到上海的较多，无机非专业主要分布在江苏和浙江，化工专业分布较为平均。</w:t>
      </w:r>
      <w:r>
        <w:rPr>
          <w:rFonts w:hint="default" w:ascii="Times New Roman" w:hAnsi="Times New Roman" w:cs="Times New Roman"/>
          <w:color w:val="000000"/>
          <w:sz w:val="24"/>
          <w:lang w:val="en-US" w:eastAsia="zh-CN"/>
        </w:rPr>
        <w:t>从总的地区分布来看，我院</w:t>
      </w:r>
      <w:r>
        <w:rPr>
          <w:rFonts w:hint="eastAsia" w:ascii="Times New Roman" w:hAnsi="Times New Roman" w:cs="Times New Roman"/>
          <w:color w:val="000000"/>
          <w:sz w:val="24"/>
          <w:lang w:val="en-US" w:eastAsia="zh-CN"/>
        </w:rPr>
        <w:t>86.51</w:t>
      </w:r>
      <w:r>
        <w:rPr>
          <w:rFonts w:hint="default" w:ascii="Times New Roman" w:hAnsi="Times New Roman" w:cs="Times New Roman"/>
          <w:color w:val="000000"/>
          <w:sz w:val="24"/>
          <w:lang w:val="en-US" w:eastAsia="zh-CN"/>
        </w:rPr>
        <w:t>%的毕业生主要集中在长三角地区就业，主要原因是：1、长三角地区经济发展水平高，化工材料类、医药类、科学技术类企业较多，人才需求量大；2、薪资待遇较其他地区高，有一定的吸引</w:t>
      </w:r>
      <w:r>
        <w:rPr>
          <w:rFonts w:hint="default" w:ascii="Times New Roman" w:hAnsi="Times New Roman" w:cs="Times New Roman"/>
          <w:sz w:val="24"/>
          <w:lang w:val="en-US" w:eastAsia="zh-CN"/>
        </w:rPr>
        <w:t>力；3、离地理位置近，生活习惯相近，心理上更易被安徽籍毕业生接受。</w:t>
      </w:r>
    </w:p>
    <w:p>
      <w:pPr>
        <w:spacing w:line="360" w:lineRule="auto"/>
        <w:ind w:firstLine="482" w:firstLineChars="200"/>
        <w:rPr>
          <w:rFonts w:hint="default" w:ascii="Times New Roman" w:hAnsi="Times New Roman" w:cs="Times New Roman"/>
          <w:sz w:val="24"/>
        </w:rPr>
      </w:pPr>
      <w:r>
        <w:rPr>
          <w:rFonts w:hint="eastAsia" w:ascii="Times New Roman" w:hAnsi="Times New Roman" w:cs="Times New Roman"/>
          <w:b/>
          <w:color w:val="000000"/>
          <w:sz w:val="24"/>
          <w:lang w:val="en-US" w:eastAsia="zh-CN"/>
        </w:rPr>
        <w:t>2.5 2022</w:t>
      </w:r>
      <w:r>
        <w:rPr>
          <w:rFonts w:hint="default" w:ascii="Times New Roman" w:hAnsi="Times New Roman" w:cs="Times New Roman"/>
          <w:b/>
          <w:color w:val="000000"/>
          <w:sz w:val="24"/>
        </w:rPr>
        <w:t>届毕业生专业对口率分析</w:t>
      </w:r>
    </w:p>
    <w:p>
      <w:pPr>
        <w:spacing w:line="360" w:lineRule="auto"/>
        <w:ind w:firstLine="420" w:firstLineChars="200"/>
        <w:jc w:val="center"/>
        <w:rPr>
          <w:rFonts w:hint="default" w:ascii="Times New Roman" w:hAnsi="Times New Roman" w:cs="Times New Roman"/>
          <w:sz w:val="24"/>
        </w:rPr>
      </w:pPr>
      <w:r>
        <w:rPr>
          <w:rFonts w:hint="default" w:ascii="Times New Roman" w:hAnsi="Times New Roman" w:cs="Times New Roman"/>
          <w:sz w:val="21"/>
          <w:szCs w:val="21"/>
        </w:rPr>
        <w:t>表3</w:t>
      </w:r>
      <w:r>
        <w:rPr>
          <w:rFonts w:hint="eastAsia" w:ascii="Times New Roman" w:hAnsi="Times New Roman" w:cs="Times New Roman"/>
          <w:sz w:val="21"/>
          <w:szCs w:val="21"/>
          <w:lang w:val="en-US" w:eastAsia="zh-CN"/>
        </w:rPr>
        <w:t>-1</w:t>
      </w:r>
      <w:r>
        <w:rPr>
          <w:rFonts w:hint="default" w:ascii="Times New Roman" w:hAnsi="Times New Roman" w:cs="Times New Roman"/>
          <w:sz w:val="21"/>
          <w:szCs w:val="21"/>
          <w:lang w:eastAsia="zh-CN"/>
        </w:rPr>
        <w:t>材化学院</w:t>
      </w:r>
      <w:r>
        <w:rPr>
          <w:rFonts w:hint="eastAsia" w:ascii="Times New Roman" w:hAnsi="Times New Roman" w:cs="Times New Roman"/>
          <w:sz w:val="21"/>
          <w:szCs w:val="21"/>
          <w:lang w:val="en-US" w:eastAsia="zh-CN"/>
        </w:rPr>
        <w:t>2022</w:t>
      </w:r>
      <w:r>
        <w:rPr>
          <w:rFonts w:hint="default" w:ascii="Times New Roman" w:hAnsi="Times New Roman" w:cs="Times New Roman"/>
          <w:sz w:val="21"/>
          <w:szCs w:val="21"/>
          <w:lang w:eastAsia="zh-CN"/>
        </w:rPr>
        <w:t>届</w:t>
      </w:r>
      <w:r>
        <w:rPr>
          <w:rFonts w:hint="default" w:ascii="Times New Roman" w:hAnsi="Times New Roman" w:cs="Times New Roman"/>
          <w:sz w:val="21"/>
          <w:szCs w:val="21"/>
        </w:rPr>
        <w:t>毕业生就业专业对口分析</w:t>
      </w:r>
    </w:p>
    <w:tbl>
      <w:tblPr>
        <w:tblStyle w:val="1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994"/>
        <w:gridCol w:w="1149"/>
        <w:gridCol w:w="2010"/>
        <w:gridCol w:w="1436"/>
        <w:gridCol w:w="13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994" w:type="dxa"/>
            <w:noWrap w:val="0"/>
            <w:vAlign w:val="center"/>
          </w:tcPr>
          <w:p>
            <w:pPr>
              <w:widowControl/>
              <w:spacing w:before="100" w:beforeAutospacing="1" w:after="100" w:afterAutospacing="1" w:line="360" w:lineRule="auto"/>
              <w:jc w:val="center"/>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rPr>
              <w:t>专业</w:t>
            </w:r>
          </w:p>
        </w:tc>
        <w:tc>
          <w:tcPr>
            <w:tcW w:w="1149" w:type="dxa"/>
            <w:noWrap w:val="0"/>
            <w:vAlign w:val="center"/>
          </w:tcPr>
          <w:p>
            <w:pPr>
              <w:widowControl/>
              <w:spacing w:before="100" w:beforeAutospacing="1" w:after="100" w:afterAutospacing="1" w:line="360" w:lineRule="auto"/>
              <w:jc w:val="center"/>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rPr>
              <w:t>就业人数</w:t>
            </w:r>
          </w:p>
        </w:tc>
        <w:tc>
          <w:tcPr>
            <w:tcW w:w="2010" w:type="dxa"/>
            <w:noWrap w:val="0"/>
            <w:vAlign w:val="center"/>
          </w:tcPr>
          <w:p>
            <w:pPr>
              <w:widowControl/>
              <w:spacing w:before="100" w:beforeAutospacing="1" w:after="100" w:afterAutospacing="1" w:line="360" w:lineRule="auto"/>
              <w:jc w:val="center"/>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rPr>
              <w:t>就业行业</w:t>
            </w:r>
          </w:p>
        </w:tc>
        <w:tc>
          <w:tcPr>
            <w:tcW w:w="1436" w:type="dxa"/>
            <w:noWrap w:val="0"/>
            <w:vAlign w:val="center"/>
          </w:tcPr>
          <w:p>
            <w:pPr>
              <w:widowControl/>
              <w:spacing w:before="100" w:beforeAutospacing="1" w:after="100" w:afterAutospacing="1" w:line="360" w:lineRule="auto"/>
              <w:jc w:val="center"/>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rPr>
              <w:t>人数</w:t>
            </w:r>
          </w:p>
        </w:tc>
        <w:tc>
          <w:tcPr>
            <w:tcW w:w="1388" w:type="dxa"/>
            <w:noWrap w:val="0"/>
            <w:tcMar>
              <w:top w:w="0" w:type="dxa"/>
              <w:left w:w="108" w:type="dxa"/>
              <w:bottom w:w="0" w:type="dxa"/>
              <w:right w:w="108" w:type="dxa"/>
            </w:tcMar>
            <w:vAlign w:val="center"/>
          </w:tcPr>
          <w:p>
            <w:pPr>
              <w:widowControl/>
              <w:spacing w:before="100" w:beforeAutospacing="1" w:after="100" w:afterAutospacing="1" w:line="360" w:lineRule="auto"/>
              <w:jc w:val="center"/>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rPr>
              <w:t>比率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994" w:type="dxa"/>
            <w:vMerge w:val="restart"/>
            <w:noWrap w:val="0"/>
            <w:vAlign w:val="center"/>
          </w:tcPr>
          <w:p>
            <w:pPr>
              <w:widowControl/>
              <w:spacing w:before="100" w:beforeAutospacing="1" w:after="100" w:afterAutospacing="1" w:line="240" w:lineRule="auto"/>
              <w:jc w:val="center"/>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rPr>
              <w:t>化学工程与工艺</w:t>
            </w:r>
          </w:p>
          <w:p>
            <w:pPr>
              <w:widowControl/>
              <w:spacing w:before="100" w:beforeAutospacing="1" w:after="100" w:afterAutospacing="1" w:line="240" w:lineRule="auto"/>
              <w:jc w:val="center"/>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rPr>
              <w:t>（本科）</w:t>
            </w:r>
          </w:p>
        </w:tc>
        <w:tc>
          <w:tcPr>
            <w:tcW w:w="1149" w:type="dxa"/>
            <w:vMerge w:val="restart"/>
            <w:noWrap w:val="0"/>
            <w:vAlign w:val="center"/>
          </w:tcPr>
          <w:p>
            <w:pPr>
              <w:keepNext w:val="0"/>
              <w:keepLines w:val="0"/>
              <w:widowControl/>
              <w:suppressLineNumbers w:val="0"/>
              <w:jc w:val="center"/>
              <w:textAlignment w:val="bottom"/>
              <w:rPr>
                <w:rFonts w:hint="default" w:ascii="Times New Roman" w:hAnsi="Times New Roman" w:eastAsia="宋体" w:cs="Times New Roman"/>
                <w:color w:val="000000"/>
                <w:kern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6</w:t>
            </w:r>
            <w:r>
              <w:rPr>
                <w:rFonts w:hint="eastAsia" w:ascii="Times New Roman" w:hAnsi="Times New Roman" w:eastAsia="宋体" w:cs="Times New Roman"/>
                <w:i w:val="0"/>
                <w:iCs w:val="0"/>
                <w:color w:val="000000"/>
                <w:kern w:val="0"/>
                <w:sz w:val="21"/>
                <w:szCs w:val="21"/>
                <w:u w:val="none"/>
                <w:lang w:val="en-US" w:eastAsia="zh-CN" w:bidi="ar"/>
              </w:rPr>
              <w:t>4</w:t>
            </w:r>
          </w:p>
        </w:tc>
        <w:tc>
          <w:tcPr>
            <w:tcW w:w="2010" w:type="dxa"/>
            <w:noWrap w:val="0"/>
            <w:vAlign w:val="bottom"/>
          </w:tcPr>
          <w:p>
            <w:pPr>
              <w:keepNext w:val="0"/>
              <w:keepLines w:val="0"/>
              <w:widowControl/>
              <w:suppressLineNumbers w:val="0"/>
              <w:jc w:val="center"/>
              <w:textAlignment w:val="bottom"/>
              <w:rPr>
                <w:rFonts w:hint="default" w:ascii="Times New Roman" w:hAnsi="Times New Roman" w:cs="Times New Roman"/>
                <w:color w:val="000000"/>
                <w:kern w:val="0"/>
                <w:sz w:val="21"/>
                <w:szCs w:val="21"/>
              </w:rPr>
            </w:pPr>
            <w:r>
              <w:rPr>
                <w:rFonts w:hint="default" w:ascii="Times New Roman" w:hAnsi="Times New Roman" w:eastAsia="宋体" w:cs="Times New Roman"/>
                <w:i w:val="0"/>
                <w:iCs w:val="0"/>
                <w:color w:val="000000"/>
                <w:kern w:val="0"/>
                <w:sz w:val="21"/>
                <w:szCs w:val="21"/>
                <w:u w:val="none"/>
                <w:lang w:val="en-US" w:eastAsia="zh-CN" w:bidi="ar"/>
              </w:rPr>
              <w:t>化工、制药、环境类</w:t>
            </w:r>
          </w:p>
        </w:tc>
        <w:tc>
          <w:tcPr>
            <w:tcW w:w="1436" w:type="dxa"/>
            <w:noWrap w:val="0"/>
            <w:vAlign w:val="bottom"/>
          </w:tcPr>
          <w:p>
            <w:pPr>
              <w:keepNext w:val="0"/>
              <w:keepLines w:val="0"/>
              <w:widowControl/>
              <w:suppressLineNumbers w:val="0"/>
              <w:jc w:val="center"/>
              <w:textAlignment w:val="bottom"/>
              <w:rPr>
                <w:rFonts w:hint="default" w:ascii="Times New Roman" w:hAnsi="Times New Roman" w:eastAsia="宋体" w:cs="Times New Roman"/>
                <w:color w:val="000000"/>
                <w:kern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30</w:t>
            </w:r>
          </w:p>
        </w:tc>
        <w:tc>
          <w:tcPr>
            <w:tcW w:w="1388" w:type="dxa"/>
            <w:noWrap w:val="0"/>
            <w:tcMar>
              <w:top w:w="0" w:type="dxa"/>
              <w:left w:w="108" w:type="dxa"/>
              <w:bottom w:w="0" w:type="dxa"/>
              <w:right w:w="108" w:type="dxa"/>
            </w:tcMar>
            <w:vAlign w:val="bottom"/>
          </w:tcPr>
          <w:p>
            <w:pPr>
              <w:keepNext w:val="0"/>
              <w:keepLines w:val="0"/>
              <w:widowControl/>
              <w:suppressLineNumbers w:val="0"/>
              <w:jc w:val="center"/>
              <w:textAlignment w:val="bottom"/>
              <w:rPr>
                <w:rFonts w:hint="default" w:ascii="Times New Roman" w:hAnsi="Times New Roman" w:cs="Times New Roman"/>
                <w:color w:val="000000"/>
                <w:kern w:val="0"/>
                <w:sz w:val="21"/>
                <w:szCs w:val="21"/>
              </w:rPr>
            </w:pPr>
            <w:r>
              <w:rPr>
                <w:rFonts w:hint="default" w:ascii="Times New Roman" w:hAnsi="Times New Roman" w:eastAsia="宋体" w:cs="Times New Roman"/>
                <w:i w:val="0"/>
                <w:iCs w:val="0"/>
                <w:color w:val="000000"/>
                <w:kern w:val="0"/>
                <w:sz w:val="21"/>
                <w:szCs w:val="21"/>
                <w:u w:val="none"/>
                <w:lang w:val="en-US" w:eastAsia="zh-CN" w:bidi="ar"/>
              </w:rPr>
              <w:t>46.88%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994" w:type="dxa"/>
            <w:vMerge w:val="continue"/>
            <w:noWrap w:val="0"/>
            <w:vAlign w:val="center"/>
          </w:tcPr>
          <w:p>
            <w:pPr>
              <w:widowControl/>
              <w:spacing w:before="100" w:beforeAutospacing="1" w:after="100" w:afterAutospacing="1" w:line="360" w:lineRule="auto"/>
              <w:jc w:val="center"/>
              <w:rPr>
                <w:rFonts w:hint="default" w:ascii="Times New Roman" w:hAnsi="Times New Roman" w:cs="Times New Roman"/>
                <w:color w:val="000000"/>
                <w:kern w:val="0"/>
                <w:sz w:val="21"/>
                <w:szCs w:val="21"/>
              </w:rPr>
            </w:pPr>
          </w:p>
        </w:tc>
        <w:tc>
          <w:tcPr>
            <w:tcW w:w="1149" w:type="dxa"/>
            <w:vMerge w:val="continue"/>
            <w:noWrap w:val="0"/>
            <w:vAlign w:val="center"/>
          </w:tcPr>
          <w:p>
            <w:pPr>
              <w:jc w:val="center"/>
              <w:rPr>
                <w:rFonts w:hint="default" w:ascii="Times New Roman" w:hAnsi="Times New Roman" w:cs="Times New Roman"/>
                <w:color w:val="000000"/>
                <w:kern w:val="0"/>
                <w:sz w:val="21"/>
                <w:szCs w:val="21"/>
              </w:rPr>
            </w:pPr>
          </w:p>
        </w:tc>
        <w:tc>
          <w:tcPr>
            <w:tcW w:w="2010" w:type="dxa"/>
            <w:noWrap w:val="0"/>
            <w:vAlign w:val="bottom"/>
          </w:tcPr>
          <w:p>
            <w:pPr>
              <w:keepNext w:val="0"/>
              <w:keepLines w:val="0"/>
              <w:widowControl/>
              <w:suppressLineNumbers w:val="0"/>
              <w:jc w:val="center"/>
              <w:textAlignment w:val="bottom"/>
              <w:rPr>
                <w:rFonts w:hint="default" w:ascii="Times New Roman" w:hAnsi="Times New Roman" w:cs="Times New Roman"/>
                <w:color w:val="000000"/>
                <w:kern w:val="0"/>
                <w:sz w:val="21"/>
                <w:szCs w:val="21"/>
              </w:rPr>
            </w:pPr>
            <w:r>
              <w:rPr>
                <w:rFonts w:hint="default" w:ascii="Times New Roman" w:hAnsi="Times New Roman" w:eastAsia="宋体" w:cs="Times New Roman"/>
                <w:i w:val="0"/>
                <w:iCs w:val="0"/>
                <w:color w:val="000000"/>
                <w:kern w:val="0"/>
                <w:sz w:val="21"/>
                <w:szCs w:val="21"/>
                <w:u w:val="none"/>
                <w:lang w:val="en-US" w:eastAsia="zh-CN" w:bidi="ar"/>
              </w:rPr>
              <w:t>材料类</w:t>
            </w:r>
          </w:p>
        </w:tc>
        <w:tc>
          <w:tcPr>
            <w:tcW w:w="1436" w:type="dxa"/>
            <w:noWrap w:val="0"/>
            <w:vAlign w:val="bottom"/>
          </w:tcPr>
          <w:p>
            <w:pPr>
              <w:keepNext w:val="0"/>
              <w:keepLines w:val="0"/>
              <w:widowControl/>
              <w:suppressLineNumbers w:val="0"/>
              <w:jc w:val="center"/>
              <w:textAlignment w:val="bottom"/>
              <w:rPr>
                <w:rFonts w:hint="default" w:ascii="Times New Roman" w:hAnsi="Times New Roman" w:eastAsia="宋体" w:cs="Times New Roman"/>
                <w:color w:val="000000"/>
                <w:kern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24</w:t>
            </w:r>
          </w:p>
        </w:tc>
        <w:tc>
          <w:tcPr>
            <w:tcW w:w="1388" w:type="dxa"/>
            <w:noWrap w:val="0"/>
            <w:tcMar>
              <w:top w:w="0" w:type="dxa"/>
              <w:left w:w="108" w:type="dxa"/>
              <w:bottom w:w="0" w:type="dxa"/>
              <w:right w:w="108" w:type="dxa"/>
            </w:tcMar>
            <w:vAlign w:val="bottom"/>
          </w:tcPr>
          <w:p>
            <w:pPr>
              <w:keepNext w:val="0"/>
              <w:keepLines w:val="0"/>
              <w:widowControl/>
              <w:suppressLineNumbers w:val="0"/>
              <w:jc w:val="center"/>
              <w:textAlignment w:val="bottom"/>
              <w:rPr>
                <w:rFonts w:hint="default" w:ascii="Times New Roman" w:hAnsi="Times New Roman" w:cs="Times New Roman"/>
                <w:color w:val="000000"/>
                <w:kern w:val="0"/>
                <w:sz w:val="21"/>
                <w:szCs w:val="21"/>
              </w:rPr>
            </w:pPr>
            <w:r>
              <w:rPr>
                <w:rFonts w:hint="default" w:ascii="Times New Roman" w:hAnsi="Times New Roman" w:eastAsia="宋体" w:cs="Times New Roman"/>
                <w:i w:val="0"/>
                <w:iCs w:val="0"/>
                <w:color w:val="000000"/>
                <w:kern w:val="0"/>
                <w:sz w:val="21"/>
                <w:szCs w:val="21"/>
                <w:u w:val="none"/>
                <w:lang w:val="en-US" w:eastAsia="zh-CN" w:bidi="ar"/>
              </w:rPr>
              <w:t>37.50%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994" w:type="dxa"/>
            <w:vMerge w:val="continue"/>
            <w:noWrap w:val="0"/>
            <w:vAlign w:val="center"/>
          </w:tcPr>
          <w:p>
            <w:pPr>
              <w:widowControl/>
              <w:spacing w:before="100" w:beforeAutospacing="1" w:after="100" w:afterAutospacing="1" w:line="360" w:lineRule="auto"/>
              <w:jc w:val="center"/>
              <w:rPr>
                <w:rFonts w:hint="default" w:ascii="Times New Roman" w:hAnsi="Times New Roman" w:cs="Times New Roman"/>
                <w:color w:val="000000"/>
                <w:kern w:val="0"/>
                <w:sz w:val="21"/>
                <w:szCs w:val="21"/>
              </w:rPr>
            </w:pPr>
          </w:p>
        </w:tc>
        <w:tc>
          <w:tcPr>
            <w:tcW w:w="1149" w:type="dxa"/>
            <w:vMerge w:val="continue"/>
            <w:noWrap w:val="0"/>
            <w:vAlign w:val="center"/>
          </w:tcPr>
          <w:p>
            <w:pPr>
              <w:jc w:val="center"/>
              <w:rPr>
                <w:rFonts w:hint="default" w:ascii="Times New Roman" w:hAnsi="Times New Roman" w:cs="Times New Roman"/>
                <w:color w:val="000000"/>
                <w:kern w:val="0"/>
                <w:sz w:val="21"/>
                <w:szCs w:val="21"/>
              </w:rPr>
            </w:pPr>
          </w:p>
        </w:tc>
        <w:tc>
          <w:tcPr>
            <w:tcW w:w="2010" w:type="dxa"/>
            <w:noWrap w:val="0"/>
            <w:vAlign w:val="bottom"/>
          </w:tcPr>
          <w:p>
            <w:pPr>
              <w:keepNext w:val="0"/>
              <w:keepLines w:val="0"/>
              <w:widowControl/>
              <w:suppressLineNumbers w:val="0"/>
              <w:jc w:val="center"/>
              <w:textAlignment w:val="bottom"/>
              <w:rPr>
                <w:rFonts w:hint="default" w:ascii="Times New Roman" w:hAnsi="Times New Roman" w:eastAsia="宋体" w:cs="Times New Roman"/>
                <w:color w:val="000000"/>
                <w:kern w:val="0"/>
                <w:sz w:val="21"/>
                <w:szCs w:val="21"/>
                <w:lang w:eastAsia="zh-CN"/>
              </w:rPr>
            </w:pPr>
            <w:r>
              <w:rPr>
                <w:rFonts w:hint="default" w:ascii="Times New Roman" w:hAnsi="Times New Roman" w:eastAsia="宋体" w:cs="Times New Roman"/>
                <w:i w:val="0"/>
                <w:iCs w:val="0"/>
                <w:color w:val="000000"/>
                <w:kern w:val="0"/>
                <w:sz w:val="21"/>
                <w:szCs w:val="21"/>
                <w:u w:val="none"/>
                <w:lang w:val="en-US" w:eastAsia="zh-CN" w:bidi="ar"/>
              </w:rPr>
              <w:t>教育行业</w:t>
            </w:r>
          </w:p>
        </w:tc>
        <w:tc>
          <w:tcPr>
            <w:tcW w:w="1436" w:type="dxa"/>
            <w:noWrap w:val="0"/>
            <w:vAlign w:val="bottom"/>
          </w:tcPr>
          <w:p>
            <w:pPr>
              <w:keepNext w:val="0"/>
              <w:keepLines w:val="0"/>
              <w:widowControl/>
              <w:suppressLineNumbers w:val="0"/>
              <w:jc w:val="center"/>
              <w:textAlignment w:val="bottom"/>
              <w:rPr>
                <w:rFonts w:hint="default" w:ascii="Times New Roman" w:hAnsi="Times New Roman" w:cs="Times New Roman"/>
                <w:color w:val="000000"/>
                <w:kern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0</w:t>
            </w:r>
          </w:p>
        </w:tc>
        <w:tc>
          <w:tcPr>
            <w:tcW w:w="1388" w:type="dxa"/>
            <w:noWrap w:val="0"/>
            <w:tcMar>
              <w:top w:w="0" w:type="dxa"/>
              <w:left w:w="108" w:type="dxa"/>
              <w:bottom w:w="0" w:type="dxa"/>
              <w:right w:w="108" w:type="dxa"/>
            </w:tcMar>
            <w:vAlign w:val="bottom"/>
          </w:tcPr>
          <w:p>
            <w:pPr>
              <w:keepNext w:val="0"/>
              <w:keepLines w:val="0"/>
              <w:widowControl/>
              <w:suppressLineNumbers w:val="0"/>
              <w:jc w:val="center"/>
              <w:textAlignment w:val="bottom"/>
              <w:rPr>
                <w:rFonts w:hint="default" w:ascii="Times New Roman" w:hAnsi="Times New Roman" w:cs="Times New Roman"/>
                <w:color w:val="000000"/>
                <w:kern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994" w:type="dxa"/>
            <w:vMerge w:val="continue"/>
            <w:noWrap w:val="0"/>
            <w:vAlign w:val="center"/>
          </w:tcPr>
          <w:p>
            <w:pPr>
              <w:widowControl/>
              <w:spacing w:line="360" w:lineRule="auto"/>
              <w:jc w:val="center"/>
              <w:rPr>
                <w:rFonts w:hint="default" w:ascii="Times New Roman" w:hAnsi="Times New Roman" w:cs="Times New Roman"/>
                <w:color w:val="000000"/>
                <w:kern w:val="0"/>
                <w:sz w:val="21"/>
                <w:szCs w:val="21"/>
              </w:rPr>
            </w:pPr>
          </w:p>
        </w:tc>
        <w:tc>
          <w:tcPr>
            <w:tcW w:w="1149" w:type="dxa"/>
            <w:vMerge w:val="continue"/>
            <w:noWrap w:val="0"/>
            <w:vAlign w:val="center"/>
          </w:tcPr>
          <w:p>
            <w:pPr>
              <w:jc w:val="center"/>
              <w:rPr>
                <w:rFonts w:hint="default" w:ascii="Times New Roman" w:hAnsi="Times New Roman" w:cs="Times New Roman"/>
                <w:color w:val="000000"/>
                <w:kern w:val="0"/>
                <w:sz w:val="21"/>
                <w:szCs w:val="21"/>
              </w:rPr>
            </w:pPr>
          </w:p>
        </w:tc>
        <w:tc>
          <w:tcPr>
            <w:tcW w:w="2010" w:type="dxa"/>
            <w:noWrap w:val="0"/>
            <w:vAlign w:val="bottom"/>
          </w:tcPr>
          <w:p>
            <w:pPr>
              <w:keepNext w:val="0"/>
              <w:keepLines w:val="0"/>
              <w:widowControl/>
              <w:suppressLineNumbers w:val="0"/>
              <w:jc w:val="center"/>
              <w:textAlignment w:val="bottom"/>
              <w:rPr>
                <w:rFonts w:hint="default" w:ascii="Times New Roman" w:hAnsi="Times New Roman" w:cs="Times New Roman"/>
                <w:color w:val="000000"/>
                <w:kern w:val="0"/>
                <w:sz w:val="21"/>
                <w:szCs w:val="21"/>
              </w:rPr>
            </w:pPr>
            <w:r>
              <w:rPr>
                <w:rFonts w:hint="default" w:ascii="Times New Roman" w:hAnsi="Times New Roman" w:eastAsia="宋体" w:cs="Times New Roman"/>
                <w:i w:val="0"/>
                <w:iCs w:val="0"/>
                <w:color w:val="000000"/>
                <w:kern w:val="0"/>
                <w:sz w:val="21"/>
                <w:szCs w:val="21"/>
                <w:u w:val="none"/>
                <w:lang w:val="en-US" w:eastAsia="zh-CN" w:bidi="ar"/>
              </w:rPr>
              <w:t>其他</w:t>
            </w:r>
          </w:p>
        </w:tc>
        <w:tc>
          <w:tcPr>
            <w:tcW w:w="1436" w:type="dxa"/>
            <w:noWrap w:val="0"/>
            <w:vAlign w:val="bottom"/>
          </w:tcPr>
          <w:p>
            <w:pPr>
              <w:keepNext w:val="0"/>
              <w:keepLines w:val="0"/>
              <w:widowControl/>
              <w:suppressLineNumbers w:val="0"/>
              <w:jc w:val="center"/>
              <w:textAlignment w:val="bottom"/>
              <w:rPr>
                <w:rFonts w:hint="default" w:ascii="Times New Roman" w:hAnsi="Times New Roman" w:eastAsia="宋体" w:cs="Times New Roman"/>
                <w:color w:val="000000"/>
                <w:kern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10</w:t>
            </w:r>
          </w:p>
        </w:tc>
        <w:tc>
          <w:tcPr>
            <w:tcW w:w="1388" w:type="dxa"/>
            <w:noWrap w:val="0"/>
            <w:tcMar>
              <w:top w:w="0" w:type="dxa"/>
              <w:left w:w="108" w:type="dxa"/>
              <w:bottom w:w="0" w:type="dxa"/>
              <w:right w:w="108" w:type="dxa"/>
            </w:tcMar>
            <w:vAlign w:val="bottom"/>
          </w:tcPr>
          <w:p>
            <w:pPr>
              <w:keepNext w:val="0"/>
              <w:keepLines w:val="0"/>
              <w:widowControl/>
              <w:suppressLineNumbers w:val="0"/>
              <w:jc w:val="center"/>
              <w:textAlignment w:val="bottom"/>
              <w:rPr>
                <w:rFonts w:hint="default" w:ascii="Times New Roman" w:hAnsi="Times New Roman" w:cs="Times New Roman"/>
                <w:color w:val="000000"/>
                <w:kern w:val="0"/>
                <w:sz w:val="21"/>
                <w:szCs w:val="21"/>
              </w:rPr>
            </w:pPr>
            <w:r>
              <w:rPr>
                <w:rFonts w:hint="default" w:ascii="Times New Roman" w:hAnsi="Times New Roman" w:eastAsia="宋体" w:cs="Times New Roman"/>
                <w:i w:val="0"/>
                <w:iCs w:val="0"/>
                <w:color w:val="000000"/>
                <w:kern w:val="0"/>
                <w:sz w:val="21"/>
                <w:szCs w:val="21"/>
                <w:u w:val="none"/>
                <w:lang w:val="en-US" w:eastAsia="zh-CN" w:bidi="ar"/>
              </w:rPr>
              <w:t>15.63%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994" w:type="dxa"/>
            <w:vMerge w:val="restart"/>
            <w:noWrap w:val="0"/>
            <w:vAlign w:val="center"/>
          </w:tcPr>
          <w:p>
            <w:pPr>
              <w:widowControl/>
              <w:spacing w:before="100" w:beforeAutospacing="1" w:after="100" w:afterAutospacing="1" w:line="360" w:lineRule="auto"/>
              <w:jc w:val="center"/>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rPr>
              <w:t>无机非金属材料工程（本科）</w:t>
            </w:r>
          </w:p>
        </w:tc>
        <w:tc>
          <w:tcPr>
            <w:tcW w:w="1149" w:type="dxa"/>
            <w:vMerge w:val="restart"/>
            <w:noWrap w:val="0"/>
            <w:vAlign w:val="center"/>
          </w:tcPr>
          <w:p>
            <w:pPr>
              <w:keepNext w:val="0"/>
              <w:keepLines w:val="0"/>
              <w:widowControl/>
              <w:suppressLineNumbers w:val="0"/>
              <w:jc w:val="center"/>
              <w:textAlignment w:val="bottom"/>
              <w:rPr>
                <w:rFonts w:hint="default" w:ascii="Times New Roman" w:hAnsi="Times New Roman" w:eastAsia="宋体" w:cs="Times New Roman"/>
                <w:color w:val="000000"/>
                <w:kern w:val="0"/>
                <w:sz w:val="21"/>
                <w:szCs w:val="21"/>
                <w:lang w:val="en-US" w:eastAsia="zh-CN"/>
              </w:rPr>
            </w:pPr>
            <w:r>
              <w:rPr>
                <w:rFonts w:hint="eastAsia" w:ascii="Times New Roman" w:hAnsi="Times New Roman" w:eastAsia="宋体" w:cs="Times New Roman"/>
                <w:i w:val="0"/>
                <w:iCs w:val="0"/>
                <w:color w:val="000000"/>
                <w:kern w:val="0"/>
                <w:sz w:val="21"/>
                <w:szCs w:val="21"/>
                <w:u w:val="none"/>
                <w:lang w:val="en-US" w:eastAsia="zh-CN" w:bidi="ar"/>
              </w:rPr>
              <w:t>25</w:t>
            </w:r>
          </w:p>
        </w:tc>
        <w:tc>
          <w:tcPr>
            <w:tcW w:w="2010" w:type="dxa"/>
            <w:noWrap w:val="0"/>
            <w:vAlign w:val="bottom"/>
          </w:tcPr>
          <w:p>
            <w:pPr>
              <w:keepNext w:val="0"/>
              <w:keepLines w:val="0"/>
              <w:widowControl/>
              <w:suppressLineNumbers w:val="0"/>
              <w:jc w:val="center"/>
              <w:textAlignment w:val="bottom"/>
              <w:rPr>
                <w:rFonts w:hint="default" w:ascii="Times New Roman" w:hAnsi="Times New Roman" w:cs="Times New Roman"/>
                <w:color w:val="000000"/>
                <w:kern w:val="0"/>
                <w:sz w:val="21"/>
                <w:szCs w:val="21"/>
              </w:rPr>
            </w:pPr>
            <w:r>
              <w:rPr>
                <w:rFonts w:hint="default" w:ascii="Times New Roman" w:hAnsi="Times New Roman" w:eastAsia="宋体" w:cs="Times New Roman"/>
                <w:i w:val="0"/>
                <w:iCs w:val="0"/>
                <w:color w:val="000000"/>
                <w:kern w:val="0"/>
                <w:sz w:val="21"/>
                <w:szCs w:val="21"/>
                <w:u w:val="none"/>
                <w:lang w:val="en-US" w:eastAsia="zh-CN" w:bidi="ar"/>
              </w:rPr>
              <w:t>化工、制药、环境类</w:t>
            </w:r>
          </w:p>
        </w:tc>
        <w:tc>
          <w:tcPr>
            <w:tcW w:w="1436" w:type="dxa"/>
            <w:noWrap w:val="0"/>
            <w:vAlign w:val="bottom"/>
          </w:tcPr>
          <w:p>
            <w:pPr>
              <w:keepNext w:val="0"/>
              <w:keepLines w:val="0"/>
              <w:widowControl/>
              <w:suppressLineNumbers w:val="0"/>
              <w:jc w:val="center"/>
              <w:textAlignment w:val="bottom"/>
              <w:rPr>
                <w:rFonts w:hint="default" w:ascii="Times New Roman" w:hAnsi="Times New Roman" w:eastAsia="宋体" w:cs="Times New Roman"/>
                <w:color w:val="000000"/>
                <w:kern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1388" w:type="dxa"/>
            <w:noWrap w:val="0"/>
            <w:tcMar>
              <w:top w:w="0" w:type="dxa"/>
              <w:left w:w="108" w:type="dxa"/>
              <w:bottom w:w="0" w:type="dxa"/>
              <w:right w:w="108" w:type="dxa"/>
            </w:tcMar>
            <w:vAlign w:val="bottom"/>
          </w:tcPr>
          <w:p>
            <w:pPr>
              <w:keepNext w:val="0"/>
              <w:keepLines w:val="0"/>
              <w:widowControl/>
              <w:suppressLineNumbers w:val="0"/>
              <w:jc w:val="center"/>
              <w:textAlignment w:val="bottom"/>
              <w:rPr>
                <w:rFonts w:hint="default" w:ascii="Times New Roman" w:hAnsi="Times New Roman" w:cs="Times New Roman"/>
                <w:color w:val="000000"/>
                <w:kern w:val="0"/>
                <w:sz w:val="21"/>
                <w:szCs w:val="21"/>
              </w:rPr>
            </w:pPr>
            <w:r>
              <w:rPr>
                <w:rFonts w:hint="default" w:ascii="Times New Roman" w:hAnsi="Times New Roman" w:eastAsia="宋体" w:cs="Times New Roman"/>
                <w:i w:val="0"/>
                <w:iCs w:val="0"/>
                <w:color w:val="000000"/>
                <w:kern w:val="0"/>
                <w:sz w:val="21"/>
                <w:szCs w:val="21"/>
                <w:u w:val="none"/>
                <w:lang w:val="en-US" w:eastAsia="zh-CN" w:bidi="ar"/>
              </w:rPr>
              <w:t>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994" w:type="dxa"/>
            <w:vMerge w:val="continue"/>
            <w:noWrap w:val="0"/>
            <w:vAlign w:val="center"/>
          </w:tcPr>
          <w:p>
            <w:pPr>
              <w:widowControl/>
              <w:spacing w:line="360" w:lineRule="auto"/>
              <w:jc w:val="center"/>
              <w:rPr>
                <w:rFonts w:hint="default" w:ascii="Times New Roman" w:hAnsi="Times New Roman" w:cs="Times New Roman"/>
                <w:color w:val="000000"/>
                <w:kern w:val="0"/>
                <w:sz w:val="21"/>
                <w:szCs w:val="21"/>
              </w:rPr>
            </w:pPr>
          </w:p>
        </w:tc>
        <w:tc>
          <w:tcPr>
            <w:tcW w:w="1149" w:type="dxa"/>
            <w:vMerge w:val="continue"/>
            <w:noWrap w:val="0"/>
            <w:vAlign w:val="center"/>
          </w:tcPr>
          <w:p>
            <w:pPr>
              <w:jc w:val="center"/>
              <w:rPr>
                <w:rFonts w:hint="default" w:ascii="Times New Roman" w:hAnsi="Times New Roman" w:cs="Times New Roman"/>
                <w:color w:val="000000"/>
                <w:kern w:val="0"/>
                <w:sz w:val="21"/>
                <w:szCs w:val="21"/>
              </w:rPr>
            </w:pPr>
          </w:p>
        </w:tc>
        <w:tc>
          <w:tcPr>
            <w:tcW w:w="2010" w:type="dxa"/>
            <w:noWrap w:val="0"/>
            <w:vAlign w:val="bottom"/>
          </w:tcPr>
          <w:p>
            <w:pPr>
              <w:keepNext w:val="0"/>
              <w:keepLines w:val="0"/>
              <w:widowControl/>
              <w:suppressLineNumbers w:val="0"/>
              <w:jc w:val="center"/>
              <w:textAlignment w:val="bottom"/>
              <w:rPr>
                <w:rFonts w:hint="default" w:ascii="Times New Roman" w:hAnsi="Times New Roman" w:cs="Times New Roman"/>
                <w:color w:val="000000"/>
                <w:kern w:val="0"/>
                <w:sz w:val="21"/>
                <w:szCs w:val="21"/>
              </w:rPr>
            </w:pPr>
            <w:r>
              <w:rPr>
                <w:rFonts w:hint="default" w:ascii="Times New Roman" w:hAnsi="Times New Roman" w:eastAsia="宋体" w:cs="Times New Roman"/>
                <w:i w:val="0"/>
                <w:iCs w:val="0"/>
                <w:color w:val="000000"/>
                <w:kern w:val="0"/>
                <w:sz w:val="21"/>
                <w:szCs w:val="21"/>
                <w:u w:val="none"/>
                <w:lang w:val="en-US" w:eastAsia="zh-CN" w:bidi="ar"/>
              </w:rPr>
              <w:t>材料类</w:t>
            </w:r>
          </w:p>
        </w:tc>
        <w:tc>
          <w:tcPr>
            <w:tcW w:w="1436" w:type="dxa"/>
            <w:noWrap w:val="0"/>
            <w:vAlign w:val="bottom"/>
          </w:tcPr>
          <w:p>
            <w:pPr>
              <w:keepNext w:val="0"/>
              <w:keepLines w:val="0"/>
              <w:widowControl/>
              <w:suppressLineNumbers w:val="0"/>
              <w:jc w:val="center"/>
              <w:textAlignment w:val="bottom"/>
              <w:rPr>
                <w:rFonts w:hint="default" w:ascii="Times New Roman" w:hAnsi="Times New Roman" w:eastAsia="宋体" w:cs="Times New Roman"/>
                <w:color w:val="000000"/>
                <w:kern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23</w:t>
            </w:r>
          </w:p>
        </w:tc>
        <w:tc>
          <w:tcPr>
            <w:tcW w:w="1388" w:type="dxa"/>
            <w:noWrap w:val="0"/>
            <w:tcMar>
              <w:top w:w="0" w:type="dxa"/>
              <w:left w:w="108" w:type="dxa"/>
              <w:bottom w:w="0" w:type="dxa"/>
              <w:right w:w="108" w:type="dxa"/>
            </w:tcMar>
            <w:vAlign w:val="bottom"/>
          </w:tcPr>
          <w:p>
            <w:pPr>
              <w:keepNext w:val="0"/>
              <w:keepLines w:val="0"/>
              <w:widowControl/>
              <w:suppressLineNumbers w:val="0"/>
              <w:jc w:val="center"/>
              <w:textAlignment w:val="bottom"/>
              <w:rPr>
                <w:rFonts w:hint="default" w:ascii="Times New Roman" w:hAnsi="Times New Roman" w:cs="Times New Roman"/>
                <w:color w:val="000000"/>
                <w:kern w:val="0"/>
                <w:sz w:val="21"/>
                <w:szCs w:val="21"/>
              </w:rPr>
            </w:pPr>
            <w:r>
              <w:rPr>
                <w:rFonts w:hint="default" w:ascii="Times New Roman" w:hAnsi="Times New Roman" w:eastAsia="宋体" w:cs="Times New Roman"/>
                <w:i w:val="0"/>
                <w:iCs w:val="0"/>
                <w:color w:val="000000"/>
                <w:kern w:val="0"/>
                <w:sz w:val="21"/>
                <w:szCs w:val="21"/>
                <w:u w:val="none"/>
                <w:lang w:val="en-US" w:eastAsia="zh-CN" w:bidi="ar"/>
              </w:rPr>
              <w:t>92.00%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994" w:type="dxa"/>
            <w:vMerge w:val="continue"/>
            <w:noWrap w:val="0"/>
            <w:vAlign w:val="center"/>
          </w:tcPr>
          <w:p>
            <w:pPr>
              <w:widowControl/>
              <w:spacing w:line="360" w:lineRule="auto"/>
              <w:jc w:val="center"/>
              <w:rPr>
                <w:rFonts w:hint="default" w:ascii="Times New Roman" w:hAnsi="Times New Roman" w:cs="Times New Roman"/>
                <w:color w:val="000000"/>
                <w:kern w:val="0"/>
                <w:sz w:val="21"/>
                <w:szCs w:val="21"/>
              </w:rPr>
            </w:pPr>
          </w:p>
        </w:tc>
        <w:tc>
          <w:tcPr>
            <w:tcW w:w="1149" w:type="dxa"/>
            <w:vMerge w:val="continue"/>
            <w:noWrap w:val="0"/>
            <w:vAlign w:val="center"/>
          </w:tcPr>
          <w:p>
            <w:pPr>
              <w:jc w:val="center"/>
              <w:rPr>
                <w:rFonts w:hint="default" w:ascii="Times New Roman" w:hAnsi="Times New Roman" w:cs="Times New Roman"/>
                <w:color w:val="000000"/>
                <w:kern w:val="0"/>
                <w:sz w:val="21"/>
                <w:szCs w:val="21"/>
              </w:rPr>
            </w:pPr>
          </w:p>
        </w:tc>
        <w:tc>
          <w:tcPr>
            <w:tcW w:w="2010" w:type="dxa"/>
            <w:noWrap w:val="0"/>
            <w:vAlign w:val="bottom"/>
          </w:tcPr>
          <w:p>
            <w:pPr>
              <w:keepNext w:val="0"/>
              <w:keepLines w:val="0"/>
              <w:widowControl/>
              <w:suppressLineNumbers w:val="0"/>
              <w:jc w:val="center"/>
              <w:textAlignment w:val="bottom"/>
              <w:rPr>
                <w:rFonts w:hint="default" w:ascii="Times New Roman" w:hAnsi="Times New Roman" w:eastAsia="宋体" w:cs="Times New Roman"/>
                <w:color w:val="000000"/>
                <w:kern w:val="0"/>
                <w:sz w:val="21"/>
                <w:szCs w:val="21"/>
                <w:lang w:eastAsia="zh-CN"/>
              </w:rPr>
            </w:pPr>
            <w:r>
              <w:rPr>
                <w:rFonts w:hint="default" w:ascii="Times New Roman" w:hAnsi="Times New Roman" w:eastAsia="宋体" w:cs="Times New Roman"/>
                <w:i w:val="0"/>
                <w:iCs w:val="0"/>
                <w:color w:val="000000"/>
                <w:kern w:val="0"/>
                <w:sz w:val="21"/>
                <w:szCs w:val="21"/>
                <w:u w:val="none"/>
                <w:lang w:val="en-US" w:eastAsia="zh-CN" w:bidi="ar"/>
              </w:rPr>
              <w:t>教育类</w:t>
            </w:r>
          </w:p>
        </w:tc>
        <w:tc>
          <w:tcPr>
            <w:tcW w:w="1436" w:type="dxa"/>
            <w:noWrap w:val="0"/>
            <w:vAlign w:val="bottom"/>
          </w:tcPr>
          <w:p>
            <w:pPr>
              <w:keepNext w:val="0"/>
              <w:keepLines w:val="0"/>
              <w:widowControl/>
              <w:suppressLineNumbers w:val="0"/>
              <w:jc w:val="center"/>
              <w:textAlignment w:val="bottom"/>
              <w:rPr>
                <w:rFonts w:hint="default" w:ascii="Times New Roman" w:hAnsi="Times New Roman" w:cs="Times New Roman"/>
                <w:color w:val="000000"/>
                <w:kern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1388" w:type="dxa"/>
            <w:noWrap w:val="0"/>
            <w:tcMar>
              <w:top w:w="0" w:type="dxa"/>
              <w:left w:w="108" w:type="dxa"/>
              <w:bottom w:w="0" w:type="dxa"/>
              <w:right w:w="108" w:type="dxa"/>
            </w:tcMar>
            <w:vAlign w:val="bottom"/>
          </w:tcPr>
          <w:p>
            <w:pPr>
              <w:keepNext w:val="0"/>
              <w:keepLines w:val="0"/>
              <w:widowControl/>
              <w:suppressLineNumbers w:val="0"/>
              <w:jc w:val="center"/>
              <w:textAlignment w:val="bottom"/>
              <w:rPr>
                <w:rFonts w:hint="default" w:ascii="Times New Roman" w:hAnsi="Times New Roman" w:cs="Times New Roman"/>
                <w:color w:val="000000"/>
                <w:kern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994" w:type="dxa"/>
            <w:vMerge w:val="continue"/>
            <w:noWrap w:val="0"/>
            <w:vAlign w:val="center"/>
          </w:tcPr>
          <w:p>
            <w:pPr>
              <w:widowControl/>
              <w:spacing w:line="360" w:lineRule="auto"/>
              <w:jc w:val="center"/>
              <w:rPr>
                <w:rFonts w:hint="default" w:ascii="Times New Roman" w:hAnsi="Times New Roman" w:cs="Times New Roman"/>
                <w:color w:val="000000"/>
                <w:kern w:val="0"/>
                <w:sz w:val="21"/>
                <w:szCs w:val="21"/>
              </w:rPr>
            </w:pPr>
          </w:p>
        </w:tc>
        <w:tc>
          <w:tcPr>
            <w:tcW w:w="1149" w:type="dxa"/>
            <w:vMerge w:val="continue"/>
            <w:noWrap w:val="0"/>
            <w:vAlign w:val="center"/>
          </w:tcPr>
          <w:p>
            <w:pPr>
              <w:jc w:val="center"/>
              <w:rPr>
                <w:rFonts w:hint="default" w:ascii="Times New Roman" w:hAnsi="Times New Roman" w:cs="Times New Roman"/>
                <w:color w:val="000000"/>
                <w:kern w:val="0"/>
                <w:sz w:val="21"/>
                <w:szCs w:val="21"/>
              </w:rPr>
            </w:pPr>
          </w:p>
        </w:tc>
        <w:tc>
          <w:tcPr>
            <w:tcW w:w="2010" w:type="dxa"/>
            <w:noWrap w:val="0"/>
            <w:vAlign w:val="bottom"/>
          </w:tcPr>
          <w:p>
            <w:pPr>
              <w:keepNext w:val="0"/>
              <w:keepLines w:val="0"/>
              <w:widowControl/>
              <w:suppressLineNumbers w:val="0"/>
              <w:jc w:val="center"/>
              <w:textAlignment w:val="bottom"/>
              <w:rPr>
                <w:rFonts w:hint="default" w:ascii="Times New Roman" w:hAnsi="Times New Roman" w:cs="Times New Roman"/>
                <w:color w:val="000000"/>
                <w:kern w:val="0"/>
                <w:sz w:val="21"/>
                <w:szCs w:val="21"/>
              </w:rPr>
            </w:pPr>
            <w:r>
              <w:rPr>
                <w:rFonts w:hint="default" w:ascii="Times New Roman" w:hAnsi="Times New Roman" w:eastAsia="宋体" w:cs="Times New Roman"/>
                <w:i w:val="0"/>
                <w:iCs w:val="0"/>
                <w:color w:val="000000"/>
                <w:kern w:val="0"/>
                <w:sz w:val="21"/>
                <w:szCs w:val="21"/>
                <w:u w:val="none"/>
                <w:lang w:val="en-US" w:eastAsia="zh-CN" w:bidi="ar"/>
              </w:rPr>
              <w:t>其他</w:t>
            </w:r>
          </w:p>
        </w:tc>
        <w:tc>
          <w:tcPr>
            <w:tcW w:w="1436" w:type="dxa"/>
            <w:noWrap w:val="0"/>
            <w:vAlign w:val="bottom"/>
          </w:tcPr>
          <w:p>
            <w:pPr>
              <w:keepNext w:val="0"/>
              <w:keepLines w:val="0"/>
              <w:widowControl/>
              <w:suppressLineNumbers w:val="0"/>
              <w:jc w:val="center"/>
              <w:textAlignment w:val="bottom"/>
              <w:rPr>
                <w:rFonts w:hint="default" w:ascii="Times New Roman" w:hAnsi="Times New Roman" w:eastAsia="宋体" w:cs="Times New Roman"/>
                <w:color w:val="000000"/>
                <w:kern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0</w:t>
            </w:r>
          </w:p>
        </w:tc>
        <w:tc>
          <w:tcPr>
            <w:tcW w:w="1388" w:type="dxa"/>
            <w:noWrap w:val="0"/>
            <w:tcMar>
              <w:top w:w="0" w:type="dxa"/>
              <w:left w:w="108" w:type="dxa"/>
              <w:bottom w:w="0" w:type="dxa"/>
              <w:right w:w="108" w:type="dxa"/>
            </w:tcMar>
            <w:vAlign w:val="bottom"/>
          </w:tcPr>
          <w:p>
            <w:pPr>
              <w:keepNext w:val="0"/>
              <w:keepLines w:val="0"/>
              <w:widowControl/>
              <w:suppressLineNumbers w:val="0"/>
              <w:jc w:val="center"/>
              <w:textAlignment w:val="bottom"/>
              <w:rPr>
                <w:rFonts w:hint="default" w:ascii="Times New Roman" w:hAnsi="Times New Roman" w:cs="Times New Roman"/>
                <w:color w:val="000000"/>
                <w:kern w:val="0"/>
                <w:sz w:val="21"/>
                <w:szCs w:val="21"/>
              </w:rPr>
            </w:pPr>
            <w:r>
              <w:rPr>
                <w:rFonts w:hint="default" w:ascii="Times New Roman" w:hAnsi="Times New Roman" w:eastAsia="宋体" w:cs="Times New Roman"/>
                <w:i w:val="0"/>
                <w:iCs w:val="0"/>
                <w:color w:val="000000"/>
                <w:kern w:val="0"/>
                <w:sz w:val="21"/>
                <w:szCs w:val="21"/>
                <w:u w:val="none"/>
                <w:lang w:val="en-US" w:eastAsia="zh-CN" w:bidi="ar"/>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994" w:type="dxa"/>
            <w:vMerge w:val="restart"/>
            <w:noWrap w:val="0"/>
            <w:vAlign w:val="center"/>
          </w:tcPr>
          <w:p>
            <w:pPr>
              <w:widowControl/>
              <w:spacing w:line="360" w:lineRule="auto"/>
              <w:jc w:val="center"/>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rPr>
              <w:t>粉体材料科学与工程（本科）</w:t>
            </w:r>
          </w:p>
        </w:tc>
        <w:tc>
          <w:tcPr>
            <w:tcW w:w="1149" w:type="dxa"/>
            <w:vMerge w:val="restart"/>
            <w:noWrap w:val="0"/>
            <w:vAlign w:val="center"/>
          </w:tcPr>
          <w:p>
            <w:pPr>
              <w:keepNext w:val="0"/>
              <w:keepLines w:val="0"/>
              <w:widowControl/>
              <w:suppressLineNumbers w:val="0"/>
              <w:jc w:val="center"/>
              <w:textAlignment w:val="bottom"/>
              <w:rPr>
                <w:rFonts w:hint="default" w:ascii="Times New Roman" w:hAnsi="Times New Roman" w:cs="Times New Roman"/>
                <w:color w:val="000000"/>
                <w:kern w:val="0"/>
                <w:sz w:val="21"/>
                <w:szCs w:val="21"/>
                <w:lang w:val="en-US"/>
              </w:rPr>
            </w:pPr>
            <w:r>
              <w:rPr>
                <w:rFonts w:hint="eastAsia" w:ascii="Times New Roman" w:hAnsi="Times New Roman" w:eastAsia="宋体" w:cs="Times New Roman"/>
                <w:i w:val="0"/>
                <w:iCs w:val="0"/>
                <w:color w:val="000000"/>
                <w:kern w:val="0"/>
                <w:sz w:val="21"/>
                <w:szCs w:val="21"/>
                <w:u w:val="none"/>
                <w:lang w:val="en-US" w:eastAsia="zh-CN" w:bidi="ar"/>
              </w:rPr>
              <w:t>15</w:t>
            </w:r>
          </w:p>
        </w:tc>
        <w:tc>
          <w:tcPr>
            <w:tcW w:w="2010" w:type="dxa"/>
            <w:noWrap w:val="0"/>
            <w:vAlign w:val="bottom"/>
          </w:tcPr>
          <w:p>
            <w:pPr>
              <w:keepNext w:val="0"/>
              <w:keepLines w:val="0"/>
              <w:widowControl/>
              <w:suppressLineNumbers w:val="0"/>
              <w:jc w:val="center"/>
              <w:textAlignment w:val="bottom"/>
              <w:rPr>
                <w:rFonts w:hint="default" w:ascii="Times New Roman" w:hAnsi="Times New Roman" w:cs="Times New Roman"/>
                <w:color w:val="000000"/>
                <w:kern w:val="0"/>
                <w:sz w:val="21"/>
                <w:szCs w:val="21"/>
              </w:rPr>
            </w:pPr>
            <w:r>
              <w:rPr>
                <w:rFonts w:hint="default" w:ascii="Times New Roman" w:hAnsi="Times New Roman" w:eastAsia="宋体" w:cs="Times New Roman"/>
                <w:i w:val="0"/>
                <w:iCs w:val="0"/>
                <w:color w:val="000000"/>
                <w:kern w:val="0"/>
                <w:sz w:val="21"/>
                <w:szCs w:val="21"/>
                <w:u w:val="none"/>
                <w:lang w:val="en-US" w:eastAsia="zh-CN" w:bidi="ar"/>
              </w:rPr>
              <w:t>化工、制药、环境类</w:t>
            </w:r>
          </w:p>
        </w:tc>
        <w:tc>
          <w:tcPr>
            <w:tcW w:w="1436" w:type="dxa"/>
            <w:noWrap w:val="0"/>
            <w:vAlign w:val="bottom"/>
          </w:tcPr>
          <w:p>
            <w:pPr>
              <w:keepNext w:val="0"/>
              <w:keepLines w:val="0"/>
              <w:widowControl/>
              <w:suppressLineNumbers w:val="0"/>
              <w:jc w:val="center"/>
              <w:textAlignment w:val="bottom"/>
              <w:rPr>
                <w:rFonts w:hint="default" w:ascii="Times New Roman" w:hAnsi="Times New Roman" w:eastAsia="宋体" w:cs="Times New Roman"/>
                <w:color w:val="000000"/>
                <w:kern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5</w:t>
            </w:r>
          </w:p>
        </w:tc>
        <w:tc>
          <w:tcPr>
            <w:tcW w:w="1388" w:type="dxa"/>
            <w:noWrap w:val="0"/>
            <w:tcMar>
              <w:top w:w="0" w:type="dxa"/>
              <w:left w:w="108" w:type="dxa"/>
              <w:bottom w:w="0" w:type="dxa"/>
              <w:right w:w="108" w:type="dxa"/>
            </w:tcMar>
            <w:vAlign w:val="bottom"/>
          </w:tcPr>
          <w:p>
            <w:pPr>
              <w:keepNext w:val="0"/>
              <w:keepLines w:val="0"/>
              <w:widowControl/>
              <w:suppressLineNumbers w:val="0"/>
              <w:jc w:val="center"/>
              <w:textAlignment w:val="bottom"/>
              <w:rPr>
                <w:rFonts w:hint="default" w:ascii="Times New Roman" w:hAnsi="Times New Roman" w:cs="Times New Roman"/>
                <w:color w:val="000000"/>
                <w:kern w:val="0"/>
                <w:sz w:val="21"/>
                <w:szCs w:val="21"/>
              </w:rPr>
            </w:pPr>
            <w:r>
              <w:rPr>
                <w:rFonts w:hint="default" w:ascii="Times New Roman" w:hAnsi="Times New Roman" w:eastAsia="宋体" w:cs="Times New Roman"/>
                <w:i w:val="0"/>
                <w:iCs w:val="0"/>
                <w:color w:val="000000"/>
                <w:kern w:val="0"/>
                <w:sz w:val="21"/>
                <w:szCs w:val="21"/>
                <w:u w:val="none"/>
                <w:lang w:val="en-US" w:eastAsia="zh-CN" w:bidi="ar"/>
              </w:rPr>
              <w:t>33.33%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994" w:type="dxa"/>
            <w:vMerge w:val="continue"/>
            <w:noWrap w:val="0"/>
            <w:vAlign w:val="center"/>
          </w:tcPr>
          <w:p>
            <w:pPr>
              <w:widowControl/>
              <w:spacing w:line="360" w:lineRule="auto"/>
              <w:jc w:val="center"/>
              <w:rPr>
                <w:rFonts w:hint="default" w:ascii="Times New Roman" w:hAnsi="Times New Roman" w:cs="Times New Roman"/>
                <w:color w:val="000000"/>
                <w:kern w:val="0"/>
                <w:sz w:val="21"/>
                <w:szCs w:val="21"/>
              </w:rPr>
            </w:pPr>
          </w:p>
        </w:tc>
        <w:tc>
          <w:tcPr>
            <w:tcW w:w="1149" w:type="dxa"/>
            <w:vMerge w:val="continue"/>
            <w:noWrap w:val="0"/>
            <w:vAlign w:val="center"/>
          </w:tcPr>
          <w:p>
            <w:pPr>
              <w:jc w:val="center"/>
              <w:rPr>
                <w:rFonts w:hint="default" w:ascii="Times New Roman" w:hAnsi="Times New Roman" w:cs="Times New Roman"/>
                <w:color w:val="000000"/>
                <w:kern w:val="0"/>
                <w:sz w:val="21"/>
                <w:szCs w:val="21"/>
              </w:rPr>
            </w:pPr>
          </w:p>
        </w:tc>
        <w:tc>
          <w:tcPr>
            <w:tcW w:w="2010" w:type="dxa"/>
            <w:noWrap w:val="0"/>
            <w:vAlign w:val="bottom"/>
          </w:tcPr>
          <w:p>
            <w:pPr>
              <w:keepNext w:val="0"/>
              <w:keepLines w:val="0"/>
              <w:widowControl/>
              <w:suppressLineNumbers w:val="0"/>
              <w:jc w:val="center"/>
              <w:textAlignment w:val="bottom"/>
              <w:rPr>
                <w:rFonts w:hint="default" w:ascii="Times New Roman" w:hAnsi="Times New Roman" w:cs="Times New Roman"/>
                <w:color w:val="000000"/>
                <w:kern w:val="0"/>
                <w:sz w:val="21"/>
                <w:szCs w:val="21"/>
              </w:rPr>
            </w:pPr>
            <w:r>
              <w:rPr>
                <w:rFonts w:hint="default" w:ascii="Times New Roman" w:hAnsi="Times New Roman" w:eastAsia="宋体" w:cs="Times New Roman"/>
                <w:i w:val="0"/>
                <w:iCs w:val="0"/>
                <w:color w:val="000000"/>
                <w:kern w:val="0"/>
                <w:sz w:val="21"/>
                <w:szCs w:val="21"/>
                <w:u w:val="none"/>
                <w:lang w:val="en-US" w:eastAsia="zh-CN" w:bidi="ar"/>
              </w:rPr>
              <w:t>材料类</w:t>
            </w:r>
          </w:p>
        </w:tc>
        <w:tc>
          <w:tcPr>
            <w:tcW w:w="1436" w:type="dxa"/>
            <w:noWrap w:val="0"/>
            <w:vAlign w:val="bottom"/>
          </w:tcPr>
          <w:p>
            <w:pPr>
              <w:keepNext w:val="0"/>
              <w:keepLines w:val="0"/>
              <w:widowControl/>
              <w:suppressLineNumbers w:val="0"/>
              <w:jc w:val="center"/>
              <w:textAlignment w:val="bottom"/>
              <w:rPr>
                <w:rFonts w:hint="default" w:ascii="Times New Roman" w:hAnsi="Times New Roman" w:eastAsia="宋体" w:cs="Times New Roman"/>
                <w:color w:val="000000"/>
                <w:kern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7</w:t>
            </w:r>
          </w:p>
        </w:tc>
        <w:tc>
          <w:tcPr>
            <w:tcW w:w="1388" w:type="dxa"/>
            <w:noWrap w:val="0"/>
            <w:tcMar>
              <w:top w:w="0" w:type="dxa"/>
              <w:left w:w="108" w:type="dxa"/>
              <w:bottom w:w="0" w:type="dxa"/>
              <w:right w:w="108" w:type="dxa"/>
            </w:tcMar>
            <w:vAlign w:val="bottom"/>
          </w:tcPr>
          <w:p>
            <w:pPr>
              <w:keepNext w:val="0"/>
              <w:keepLines w:val="0"/>
              <w:widowControl/>
              <w:suppressLineNumbers w:val="0"/>
              <w:jc w:val="center"/>
              <w:textAlignment w:val="bottom"/>
              <w:rPr>
                <w:rFonts w:hint="default" w:ascii="Times New Roman" w:hAnsi="Times New Roman" w:cs="Times New Roman"/>
                <w:color w:val="000000"/>
                <w:kern w:val="0"/>
                <w:sz w:val="21"/>
                <w:szCs w:val="21"/>
              </w:rPr>
            </w:pPr>
            <w:r>
              <w:rPr>
                <w:rFonts w:hint="default" w:ascii="Times New Roman" w:hAnsi="Times New Roman" w:eastAsia="宋体" w:cs="Times New Roman"/>
                <w:i w:val="0"/>
                <w:iCs w:val="0"/>
                <w:color w:val="000000"/>
                <w:kern w:val="0"/>
                <w:sz w:val="21"/>
                <w:szCs w:val="21"/>
                <w:u w:val="none"/>
                <w:lang w:val="en-US" w:eastAsia="zh-CN" w:bidi="ar"/>
              </w:rPr>
              <w:t>46.67%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994" w:type="dxa"/>
            <w:vMerge w:val="continue"/>
            <w:noWrap w:val="0"/>
            <w:vAlign w:val="center"/>
          </w:tcPr>
          <w:p>
            <w:pPr>
              <w:widowControl/>
              <w:spacing w:line="360" w:lineRule="auto"/>
              <w:jc w:val="center"/>
              <w:rPr>
                <w:rFonts w:hint="default" w:ascii="Times New Roman" w:hAnsi="Times New Roman" w:cs="Times New Roman"/>
                <w:color w:val="000000"/>
                <w:kern w:val="0"/>
                <w:sz w:val="21"/>
                <w:szCs w:val="21"/>
              </w:rPr>
            </w:pPr>
          </w:p>
        </w:tc>
        <w:tc>
          <w:tcPr>
            <w:tcW w:w="1149" w:type="dxa"/>
            <w:vMerge w:val="continue"/>
            <w:noWrap w:val="0"/>
            <w:vAlign w:val="center"/>
          </w:tcPr>
          <w:p>
            <w:pPr>
              <w:jc w:val="center"/>
              <w:rPr>
                <w:rFonts w:hint="default" w:ascii="Times New Roman" w:hAnsi="Times New Roman" w:cs="Times New Roman"/>
                <w:color w:val="000000"/>
                <w:kern w:val="0"/>
                <w:sz w:val="21"/>
                <w:szCs w:val="21"/>
              </w:rPr>
            </w:pPr>
          </w:p>
        </w:tc>
        <w:tc>
          <w:tcPr>
            <w:tcW w:w="2010" w:type="dxa"/>
            <w:noWrap w:val="0"/>
            <w:vAlign w:val="bottom"/>
          </w:tcPr>
          <w:p>
            <w:pPr>
              <w:keepNext w:val="0"/>
              <w:keepLines w:val="0"/>
              <w:widowControl/>
              <w:suppressLineNumbers w:val="0"/>
              <w:jc w:val="center"/>
              <w:textAlignment w:val="bottom"/>
              <w:rPr>
                <w:rFonts w:hint="default" w:ascii="Times New Roman" w:hAnsi="Times New Roman" w:eastAsia="宋体" w:cs="Times New Roman"/>
                <w:color w:val="000000"/>
                <w:kern w:val="0"/>
                <w:sz w:val="21"/>
                <w:szCs w:val="21"/>
                <w:lang w:eastAsia="zh-CN"/>
              </w:rPr>
            </w:pPr>
            <w:r>
              <w:rPr>
                <w:rFonts w:hint="default" w:ascii="Times New Roman" w:hAnsi="Times New Roman" w:eastAsia="宋体" w:cs="Times New Roman"/>
                <w:i w:val="0"/>
                <w:iCs w:val="0"/>
                <w:color w:val="000000"/>
                <w:kern w:val="0"/>
                <w:sz w:val="21"/>
                <w:szCs w:val="21"/>
                <w:u w:val="none"/>
                <w:lang w:val="en-US" w:eastAsia="zh-CN" w:bidi="ar"/>
              </w:rPr>
              <w:t>教育类</w:t>
            </w:r>
          </w:p>
        </w:tc>
        <w:tc>
          <w:tcPr>
            <w:tcW w:w="1436" w:type="dxa"/>
            <w:noWrap w:val="0"/>
            <w:vAlign w:val="bottom"/>
          </w:tcPr>
          <w:p>
            <w:pPr>
              <w:keepNext w:val="0"/>
              <w:keepLines w:val="0"/>
              <w:widowControl/>
              <w:suppressLineNumbers w:val="0"/>
              <w:jc w:val="center"/>
              <w:textAlignment w:val="bottom"/>
              <w:rPr>
                <w:rFonts w:hint="default" w:ascii="Times New Roman" w:hAnsi="Times New Roman" w:cs="Times New Roman"/>
                <w:color w:val="000000"/>
                <w:kern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0</w:t>
            </w:r>
          </w:p>
        </w:tc>
        <w:tc>
          <w:tcPr>
            <w:tcW w:w="1388" w:type="dxa"/>
            <w:noWrap w:val="0"/>
            <w:tcMar>
              <w:top w:w="0" w:type="dxa"/>
              <w:left w:w="108" w:type="dxa"/>
              <w:bottom w:w="0" w:type="dxa"/>
              <w:right w:w="108" w:type="dxa"/>
            </w:tcMar>
            <w:vAlign w:val="bottom"/>
          </w:tcPr>
          <w:p>
            <w:pPr>
              <w:keepNext w:val="0"/>
              <w:keepLines w:val="0"/>
              <w:widowControl/>
              <w:suppressLineNumbers w:val="0"/>
              <w:jc w:val="center"/>
              <w:textAlignment w:val="bottom"/>
              <w:rPr>
                <w:rFonts w:hint="default" w:ascii="Times New Roman" w:hAnsi="Times New Roman" w:cs="Times New Roman"/>
                <w:color w:val="000000"/>
                <w:kern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994" w:type="dxa"/>
            <w:vMerge w:val="continue"/>
            <w:noWrap w:val="0"/>
            <w:vAlign w:val="center"/>
          </w:tcPr>
          <w:p>
            <w:pPr>
              <w:widowControl/>
              <w:spacing w:line="360" w:lineRule="auto"/>
              <w:jc w:val="center"/>
              <w:rPr>
                <w:rFonts w:hint="default" w:ascii="Times New Roman" w:hAnsi="Times New Roman" w:cs="Times New Roman"/>
                <w:color w:val="000000"/>
                <w:kern w:val="0"/>
                <w:sz w:val="21"/>
                <w:szCs w:val="21"/>
              </w:rPr>
            </w:pPr>
          </w:p>
        </w:tc>
        <w:tc>
          <w:tcPr>
            <w:tcW w:w="1149" w:type="dxa"/>
            <w:vMerge w:val="continue"/>
            <w:noWrap w:val="0"/>
            <w:vAlign w:val="center"/>
          </w:tcPr>
          <w:p>
            <w:pPr>
              <w:jc w:val="center"/>
              <w:rPr>
                <w:rFonts w:hint="default" w:ascii="Times New Roman" w:hAnsi="Times New Roman" w:cs="Times New Roman"/>
                <w:color w:val="000000"/>
                <w:kern w:val="0"/>
                <w:sz w:val="21"/>
                <w:szCs w:val="21"/>
              </w:rPr>
            </w:pPr>
          </w:p>
        </w:tc>
        <w:tc>
          <w:tcPr>
            <w:tcW w:w="2010" w:type="dxa"/>
            <w:noWrap w:val="0"/>
            <w:vAlign w:val="bottom"/>
          </w:tcPr>
          <w:p>
            <w:pPr>
              <w:keepNext w:val="0"/>
              <w:keepLines w:val="0"/>
              <w:widowControl/>
              <w:suppressLineNumbers w:val="0"/>
              <w:jc w:val="center"/>
              <w:textAlignment w:val="bottom"/>
              <w:rPr>
                <w:rFonts w:hint="default" w:ascii="Times New Roman" w:hAnsi="Times New Roman" w:cs="Times New Roman"/>
                <w:color w:val="000000"/>
                <w:kern w:val="0"/>
                <w:sz w:val="21"/>
                <w:szCs w:val="21"/>
              </w:rPr>
            </w:pPr>
            <w:r>
              <w:rPr>
                <w:rFonts w:hint="default" w:ascii="Times New Roman" w:hAnsi="Times New Roman" w:eastAsia="宋体" w:cs="Times New Roman"/>
                <w:i w:val="0"/>
                <w:iCs w:val="0"/>
                <w:color w:val="000000"/>
                <w:kern w:val="0"/>
                <w:sz w:val="21"/>
                <w:szCs w:val="21"/>
                <w:u w:val="none"/>
                <w:lang w:val="en-US" w:eastAsia="zh-CN" w:bidi="ar"/>
              </w:rPr>
              <w:t>其他</w:t>
            </w:r>
          </w:p>
        </w:tc>
        <w:tc>
          <w:tcPr>
            <w:tcW w:w="1436" w:type="dxa"/>
            <w:noWrap w:val="0"/>
            <w:vAlign w:val="bottom"/>
          </w:tcPr>
          <w:p>
            <w:pPr>
              <w:keepNext w:val="0"/>
              <w:keepLines w:val="0"/>
              <w:widowControl/>
              <w:suppressLineNumbers w:val="0"/>
              <w:jc w:val="center"/>
              <w:textAlignment w:val="bottom"/>
              <w:rPr>
                <w:rFonts w:hint="default" w:ascii="Times New Roman" w:hAnsi="Times New Roman" w:eastAsia="宋体" w:cs="Times New Roman"/>
                <w:color w:val="000000"/>
                <w:kern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3</w:t>
            </w:r>
          </w:p>
        </w:tc>
        <w:tc>
          <w:tcPr>
            <w:tcW w:w="1388" w:type="dxa"/>
            <w:noWrap w:val="0"/>
            <w:tcMar>
              <w:top w:w="0" w:type="dxa"/>
              <w:left w:w="108" w:type="dxa"/>
              <w:bottom w:w="0" w:type="dxa"/>
              <w:right w:w="108" w:type="dxa"/>
            </w:tcMar>
            <w:vAlign w:val="bottom"/>
          </w:tcPr>
          <w:p>
            <w:pPr>
              <w:keepNext w:val="0"/>
              <w:keepLines w:val="0"/>
              <w:widowControl/>
              <w:suppressLineNumbers w:val="0"/>
              <w:jc w:val="center"/>
              <w:textAlignment w:val="bottom"/>
              <w:rPr>
                <w:rFonts w:hint="default" w:ascii="Times New Roman" w:hAnsi="Times New Roman" w:cs="Times New Roman"/>
                <w:color w:val="000000"/>
                <w:kern w:val="0"/>
                <w:sz w:val="21"/>
                <w:szCs w:val="21"/>
                <w:lang w:val="en-US"/>
              </w:rPr>
            </w:pPr>
            <w:r>
              <w:rPr>
                <w:rFonts w:hint="default" w:ascii="Times New Roman" w:hAnsi="Times New Roman" w:eastAsia="宋体" w:cs="Times New Roman"/>
                <w:i w:val="0"/>
                <w:iCs w:val="0"/>
                <w:color w:val="000000"/>
                <w:kern w:val="0"/>
                <w:sz w:val="21"/>
                <w:szCs w:val="21"/>
                <w:u w:val="none"/>
                <w:lang w:val="en-US" w:eastAsia="zh-CN" w:bidi="ar"/>
              </w:rPr>
              <w:t>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994" w:type="dxa"/>
            <w:vMerge w:val="restart"/>
            <w:noWrap w:val="0"/>
            <w:vAlign w:val="center"/>
          </w:tcPr>
          <w:p>
            <w:pPr>
              <w:widowControl/>
              <w:spacing w:line="360" w:lineRule="auto"/>
              <w:jc w:val="center"/>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rPr>
              <w:t>能源化学工程</w:t>
            </w:r>
          </w:p>
          <w:p>
            <w:pPr>
              <w:widowControl/>
              <w:spacing w:line="360" w:lineRule="auto"/>
              <w:jc w:val="center"/>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rPr>
              <w:t>（本科）</w:t>
            </w:r>
          </w:p>
        </w:tc>
        <w:tc>
          <w:tcPr>
            <w:tcW w:w="1149" w:type="dxa"/>
            <w:vMerge w:val="restart"/>
            <w:noWrap w:val="0"/>
            <w:vAlign w:val="center"/>
          </w:tcPr>
          <w:p>
            <w:pPr>
              <w:keepNext w:val="0"/>
              <w:keepLines w:val="0"/>
              <w:widowControl/>
              <w:suppressLineNumbers w:val="0"/>
              <w:jc w:val="center"/>
              <w:textAlignment w:val="bottom"/>
              <w:rPr>
                <w:rFonts w:hint="default" w:ascii="Times New Roman" w:hAnsi="Times New Roman" w:eastAsia="宋体" w:cs="Times New Roman"/>
                <w:color w:val="000000"/>
                <w:kern w:val="0"/>
                <w:sz w:val="21"/>
                <w:szCs w:val="21"/>
                <w:lang w:val="en-US" w:eastAsia="zh-CN"/>
              </w:rPr>
            </w:pPr>
            <w:r>
              <w:rPr>
                <w:rFonts w:hint="eastAsia" w:ascii="Times New Roman" w:hAnsi="Times New Roman" w:eastAsia="宋体" w:cs="Times New Roman"/>
                <w:i w:val="0"/>
                <w:iCs w:val="0"/>
                <w:color w:val="000000"/>
                <w:kern w:val="0"/>
                <w:sz w:val="21"/>
                <w:szCs w:val="21"/>
                <w:u w:val="none"/>
                <w:lang w:val="en-US" w:eastAsia="zh-CN" w:bidi="ar"/>
              </w:rPr>
              <w:t>23</w:t>
            </w:r>
          </w:p>
        </w:tc>
        <w:tc>
          <w:tcPr>
            <w:tcW w:w="2010" w:type="dxa"/>
            <w:noWrap w:val="0"/>
            <w:vAlign w:val="bottom"/>
          </w:tcPr>
          <w:p>
            <w:pPr>
              <w:keepNext w:val="0"/>
              <w:keepLines w:val="0"/>
              <w:widowControl/>
              <w:suppressLineNumbers w:val="0"/>
              <w:jc w:val="center"/>
              <w:textAlignment w:val="bottom"/>
              <w:rPr>
                <w:rFonts w:hint="default" w:ascii="Times New Roman" w:hAnsi="Times New Roman" w:cs="Times New Roman"/>
                <w:color w:val="000000"/>
                <w:kern w:val="0"/>
                <w:sz w:val="21"/>
                <w:szCs w:val="21"/>
              </w:rPr>
            </w:pPr>
            <w:r>
              <w:rPr>
                <w:rFonts w:hint="default" w:ascii="Times New Roman" w:hAnsi="Times New Roman" w:eastAsia="宋体" w:cs="Times New Roman"/>
                <w:i w:val="0"/>
                <w:iCs w:val="0"/>
                <w:color w:val="000000"/>
                <w:kern w:val="0"/>
                <w:sz w:val="21"/>
                <w:szCs w:val="21"/>
                <w:u w:val="none"/>
                <w:lang w:val="en-US" w:eastAsia="zh-CN" w:bidi="ar"/>
              </w:rPr>
              <w:t>化工、制药、环境类</w:t>
            </w:r>
          </w:p>
        </w:tc>
        <w:tc>
          <w:tcPr>
            <w:tcW w:w="1436" w:type="dxa"/>
            <w:noWrap w:val="0"/>
            <w:vAlign w:val="bottom"/>
          </w:tcPr>
          <w:p>
            <w:pPr>
              <w:keepNext w:val="0"/>
              <w:keepLines w:val="0"/>
              <w:widowControl/>
              <w:suppressLineNumbers w:val="0"/>
              <w:jc w:val="center"/>
              <w:textAlignment w:val="bottom"/>
              <w:rPr>
                <w:rFonts w:hint="default" w:ascii="Times New Roman" w:hAnsi="Times New Roman" w:eastAsia="宋体" w:cs="Times New Roman"/>
                <w:color w:val="000000"/>
                <w:kern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11</w:t>
            </w:r>
          </w:p>
        </w:tc>
        <w:tc>
          <w:tcPr>
            <w:tcW w:w="1388" w:type="dxa"/>
            <w:noWrap w:val="0"/>
            <w:tcMar>
              <w:top w:w="0" w:type="dxa"/>
              <w:left w:w="108" w:type="dxa"/>
              <w:bottom w:w="0" w:type="dxa"/>
              <w:right w:w="108" w:type="dxa"/>
            </w:tcMar>
            <w:vAlign w:val="bottom"/>
          </w:tcPr>
          <w:p>
            <w:pPr>
              <w:keepNext w:val="0"/>
              <w:keepLines w:val="0"/>
              <w:widowControl/>
              <w:suppressLineNumbers w:val="0"/>
              <w:jc w:val="center"/>
              <w:textAlignment w:val="bottom"/>
              <w:rPr>
                <w:rFonts w:hint="default" w:ascii="Times New Roman" w:hAnsi="Times New Roman" w:cs="Times New Roman"/>
                <w:color w:val="000000"/>
                <w:kern w:val="0"/>
                <w:sz w:val="21"/>
                <w:szCs w:val="21"/>
              </w:rPr>
            </w:pPr>
            <w:r>
              <w:rPr>
                <w:rFonts w:hint="default" w:ascii="Times New Roman" w:hAnsi="Times New Roman" w:eastAsia="宋体" w:cs="Times New Roman"/>
                <w:i w:val="0"/>
                <w:iCs w:val="0"/>
                <w:color w:val="000000"/>
                <w:kern w:val="0"/>
                <w:sz w:val="21"/>
                <w:szCs w:val="21"/>
                <w:u w:val="none"/>
                <w:lang w:val="en-US" w:eastAsia="zh-CN" w:bidi="ar"/>
              </w:rPr>
              <w:t>47.83%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994" w:type="dxa"/>
            <w:vMerge w:val="continue"/>
            <w:noWrap w:val="0"/>
            <w:vAlign w:val="center"/>
          </w:tcPr>
          <w:p>
            <w:pPr>
              <w:widowControl/>
              <w:spacing w:line="360" w:lineRule="auto"/>
              <w:jc w:val="center"/>
              <w:rPr>
                <w:rFonts w:hint="default" w:ascii="Times New Roman" w:hAnsi="Times New Roman" w:cs="Times New Roman"/>
                <w:color w:val="000000"/>
                <w:kern w:val="0"/>
                <w:sz w:val="21"/>
                <w:szCs w:val="21"/>
              </w:rPr>
            </w:pPr>
          </w:p>
        </w:tc>
        <w:tc>
          <w:tcPr>
            <w:tcW w:w="1149" w:type="dxa"/>
            <w:vMerge w:val="continue"/>
            <w:noWrap w:val="0"/>
            <w:vAlign w:val="bottom"/>
          </w:tcPr>
          <w:p>
            <w:pPr>
              <w:jc w:val="center"/>
              <w:rPr>
                <w:rFonts w:hint="default" w:ascii="Times New Roman" w:hAnsi="Times New Roman" w:cs="Times New Roman"/>
                <w:color w:val="000000"/>
                <w:kern w:val="0"/>
                <w:sz w:val="21"/>
                <w:szCs w:val="21"/>
              </w:rPr>
            </w:pPr>
          </w:p>
        </w:tc>
        <w:tc>
          <w:tcPr>
            <w:tcW w:w="2010" w:type="dxa"/>
            <w:noWrap w:val="0"/>
            <w:vAlign w:val="bottom"/>
          </w:tcPr>
          <w:p>
            <w:pPr>
              <w:keepNext w:val="0"/>
              <w:keepLines w:val="0"/>
              <w:widowControl/>
              <w:suppressLineNumbers w:val="0"/>
              <w:jc w:val="center"/>
              <w:textAlignment w:val="bottom"/>
              <w:rPr>
                <w:rFonts w:hint="default" w:ascii="Times New Roman" w:hAnsi="Times New Roman" w:cs="Times New Roman"/>
                <w:color w:val="000000"/>
                <w:kern w:val="0"/>
                <w:sz w:val="21"/>
                <w:szCs w:val="21"/>
              </w:rPr>
            </w:pPr>
            <w:r>
              <w:rPr>
                <w:rFonts w:hint="default" w:ascii="Times New Roman" w:hAnsi="Times New Roman" w:eastAsia="宋体" w:cs="Times New Roman"/>
                <w:i w:val="0"/>
                <w:iCs w:val="0"/>
                <w:color w:val="000000"/>
                <w:kern w:val="0"/>
                <w:sz w:val="21"/>
                <w:szCs w:val="21"/>
                <w:u w:val="none"/>
                <w:lang w:val="en-US" w:eastAsia="zh-CN" w:bidi="ar"/>
              </w:rPr>
              <w:t>材料类</w:t>
            </w:r>
          </w:p>
        </w:tc>
        <w:tc>
          <w:tcPr>
            <w:tcW w:w="1436" w:type="dxa"/>
            <w:noWrap w:val="0"/>
            <w:vAlign w:val="bottom"/>
          </w:tcPr>
          <w:p>
            <w:pPr>
              <w:keepNext w:val="0"/>
              <w:keepLines w:val="0"/>
              <w:widowControl/>
              <w:suppressLineNumbers w:val="0"/>
              <w:jc w:val="center"/>
              <w:textAlignment w:val="bottom"/>
              <w:rPr>
                <w:rFonts w:hint="default" w:ascii="Times New Roman" w:hAnsi="Times New Roman" w:eastAsia="宋体" w:cs="Times New Roman"/>
                <w:color w:val="000000"/>
                <w:kern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8</w:t>
            </w:r>
          </w:p>
        </w:tc>
        <w:tc>
          <w:tcPr>
            <w:tcW w:w="1388" w:type="dxa"/>
            <w:noWrap w:val="0"/>
            <w:tcMar>
              <w:top w:w="0" w:type="dxa"/>
              <w:left w:w="108" w:type="dxa"/>
              <w:bottom w:w="0" w:type="dxa"/>
              <w:right w:w="108" w:type="dxa"/>
            </w:tcMar>
            <w:vAlign w:val="bottom"/>
          </w:tcPr>
          <w:p>
            <w:pPr>
              <w:keepNext w:val="0"/>
              <w:keepLines w:val="0"/>
              <w:widowControl/>
              <w:suppressLineNumbers w:val="0"/>
              <w:jc w:val="center"/>
              <w:textAlignment w:val="bottom"/>
              <w:rPr>
                <w:rFonts w:hint="default" w:ascii="Times New Roman" w:hAnsi="Times New Roman" w:cs="Times New Roman"/>
                <w:color w:val="000000"/>
                <w:kern w:val="0"/>
                <w:sz w:val="21"/>
                <w:szCs w:val="21"/>
              </w:rPr>
            </w:pPr>
            <w:r>
              <w:rPr>
                <w:rFonts w:hint="default" w:ascii="Times New Roman" w:hAnsi="Times New Roman" w:eastAsia="宋体" w:cs="Times New Roman"/>
                <w:i w:val="0"/>
                <w:iCs w:val="0"/>
                <w:color w:val="000000"/>
                <w:kern w:val="0"/>
                <w:sz w:val="21"/>
                <w:szCs w:val="21"/>
                <w:u w:val="none"/>
                <w:lang w:val="en-US" w:eastAsia="zh-CN" w:bidi="ar"/>
              </w:rPr>
              <w:t>34.78%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994" w:type="dxa"/>
            <w:vMerge w:val="continue"/>
            <w:noWrap w:val="0"/>
            <w:vAlign w:val="center"/>
          </w:tcPr>
          <w:p>
            <w:pPr>
              <w:widowControl/>
              <w:spacing w:line="360" w:lineRule="auto"/>
              <w:jc w:val="center"/>
              <w:rPr>
                <w:rFonts w:hint="default" w:ascii="Times New Roman" w:hAnsi="Times New Roman" w:cs="Times New Roman"/>
                <w:color w:val="000000"/>
                <w:kern w:val="0"/>
                <w:sz w:val="21"/>
                <w:szCs w:val="21"/>
              </w:rPr>
            </w:pPr>
          </w:p>
        </w:tc>
        <w:tc>
          <w:tcPr>
            <w:tcW w:w="1149" w:type="dxa"/>
            <w:vMerge w:val="continue"/>
            <w:noWrap w:val="0"/>
            <w:vAlign w:val="bottom"/>
          </w:tcPr>
          <w:p>
            <w:pPr>
              <w:jc w:val="center"/>
              <w:rPr>
                <w:rFonts w:hint="default" w:ascii="Times New Roman" w:hAnsi="Times New Roman" w:cs="Times New Roman"/>
                <w:color w:val="000000"/>
                <w:kern w:val="0"/>
                <w:sz w:val="21"/>
                <w:szCs w:val="21"/>
              </w:rPr>
            </w:pPr>
          </w:p>
        </w:tc>
        <w:tc>
          <w:tcPr>
            <w:tcW w:w="2010" w:type="dxa"/>
            <w:noWrap w:val="0"/>
            <w:vAlign w:val="bottom"/>
          </w:tcPr>
          <w:p>
            <w:pPr>
              <w:keepNext w:val="0"/>
              <w:keepLines w:val="0"/>
              <w:widowControl/>
              <w:suppressLineNumbers w:val="0"/>
              <w:jc w:val="center"/>
              <w:textAlignment w:val="bottom"/>
              <w:rPr>
                <w:rFonts w:hint="default" w:ascii="Times New Roman" w:hAnsi="Times New Roman" w:eastAsia="宋体" w:cs="Times New Roman"/>
                <w:color w:val="000000"/>
                <w:kern w:val="0"/>
                <w:sz w:val="21"/>
                <w:szCs w:val="21"/>
                <w:lang w:eastAsia="zh-CN"/>
              </w:rPr>
            </w:pPr>
            <w:r>
              <w:rPr>
                <w:rFonts w:hint="default" w:ascii="Times New Roman" w:hAnsi="Times New Roman" w:eastAsia="宋体" w:cs="Times New Roman"/>
                <w:i w:val="0"/>
                <w:iCs w:val="0"/>
                <w:color w:val="000000"/>
                <w:kern w:val="0"/>
                <w:sz w:val="21"/>
                <w:szCs w:val="21"/>
                <w:u w:val="none"/>
                <w:lang w:val="en-US" w:eastAsia="zh-CN" w:bidi="ar"/>
              </w:rPr>
              <w:t>教育类</w:t>
            </w:r>
          </w:p>
        </w:tc>
        <w:tc>
          <w:tcPr>
            <w:tcW w:w="1436" w:type="dxa"/>
            <w:noWrap w:val="0"/>
            <w:vAlign w:val="bottom"/>
          </w:tcPr>
          <w:p>
            <w:pPr>
              <w:keepNext w:val="0"/>
              <w:keepLines w:val="0"/>
              <w:widowControl/>
              <w:suppressLineNumbers w:val="0"/>
              <w:jc w:val="center"/>
              <w:textAlignment w:val="bottom"/>
              <w:rPr>
                <w:rFonts w:hint="default" w:ascii="Times New Roman" w:hAnsi="Times New Roman" w:cs="Times New Roman"/>
                <w:color w:val="000000"/>
                <w:kern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0</w:t>
            </w:r>
          </w:p>
        </w:tc>
        <w:tc>
          <w:tcPr>
            <w:tcW w:w="1388" w:type="dxa"/>
            <w:noWrap w:val="0"/>
            <w:tcMar>
              <w:top w:w="0" w:type="dxa"/>
              <w:left w:w="108" w:type="dxa"/>
              <w:bottom w:w="0" w:type="dxa"/>
              <w:right w:w="108" w:type="dxa"/>
            </w:tcMar>
            <w:vAlign w:val="bottom"/>
          </w:tcPr>
          <w:p>
            <w:pPr>
              <w:keepNext w:val="0"/>
              <w:keepLines w:val="0"/>
              <w:widowControl/>
              <w:suppressLineNumbers w:val="0"/>
              <w:jc w:val="center"/>
              <w:textAlignment w:val="bottom"/>
              <w:rPr>
                <w:rFonts w:hint="default" w:ascii="Times New Roman" w:hAnsi="Times New Roman" w:cs="Times New Roman"/>
                <w:color w:val="000000"/>
                <w:kern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994" w:type="dxa"/>
            <w:vMerge w:val="continue"/>
            <w:noWrap w:val="0"/>
            <w:vAlign w:val="center"/>
          </w:tcPr>
          <w:p>
            <w:pPr>
              <w:widowControl/>
              <w:spacing w:line="360" w:lineRule="auto"/>
              <w:jc w:val="center"/>
              <w:rPr>
                <w:rFonts w:hint="default" w:ascii="Times New Roman" w:hAnsi="Times New Roman" w:cs="Times New Roman"/>
                <w:color w:val="000000"/>
                <w:kern w:val="0"/>
                <w:sz w:val="21"/>
                <w:szCs w:val="21"/>
              </w:rPr>
            </w:pPr>
          </w:p>
        </w:tc>
        <w:tc>
          <w:tcPr>
            <w:tcW w:w="1149" w:type="dxa"/>
            <w:vMerge w:val="continue"/>
            <w:noWrap w:val="0"/>
            <w:vAlign w:val="bottom"/>
          </w:tcPr>
          <w:p>
            <w:pPr>
              <w:jc w:val="center"/>
              <w:rPr>
                <w:rFonts w:hint="default" w:ascii="Times New Roman" w:hAnsi="Times New Roman" w:cs="Times New Roman"/>
                <w:color w:val="000000"/>
                <w:kern w:val="0"/>
                <w:sz w:val="21"/>
                <w:szCs w:val="21"/>
              </w:rPr>
            </w:pPr>
          </w:p>
        </w:tc>
        <w:tc>
          <w:tcPr>
            <w:tcW w:w="2010" w:type="dxa"/>
            <w:noWrap w:val="0"/>
            <w:vAlign w:val="bottom"/>
          </w:tcPr>
          <w:p>
            <w:pPr>
              <w:keepNext w:val="0"/>
              <w:keepLines w:val="0"/>
              <w:widowControl/>
              <w:suppressLineNumbers w:val="0"/>
              <w:jc w:val="center"/>
              <w:textAlignment w:val="bottom"/>
              <w:rPr>
                <w:rFonts w:hint="default" w:ascii="Times New Roman" w:hAnsi="Times New Roman" w:cs="Times New Roman"/>
                <w:color w:val="000000"/>
                <w:kern w:val="0"/>
                <w:sz w:val="21"/>
                <w:szCs w:val="21"/>
              </w:rPr>
            </w:pPr>
            <w:r>
              <w:rPr>
                <w:rFonts w:hint="default" w:ascii="Times New Roman" w:hAnsi="Times New Roman" w:eastAsia="宋体" w:cs="Times New Roman"/>
                <w:i w:val="0"/>
                <w:iCs w:val="0"/>
                <w:color w:val="000000"/>
                <w:kern w:val="0"/>
                <w:sz w:val="21"/>
                <w:szCs w:val="21"/>
                <w:u w:val="none"/>
                <w:lang w:val="en-US" w:eastAsia="zh-CN" w:bidi="ar"/>
              </w:rPr>
              <w:t>其他</w:t>
            </w:r>
          </w:p>
        </w:tc>
        <w:tc>
          <w:tcPr>
            <w:tcW w:w="1436" w:type="dxa"/>
            <w:noWrap w:val="0"/>
            <w:vAlign w:val="bottom"/>
          </w:tcPr>
          <w:p>
            <w:pPr>
              <w:keepNext w:val="0"/>
              <w:keepLines w:val="0"/>
              <w:widowControl/>
              <w:suppressLineNumbers w:val="0"/>
              <w:jc w:val="center"/>
              <w:textAlignment w:val="bottom"/>
              <w:rPr>
                <w:rFonts w:hint="default" w:ascii="Times New Roman" w:hAnsi="Times New Roman" w:eastAsia="宋体" w:cs="Times New Roman"/>
                <w:color w:val="000000"/>
                <w:kern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4</w:t>
            </w:r>
          </w:p>
        </w:tc>
        <w:tc>
          <w:tcPr>
            <w:tcW w:w="1388" w:type="dxa"/>
            <w:noWrap w:val="0"/>
            <w:tcMar>
              <w:top w:w="0" w:type="dxa"/>
              <w:left w:w="108" w:type="dxa"/>
              <w:bottom w:w="0" w:type="dxa"/>
              <w:right w:w="108" w:type="dxa"/>
            </w:tcMar>
            <w:vAlign w:val="bottom"/>
          </w:tcPr>
          <w:p>
            <w:pPr>
              <w:keepNext w:val="0"/>
              <w:keepLines w:val="0"/>
              <w:widowControl/>
              <w:suppressLineNumbers w:val="0"/>
              <w:jc w:val="center"/>
              <w:textAlignment w:val="bottom"/>
              <w:rPr>
                <w:rFonts w:hint="default" w:ascii="Times New Roman" w:hAnsi="Times New Roman" w:cs="Times New Roman"/>
                <w:color w:val="000000"/>
                <w:kern w:val="0"/>
                <w:sz w:val="21"/>
                <w:szCs w:val="21"/>
              </w:rPr>
            </w:pPr>
            <w:r>
              <w:rPr>
                <w:rFonts w:hint="default" w:ascii="Times New Roman" w:hAnsi="Times New Roman" w:eastAsia="宋体" w:cs="Times New Roman"/>
                <w:i w:val="0"/>
                <w:iCs w:val="0"/>
                <w:color w:val="000000"/>
                <w:kern w:val="0"/>
                <w:sz w:val="21"/>
                <w:szCs w:val="21"/>
                <w:u w:val="none"/>
                <w:lang w:val="en-US" w:eastAsia="zh-CN" w:bidi="ar"/>
              </w:rPr>
              <w:t>17.39%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994" w:type="dxa"/>
            <w:vMerge w:val="restart"/>
            <w:noWrap w:val="0"/>
            <w:vAlign w:val="center"/>
          </w:tcPr>
          <w:p>
            <w:pPr>
              <w:widowControl/>
              <w:spacing w:line="360" w:lineRule="auto"/>
              <w:jc w:val="center"/>
              <w:rPr>
                <w:rFonts w:hint="eastAsia"/>
                <w:lang w:val="en-US" w:eastAsia="zh-CN"/>
              </w:rPr>
            </w:pPr>
            <w:r>
              <w:rPr>
                <w:rFonts w:hint="eastAsia"/>
                <w:lang w:val="en-US" w:eastAsia="zh-CN"/>
              </w:rPr>
              <w:t>材料科学与工程</w:t>
            </w:r>
          </w:p>
          <w:p>
            <w:pPr>
              <w:pStyle w:val="4"/>
              <w:jc w:val="center"/>
              <w:rPr>
                <w:rFonts w:hint="default"/>
                <w:lang w:val="en-US" w:eastAsia="zh-CN"/>
              </w:rPr>
            </w:pPr>
            <w:r>
              <w:rPr>
                <w:rFonts w:hint="eastAsia" w:ascii="Times New Roman" w:hAnsi="Times New Roman" w:cs="Times New Roman"/>
                <w:color w:val="000000"/>
                <w:kern w:val="0"/>
                <w:sz w:val="21"/>
                <w:szCs w:val="21"/>
                <w:lang w:val="en-US" w:eastAsia="zh-CN"/>
              </w:rPr>
              <w:t>（</w:t>
            </w:r>
            <w:r>
              <w:rPr>
                <w:rFonts w:hint="eastAsia" w:ascii="宋体" w:hAnsi="宋体" w:eastAsia="宋体" w:cs="宋体"/>
                <w:color w:val="000000"/>
                <w:kern w:val="0"/>
                <w:sz w:val="21"/>
                <w:szCs w:val="21"/>
                <w:lang w:val="en-US" w:eastAsia="zh-CN"/>
              </w:rPr>
              <w:t>研究生</w:t>
            </w:r>
            <w:r>
              <w:rPr>
                <w:rFonts w:hint="eastAsia" w:ascii="Times New Roman" w:hAnsi="Times New Roman" w:cs="Times New Roman"/>
                <w:color w:val="000000"/>
                <w:kern w:val="0"/>
                <w:sz w:val="21"/>
                <w:szCs w:val="21"/>
                <w:lang w:val="en-US" w:eastAsia="zh-CN"/>
              </w:rPr>
              <w:t>）</w:t>
            </w:r>
          </w:p>
        </w:tc>
        <w:tc>
          <w:tcPr>
            <w:tcW w:w="1149" w:type="dxa"/>
            <w:vMerge w:val="restart"/>
            <w:noWrap w:val="0"/>
            <w:vAlign w:val="center"/>
          </w:tcPr>
          <w:p>
            <w:pPr>
              <w:jc w:val="center"/>
              <w:rPr>
                <w:rFonts w:hint="default" w:ascii="Times New Roman" w:hAnsi="Times New Roman" w:eastAsia="宋体" w:cs="Times New Roman"/>
                <w:color w:val="000000"/>
                <w:kern w:val="0"/>
                <w:sz w:val="21"/>
                <w:szCs w:val="21"/>
                <w:lang w:val="en-US" w:eastAsia="zh-CN"/>
              </w:rPr>
            </w:pPr>
            <w:r>
              <w:rPr>
                <w:rFonts w:hint="eastAsia" w:ascii="Times New Roman" w:hAnsi="Times New Roman" w:cs="Times New Roman"/>
                <w:color w:val="000000"/>
                <w:kern w:val="0"/>
                <w:sz w:val="21"/>
                <w:szCs w:val="21"/>
                <w:lang w:val="en-US" w:eastAsia="zh-CN"/>
              </w:rPr>
              <w:t>35</w:t>
            </w:r>
          </w:p>
        </w:tc>
        <w:tc>
          <w:tcPr>
            <w:tcW w:w="2010" w:type="dxa"/>
            <w:noWrap w:val="0"/>
            <w:vAlign w:val="bottom"/>
          </w:tcPr>
          <w:p>
            <w:pPr>
              <w:keepNext w:val="0"/>
              <w:keepLines w:val="0"/>
              <w:widowControl/>
              <w:suppressLineNumbers w:val="0"/>
              <w:jc w:val="center"/>
              <w:textAlignment w:val="bottom"/>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化工、制药、环境类</w:t>
            </w:r>
          </w:p>
        </w:tc>
        <w:tc>
          <w:tcPr>
            <w:tcW w:w="1436" w:type="dxa"/>
            <w:noWrap w:val="0"/>
            <w:vAlign w:val="bottom"/>
          </w:tcPr>
          <w:p>
            <w:pPr>
              <w:keepNext w:val="0"/>
              <w:keepLines w:val="0"/>
              <w:widowControl/>
              <w:suppressLineNumbers w:val="0"/>
              <w:jc w:val="center"/>
              <w:textAlignment w:val="bottom"/>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1388" w:type="dxa"/>
            <w:noWrap w:val="0"/>
            <w:tcMar>
              <w:top w:w="0" w:type="dxa"/>
              <w:left w:w="108" w:type="dxa"/>
              <w:bottom w:w="0" w:type="dxa"/>
              <w:right w:w="108" w:type="dxa"/>
            </w:tcMar>
            <w:vAlign w:val="bottom"/>
          </w:tcPr>
          <w:p>
            <w:pPr>
              <w:keepNext w:val="0"/>
              <w:keepLines w:val="0"/>
              <w:widowControl/>
              <w:suppressLineNumbers w:val="0"/>
              <w:jc w:val="center"/>
              <w:textAlignment w:val="bottom"/>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994" w:type="dxa"/>
            <w:vMerge w:val="continue"/>
            <w:noWrap w:val="0"/>
            <w:vAlign w:val="center"/>
          </w:tcPr>
          <w:p>
            <w:pPr>
              <w:widowControl/>
              <w:spacing w:line="360" w:lineRule="auto"/>
              <w:jc w:val="center"/>
              <w:rPr>
                <w:rFonts w:hint="default" w:ascii="Times New Roman" w:hAnsi="Times New Roman" w:cs="Times New Roman"/>
                <w:color w:val="000000"/>
                <w:kern w:val="0"/>
                <w:sz w:val="21"/>
                <w:szCs w:val="21"/>
              </w:rPr>
            </w:pPr>
          </w:p>
        </w:tc>
        <w:tc>
          <w:tcPr>
            <w:tcW w:w="1149" w:type="dxa"/>
            <w:vMerge w:val="continue"/>
            <w:noWrap w:val="0"/>
            <w:vAlign w:val="bottom"/>
          </w:tcPr>
          <w:p>
            <w:pPr>
              <w:jc w:val="center"/>
              <w:rPr>
                <w:rFonts w:hint="default" w:ascii="Times New Roman" w:hAnsi="Times New Roman" w:cs="Times New Roman"/>
                <w:color w:val="000000"/>
                <w:kern w:val="0"/>
                <w:sz w:val="21"/>
                <w:szCs w:val="21"/>
              </w:rPr>
            </w:pPr>
          </w:p>
        </w:tc>
        <w:tc>
          <w:tcPr>
            <w:tcW w:w="2010" w:type="dxa"/>
            <w:noWrap w:val="0"/>
            <w:vAlign w:val="bottom"/>
          </w:tcPr>
          <w:p>
            <w:pPr>
              <w:keepNext w:val="0"/>
              <w:keepLines w:val="0"/>
              <w:widowControl/>
              <w:suppressLineNumbers w:val="0"/>
              <w:jc w:val="center"/>
              <w:textAlignment w:val="bottom"/>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材料类</w:t>
            </w:r>
          </w:p>
        </w:tc>
        <w:tc>
          <w:tcPr>
            <w:tcW w:w="1436" w:type="dxa"/>
            <w:noWrap w:val="0"/>
            <w:vAlign w:val="bottom"/>
          </w:tcPr>
          <w:p>
            <w:pPr>
              <w:keepNext w:val="0"/>
              <w:keepLines w:val="0"/>
              <w:widowControl/>
              <w:suppressLineNumbers w:val="0"/>
              <w:jc w:val="center"/>
              <w:textAlignment w:val="bottom"/>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31</w:t>
            </w:r>
          </w:p>
        </w:tc>
        <w:tc>
          <w:tcPr>
            <w:tcW w:w="1388" w:type="dxa"/>
            <w:noWrap w:val="0"/>
            <w:tcMar>
              <w:top w:w="0" w:type="dxa"/>
              <w:left w:w="108" w:type="dxa"/>
              <w:bottom w:w="0" w:type="dxa"/>
              <w:right w:w="108" w:type="dxa"/>
            </w:tcMar>
            <w:vAlign w:val="bottom"/>
          </w:tcPr>
          <w:p>
            <w:pPr>
              <w:keepNext w:val="0"/>
              <w:keepLines w:val="0"/>
              <w:widowControl/>
              <w:suppressLineNumbers w:val="0"/>
              <w:jc w:val="center"/>
              <w:textAlignment w:val="bottom"/>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88.57%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994" w:type="dxa"/>
            <w:vMerge w:val="continue"/>
            <w:noWrap w:val="0"/>
            <w:vAlign w:val="center"/>
          </w:tcPr>
          <w:p>
            <w:pPr>
              <w:widowControl/>
              <w:spacing w:line="360" w:lineRule="auto"/>
              <w:jc w:val="center"/>
              <w:rPr>
                <w:rFonts w:hint="default" w:ascii="Times New Roman" w:hAnsi="Times New Roman" w:cs="Times New Roman"/>
                <w:color w:val="000000"/>
                <w:kern w:val="0"/>
                <w:sz w:val="21"/>
                <w:szCs w:val="21"/>
              </w:rPr>
            </w:pPr>
          </w:p>
        </w:tc>
        <w:tc>
          <w:tcPr>
            <w:tcW w:w="1149" w:type="dxa"/>
            <w:vMerge w:val="continue"/>
            <w:noWrap w:val="0"/>
            <w:vAlign w:val="bottom"/>
          </w:tcPr>
          <w:p>
            <w:pPr>
              <w:jc w:val="center"/>
              <w:rPr>
                <w:rFonts w:hint="default" w:ascii="Times New Roman" w:hAnsi="Times New Roman" w:cs="Times New Roman"/>
                <w:color w:val="000000"/>
                <w:kern w:val="0"/>
                <w:sz w:val="21"/>
                <w:szCs w:val="21"/>
              </w:rPr>
            </w:pPr>
          </w:p>
        </w:tc>
        <w:tc>
          <w:tcPr>
            <w:tcW w:w="2010" w:type="dxa"/>
            <w:noWrap w:val="0"/>
            <w:vAlign w:val="bottom"/>
          </w:tcPr>
          <w:p>
            <w:pPr>
              <w:keepNext w:val="0"/>
              <w:keepLines w:val="0"/>
              <w:widowControl/>
              <w:suppressLineNumbers w:val="0"/>
              <w:jc w:val="center"/>
              <w:textAlignment w:val="bottom"/>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教育类</w:t>
            </w:r>
          </w:p>
        </w:tc>
        <w:tc>
          <w:tcPr>
            <w:tcW w:w="1436" w:type="dxa"/>
            <w:noWrap w:val="0"/>
            <w:vAlign w:val="bottom"/>
          </w:tcPr>
          <w:p>
            <w:pPr>
              <w:keepNext w:val="0"/>
              <w:keepLines w:val="0"/>
              <w:widowControl/>
              <w:suppressLineNumbers w:val="0"/>
              <w:jc w:val="center"/>
              <w:textAlignment w:val="bottom"/>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w:t>
            </w:r>
          </w:p>
        </w:tc>
        <w:tc>
          <w:tcPr>
            <w:tcW w:w="1388" w:type="dxa"/>
            <w:noWrap w:val="0"/>
            <w:tcMar>
              <w:top w:w="0" w:type="dxa"/>
              <w:left w:w="108" w:type="dxa"/>
              <w:bottom w:w="0" w:type="dxa"/>
              <w:right w:w="108" w:type="dxa"/>
            </w:tcMar>
            <w:vAlign w:val="bottom"/>
          </w:tcPr>
          <w:p>
            <w:pPr>
              <w:keepNext w:val="0"/>
              <w:keepLines w:val="0"/>
              <w:widowControl/>
              <w:suppressLineNumbers w:val="0"/>
              <w:jc w:val="center"/>
              <w:textAlignment w:val="bottom"/>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5.71%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994" w:type="dxa"/>
            <w:vMerge w:val="continue"/>
            <w:noWrap w:val="0"/>
            <w:vAlign w:val="center"/>
          </w:tcPr>
          <w:p>
            <w:pPr>
              <w:widowControl/>
              <w:spacing w:line="360" w:lineRule="auto"/>
              <w:jc w:val="center"/>
              <w:rPr>
                <w:rFonts w:hint="default" w:ascii="Times New Roman" w:hAnsi="Times New Roman" w:cs="Times New Roman"/>
                <w:color w:val="000000"/>
                <w:kern w:val="0"/>
                <w:sz w:val="21"/>
                <w:szCs w:val="21"/>
              </w:rPr>
            </w:pPr>
          </w:p>
        </w:tc>
        <w:tc>
          <w:tcPr>
            <w:tcW w:w="1149" w:type="dxa"/>
            <w:vMerge w:val="continue"/>
            <w:noWrap w:val="0"/>
            <w:vAlign w:val="bottom"/>
          </w:tcPr>
          <w:p>
            <w:pPr>
              <w:jc w:val="center"/>
              <w:rPr>
                <w:rFonts w:hint="default" w:ascii="Times New Roman" w:hAnsi="Times New Roman" w:cs="Times New Roman"/>
                <w:color w:val="000000"/>
                <w:kern w:val="0"/>
                <w:sz w:val="21"/>
                <w:szCs w:val="21"/>
              </w:rPr>
            </w:pPr>
          </w:p>
        </w:tc>
        <w:tc>
          <w:tcPr>
            <w:tcW w:w="2010" w:type="dxa"/>
            <w:noWrap w:val="0"/>
            <w:vAlign w:val="bottom"/>
          </w:tcPr>
          <w:p>
            <w:pPr>
              <w:keepNext w:val="0"/>
              <w:keepLines w:val="0"/>
              <w:widowControl/>
              <w:suppressLineNumbers w:val="0"/>
              <w:jc w:val="center"/>
              <w:textAlignment w:val="bottom"/>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其他</w:t>
            </w:r>
          </w:p>
        </w:tc>
        <w:tc>
          <w:tcPr>
            <w:tcW w:w="1436" w:type="dxa"/>
            <w:noWrap w:val="0"/>
            <w:vAlign w:val="bottom"/>
          </w:tcPr>
          <w:p>
            <w:pPr>
              <w:keepNext w:val="0"/>
              <w:keepLines w:val="0"/>
              <w:widowControl/>
              <w:suppressLineNumbers w:val="0"/>
              <w:jc w:val="center"/>
              <w:textAlignment w:val="bottom"/>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1388" w:type="dxa"/>
            <w:noWrap w:val="0"/>
            <w:tcMar>
              <w:top w:w="0" w:type="dxa"/>
              <w:left w:w="108" w:type="dxa"/>
              <w:bottom w:w="0" w:type="dxa"/>
              <w:right w:w="108" w:type="dxa"/>
            </w:tcMar>
            <w:vAlign w:val="bottom"/>
          </w:tcPr>
          <w:p>
            <w:pPr>
              <w:keepNext w:val="0"/>
              <w:keepLines w:val="0"/>
              <w:widowControl/>
              <w:suppressLineNumbers w:val="0"/>
              <w:jc w:val="center"/>
              <w:textAlignment w:val="bottom"/>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2.86%</w:t>
            </w:r>
          </w:p>
        </w:tc>
      </w:tr>
    </w:tbl>
    <w:p>
      <w:pPr>
        <w:spacing w:line="360" w:lineRule="auto"/>
        <w:rPr>
          <w:rFonts w:hint="default" w:ascii="Times New Roman" w:hAnsi="Times New Roman" w:eastAsia="楷体_GB2312" w:cs="Times New Roman"/>
          <w:color w:val="000000"/>
          <w:sz w:val="24"/>
        </w:rPr>
      </w:pPr>
      <w:r>
        <w:rPr>
          <w:rFonts w:hint="default" w:ascii="Times New Roman" w:hAnsi="Times New Roman" w:eastAsia="楷体_GB2312" w:cs="Times New Roman"/>
          <w:color w:val="000000"/>
          <w:sz w:val="24"/>
        </w:rPr>
        <w:t>备注：</w:t>
      </w:r>
      <w:r>
        <w:rPr>
          <w:rFonts w:hint="default" w:ascii="Times New Roman" w:hAnsi="Times New Roman" w:eastAsia="楷体_GB2312" w:cs="Times New Roman"/>
          <w:color w:val="000000"/>
          <w:sz w:val="24"/>
          <w:lang w:eastAsia="zh-CN"/>
        </w:rPr>
        <w:t>就业人数</w:t>
      </w:r>
      <w:r>
        <w:rPr>
          <w:rFonts w:hint="default" w:ascii="Times New Roman" w:hAnsi="Times New Roman" w:eastAsia="楷体_GB2312" w:cs="Times New Roman"/>
          <w:color w:val="000000"/>
          <w:sz w:val="24"/>
          <w:lang w:val="en-US" w:eastAsia="zh-CN"/>
        </w:rPr>
        <w:t>=专业总人数</w:t>
      </w:r>
      <w:r>
        <w:rPr>
          <w:rFonts w:hint="eastAsia" w:ascii="Times New Roman" w:hAnsi="Times New Roman" w:eastAsia="楷体_GB2312" w:cs="Times New Roman"/>
          <w:color w:val="000000"/>
          <w:sz w:val="24"/>
          <w:lang w:val="en-US" w:eastAsia="zh-CN"/>
        </w:rPr>
        <w:t>－</w:t>
      </w:r>
      <w:r>
        <w:rPr>
          <w:rFonts w:hint="default" w:ascii="Times New Roman" w:hAnsi="Times New Roman" w:eastAsia="楷体_GB2312" w:cs="Times New Roman"/>
          <w:color w:val="000000"/>
          <w:sz w:val="24"/>
          <w:lang w:val="en-US" w:eastAsia="zh-CN"/>
        </w:rPr>
        <w:t>考研人数</w:t>
      </w:r>
      <w:r>
        <w:rPr>
          <w:rFonts w:hint="eastAsia" w:ascii="Times New Roman" w:hAnsi="Times New Roman" w:eastAsia="楷体_GB2312" w:cs="Times New Roman"/>
          <w:color w:val="000000"/>
          <w:sz w:val="24"/>
          <w:lang w:val="en-US" w:eastAsia="zh-CN"/>
        </w:rPr>
        <w:t>－</w:t>
      </w:r>
      <w:r>
        <w:rPr>
          <w:rFonts w:hint="default" w:ascii="Times New Roman" w:hAnsi="Times New Roman" w:eastAsia="楷体_GB2312" w:cs="Times New Roman"/>
          <w:color w:val="000000"/>
          <w:sz w:val="24"/>
          <w:lang w:val="en-US" w:eastAsia="zh-CN"/>
        </w:rPr>
        <w:t>未就业人数；</w:t>
      </w:r>
      <w:r>
        <w:rPr>
          <w:rFonts w:hint="default" w:ascii="Times New Roman" w:hAnsi="Times New Roman" w:eastAsia="楷体_GB2312" w:cs="Times New Roman"/>
          <w:color w:val="000000"/>
          <w:sz w:val="24"/>
        </w:rPr>
        <w:t>其他类企业主要集中在贸易、</w:t>
      </w:r>
      <w:r>
        <w:rPr>
          <w:rFonts w:hint="eastAsia" w:ascii="Times New Roman" w:hAnsi="Times New Roman" w:eastAsia="楷体_GB2312" w:cs="Times New Roman"/>
          <w:color w:val="000000"/>
          <w:sz w:val="24"/>
          <w:lang w:val="en-US" w:eastAsia="zh-CN"/>
        </w:rPr>
        <w:t>服务、信息传输房地产</w:t>
      </w:r>
      <w:r>
        <w:rPr>
          <w:rFonts w:hint="default" w:ascii="Times New Roman" w:hAnsi="Times New Roman" w:eastAsia="楷体_GB2312" w:cs="Times New Roman"/>
          <w:color w:val="000000"/>
          <w:sz w:val="24"/>
        </w:rPr>
        <w:t>等行业。</w:t>
      </w:r>
    </w:p>
    <w:p>
      <w:pPr>
        <w:spacing w:before="156" w:beforeLines="50" w:after="156" w:afterLines="50" w:line="360" w:lineRule="auto"/>
        <w:ind w:firstLine="480" w:firstLineChars="200"/>
        <w:jc w:val="left"/>
        <w:rPr>
          <w:rFonts w:hint="default" w:ascii="Times New Roman" w:hAnsi="Times New Roman" w:cs="Times New Roman"/>
          <w:bCs/>
          <w:sz w:val="24"/>
          <w:lang w:val="en-US" w:eastAsia="zh-CN"/>
        </w:rPr>
      </w:pPr>
      <w:r>
        <w:rPr>
          <w:rFonts w:hint="eastAsia" w:ascii="Times New Roman" w:hAnsi="Times New Roman" w:cs="Times New Roman"/>
          <w:bCs/>
          <w:sz w:val="24"/>
          <w:lang w:val="en-US" w:eastAsia="zh-CN"/>
        </w:rPr>
        <w:t>由表3-1可知</w:t>
      </w:r>
      <w:r>
        <w:rPr>
          <w:rFonts w:hint="default" w:ascii="Times New Roman" w:hAnsi="Times New Roman" w:cs="Times New Roman"/>
          <w:bCs/>
          <w:sz w:val="24"/>
          <w:lang w:eastAsia="zh-CN"/>
        </w:rPr>
        <w:t>，</w:t>
      </w:r>
      <w:r>
        <w:rPr>
          <w:rFonts w:hint="eastAsia" w:ascii="Times New Roman" w:hAnsi="Times New Roman" w:cs="Times New Roman"/>
          <w:bCs/>
          <w:sz w:val="24"/>
          <w:lang w:val="en-US" w:eastAsia="zh-CN"/>
        </w:rPr>
        <w:t>我院四个本科专业主要就业行业集中在化工和材料类，占比在85%左右，其中无机非粉体偏向材料类企业，化工和能源偏向化工、医药、环境类企业，分析原因不难发现</w:t>
      </w:r>
      <w:r>
        <w:rPr>
          <w:rFonts w:hint="default" w:ascii="Times New Roman" w:hAnsi="Times New Roman" w:cs="Times New Roman"/>
          <w:bCs/>
          <w:sz w:val="24"/>
          <w:lang w:eastAsia="zh-CN"/>
        </w:rPr>
        <w:t>能源化学工程和化学工</w:t>
      </w:r>
      <w:r>
        <w:rPr>
          <w:rFonts w:hint="default" w:ascii="Times New Roman" w:hAnsi="Times New Roman" w:cs="Times New Roman"/>
          <w:bCs/>
          <w:color w:val="000000"/>
          <w:sz w:val="24"/>
          <w:lang w:eastAsia="zh-CN"/>
        </w:rPr>
        <w:t>程与工艺属于化工类专业，无机非金属材料工程和粉体材料科学与工程属于材料类专业</w:t>
      </w:r>
      <w:r>
        <w:rPr>
          <w:rFonts w:hint="eastAsia" w:ascii="Times New Roman" w:hAnsi="Times New Roman" w:cs="Times New Roman"/>
          <w:bCs/>
          <w:color w:val="000000"/>
          <w:sz w:val="24"/>
          <w:lang w:eastAsia="zh-CN"/>
        </w:rPr>
        <w:t>，</w:t>
      </w:r>
      <w:r>
        <w:rPr>
          <w:rFonts w:hint="eastAsia" w:ascii="Times New Roman" w:hAnsi="Times New Roman" w:cs="Times New Roman"/>
          <w:bCs/>
          <w:color w:val="000000"/>
          <w:sz w:val="24"/>
          <w:lang w:val="en-US" w:eastAsia="zh-CN"/>
        </w:rPr>
        <w:t>故在就业上有一定的行业趋向性，同时行业交叉效应明显，</w:t>
      </w:r>
      <w:r>
        <w:rPr>
          <w:rFonts w:hint="default" w:ascii="Times New Roman" w:hAnsi="Times New Roman" w:cs="Times New Roman"/>
          <w:bCs/>
          <w:color w:val="000000"/>
          <w:sz w:val="24"/>
          <w:lang w:val="en-US" w:eastAsia="zh-CN"/>
        </w:rPr>
        <w:t>主要原因是化工、材料类企业很多技术工作岗位相同，专业基础课程相近，企业愿意让毕业生进厂后再继续专业培训，对专业要求不</w:t>
      </w:r>
      <w:r>
        <w:rPr>
          <w:rFonts w:hint="default" w:ascii="Times New Roman" w:hAnsi="Times New Roman" w:cs="Times New Roman"/>
          <w:bCs/>
          <w:sz w:val="24"/>
          <w:lang w:val="en-US" w:eastAsia="zh-CN"/>
        </w:rPr>
        <w:t>是特别高，所以化工、材料专业的毕业生均需要。</w:t>
      </w:r>
      <w:r>
        <w:rPr>
          <w:rFonts w:hint="eastAsia" w:ascii="Times New Roman" w:hAnsi="Times New Roman" w:cs="Times New Roman"/>
          <w:bCs/>
          <w:sz w:val="24"/>
          <w:lang w:val="en-US" w:eastAsia="zh-CN"/>
        </w:rPr>
        <w:t>此外，我院在教育行业专业就业同学较多，因为化工、材料相关行业对女生在就业方面的需求量相对较少，部分女生会选择在教育行业从事专业就业工作。</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eastAsia="宋体" w:cs="Times New Roman"/>
          <w:b/>
          <w:bCs/>
          <w:color w:val="000000"/>
          <w:kern w:val="0"/>
          <w:sz w:val="24"/>
          <w:lang w:eastAsia="zh-CN"/>
        </w:rPr>
      </w:pPr>
      <w:r>
        <w:rPr>
          <w:rFonts w:hint="eastAsia" w:ascii="Times New Roman" w:hAnsi="Times New Roman" w:cs="Times New Roman"/>
          <w:b/>
          <w:color w:val="000000"/>
          <w:sz w:val="24"/>
          <w:lang w:val="en-US" w:eastAsia="zh-CN"/>
        </w:rPr>
        <w:t xml:space="preserve">2.6 </w:t>
      </w:r>
      <w:r>
        <w:rPr>
          <w:rFonts w:hint="default" w:ascii="Times New Roman" w:hAnsi="Times New Roman" w:cs="Times New Roman"/>
          <w:b/>
          <w:color w:val="000000"/>
          <w:sz w:val="24"/>
          <w:lang w:val="en-US" w:eastAsia="zh-CN"/>
        </w:rPr>
        <w:t>男、女毕业生的就业率分析</w:t>
      </w:r>
    </w:p>
    <w:p>
      <w:pPr>
        <w:spacing w:before="156" w:beforeLines="50" w:after="156" w:afterLines="50" w:line="360" w:lineRule="auto"/>
        <w:jc w:val="left"/>
        <w:rPr>
          <w:rFonts w:hint="default" w:ascii="Times New Roman" w:hAnsi="Times New Roman" w:eastAsia="宋体" w:cs="Times New Roman"/>
          <w:b w:val="0"/>
          <w:bCs w:val="0"/>
          <w:color w:val="auto"/>
          <w:kern w:val="0"/>
          <w:sz w:val="24"/>
          <w:lang w:val="en-US" w:eastAsia="zh-CN"/>
        </w:rPr>
      </w:pPr>
      <w:r>
        <w:rPr>
          <w:rFonts w:hint="default" w:ascii="Times New Roman" w:hAnsi="Times New Roman" w:eastAsia="宋体" w:cs="Times New Roman"/>
          <w:b w:val="0"/>
          <w:bCs w:val="0"/>
          <w:color w:val="auto"/>
          <w:kern w:val="0"/>
          <w:sz w:val="24"/>
          <w:lang w:val="en-US" w:eastAsia="zh-CN"/>
        </w:rPr>
        <w:t xml:space="preserve">  </w:t>
      </w:r>
      <w:r>
        <w:rPr>
          <w:rFonts w:hint="eastAsia" w:ascii="Times New Roman" w:hAnsi="Times New Roman" w:eastAsia="宋体" w:cs="Times New Roman"/>
          <w:b w:val="0"/>
          <w:bCs w:val="0"/>
          <w:color w:val="auto"/>
          <w:kern w:val="0"/>
          <w:sz w:val="24"/>
          <w:lang w:val="en-US" w:eastAsia="zh-CN"/>
        </w:rPr>
        <w:t xml:space="preserve">  </w:t>
      </w:r>
      <w:r>
        <w:rPr>
          <w:rFonts w:hint="default" w:ascii="Times New Roman" w:hAnsi="Times New Roman" w:eastAsia="宋体" w:cs="Times New Roman"/>
          <w:b w:val="0"/>
          <w:bCs w:val="0"/>
          <w:color w:val="auto"/>
          <w:kern w:val="0"/>
          <w:sz w:val="24"/>
          <w:lang w:val="en-US" w:eastAsia="zh-CN"/>
        </w:rPr>
        <w:t>我院</w:t>
      </w:r>
      <w:r>
        <w:rPr>
          <w:rFonts w:hint="eastAsia" w:ascii="Times New Roman" w:hAnsi="Times New Roman" w:eastAsia="宋体" w:cs="Times New Roman"/>
          <w:b w:val="0"/>
          <w:bCs w:val="0"/>
          <w:color w:val="auto"/>
          <w:kern w:val="0"/>
          <w:sz w:val="24"/>
          <w:lang w:val="en-US" w:eastAsia="zh-CN"/>
        </w:rPr>
        <w:t>2022</w:t>
      </w:r>
      <w:r>
        <w:rPr>
          <w:rFonts w:hint="default" w:ascii="Times New Roman" w:hAnsi="Times New Roman" w:eastAsia="宋体" w:cs="Times New Roman"/>
          <w:b w:val="0"/>
          <w:bCs w:val="0"/>
          <w:color w:val="auto"/>
          <w:kern w:val="0"/>
          <w:sz w:val="24"/>
          <w:lang w:val="en-US" w:eastAsia="zh-CN"/>
        </w:rPr>
        <w:t>届</w:t>
      </w:r>
      <w:r>
        <w:rPr>
          <w:rFonts w:hint="eastAsia" w:ascii="Times New Roman" w:hAnsi="Times New Roman" w:eastAsia="宋体" w:cs="Times New Roman"/>
          <w:b w:val="0"/>
          <w:bCs w:val="0"/>
          <w:color w:val="auto"/>
          <w:kern w:val="0"/>
          <w:sz w:val="24"/>
          <w:lang w:val="en-US" w:eastAsia="zh-CN"/>
        </w:rPr>
        <w:t>240</w:t>
      </w:r>
      <w:r>
        <w:rPr>
          <w:rFonts w:hint="default" w:ascii="Times New Roman" w:hAnsi="Times New Roman" w:eastAsia="宋体" w:cs="Times New Roman"/>
          <w:b w:val="0"/>
          <w:bCs w:val="0"/>
          <w:color w:val="auto"/>
          <w:kern w:val="0"/>
          <w:sz w:val="24"/>
          <w:lang w:val="en-US" w:eastAsia="zh-CN"/>
        </w:rPr>
        <w:t>名毕业生中，男生</w:t>
      </w:r>
      <w:r>
        <w:rPr>
          <w:rFonts w:hint="eastAsia" w:ascii="Times New Roman" w:hAnsi="Times New Roman" w:eastAsia="宋体" w:cs="Times New Roman"/>
          <w:b w:val="0"/>
          <w:bCs w:val="0"/>
          <w:color w:val="auto"/>
          <w:kern w:val="0"/>
          <w:sz w:val="24"/>
          <w:lang w:val="en-US" w:eastAsia="zh-CN"/>
        </w:rPr>
        <w:t>154</w:t>
      </w:r>
      <w:r>
        <w:rPr>
          <w:rFonts w:hint="default" w:ascii="Times New Roman" w:hAnsi="Times New Roman" w:eastAsia="宋体" w:cs="Times New Roman"/>
          <w:b w:val="0"/>
          <w:bCs w:val="0"/>
          <w:color w:val="auto"/>
          <w:kern w:val="0"/>
          <w:sz w:val="24"/>
          <w:lang w:val="en-US" w:eastAsia="zh-CN"/>
        </w:rPr>
        <w:t>人，女生</w:t>
      </w:r>
      <w:r>
        <w:rPr>
          <w:rFonts w:hint="eastAsia" w:ascii="Times New Roman" w:hAnsi="Times New Roman" w:eastAsia="宋体" w:cs="Times New Roman"/>
          <w:b w:val="0"/>
          <w:bCs w:val="0"/>
          <w:color w:val="auto"/>
          <w:kern w:val="0"/>
          <w:sz w:val="24"/>
          <w:lang w:val="en-US" w:eastAsia="zh-CN"/>
        </w:rPr>
        <w:t>86</w:t>
      </w:r>
      <w:r>
        <w:rPr>
          <w:rFonts w:hint="default" w:ascii="Times New Roman" w:hAnsi="Times New Roman" w:eastAsia="宋体" w:cs="Times New Roman"/>
          <w:b w:val="0"/>
          <w:bCs w:val="0"/>
          <w:color w:val="auto"/>
          <w:kern w:val="0"/>
          <w:sz w:val="24"/>
          <w:lang w:val="en-US" w:eastAsia="zh-CN"/>
        </w:rPr>
        <w:t>人；未就业</w:t>
      </w:r>
      <w:r>
        <w:rPr>
          <w:rFonts w:hint="eastAsia" w:ascii="Times New Roman" w:hAnsi="Times New Roman" w:eastAsia="宋体" w:cs="Times New Roman"/>
          <w:b w:val="0"/>
          <w:bCs w:val="0"/>
          <w:color w:val="auto"/>
          <w:kern w:val="0"/>
          <w:sz w:val="24"/>
          <w:lang w:val="en-US" w:eastAsia="zh-CN"/>
        </w:rPr>
        <w:t>学生8人</w:t>
      </w:r>
      <w:r>
        <w:rPr>
          <w:rFonts w:hint="default" w:ascii="Times New Roman" w:hAnsi="Times New Roman" w:eastAsia="宋体" w:cs="Times New Roman"/>
          <w:b w:val="0"/>
          <w:bCs w:val="0"/>
          <w:color w:val="auto"/>
          <w:kern w:val="0"/>
          <w:sz w:val="24"/>
          <w:lang w:val="en-US" w:eastAsia="zh-CN"/>
        </w:rPr>
        <w:t>；男性毕业生就业率</w:t>
      </w:r>
      <w:r>
        <w:rPr>
          <w:rFonts w:hint="eastAsia" w:ascii="Times New Roman" w:hAnsi="Times New Roman" w:eastAsia="宋体" w:cs="Times New Roman"/>
          <w:b w:val="0"/>
          <w:bCs w:val="0"/>
          <w:color w:val="auto"/>
          <w:kern w:val="0"/>
          <w:sz w:val="24"/>
          <w:lang w:val="en-US" w:eastAsia="zh-CN"/>
        </w:rPr>
        <w:t>97.4</w:t>
      </w:r>
      <w:r>
        <w:rPr>
          <w:rFonts w:hint="default" w:ascii="Times New Roman" w:hAnsi="Times New Roman" w:eastAsia="宋体" w:cs="Times New Roman"/>
          <w:b w:val="0"/>
          <w:bCs w:val="0"/>
          <w:color w:val="auto"/>
          <w:kern w:val="0"/>
          <w:sz w:val="24"/>
          <w:lang w:val="en-US" w:eastAsia="zh-CN"/>
        </w:rPr>
        <w:t>%，女性毕业生就业率</w:t>
      </w:r>
      <w:r>
        <w:rPr>
          <w:rFonts w:hint="eastAsia" w:ascii="Times New Roman" w:hAnsi="Times New Roman" w:eastAsia="宋体" w:cs="Times New Roman"/>
          <w:b w:val="0"/>
          <w:bCs w:val="0"/>
          <w:color w:val="auto"/>
          <w:kern w:val="0"/>
          <w:sz w:val="24"/>
          <w:lang w:val="en-US" w:eastAsia="zh-CN"/>
        </w:rPr>
        <w:t>95.34</w:t>
      </w:r>
      <w:r>
        <w:rPr>
          <w:rFonts w:hint="default" w:ascii="Times New Roman" w:hAnsi="Times New Roman" w:eastAsia="宋体" w:cs="Times New Roman"/>
          <w:b w:val="0"/>
          <w:bCs w:val="0"/>
          <w:color w:val="auto"/>
          <w:kern w:val="0"/>
          <w:sz w:val="24"/>
          <w:lang w:val="en-US" w:eastAsia="zh-CN"/>
        </w:rPr>
        <w:t>%，</w:t>
      </w:r>
      <w:r>
        <w:rPr>
          <w:rFonts w:hint="eastAsia" w:ascii="Times New Roman" w:hAnsi="Times New Roman" w:eastAsia="宋体" w:cs="Times New Roman"/>
          <w:b w:val="0"/>
          <w:bCs w:val="0"/>
          <w:color w:val="auto"/>
          <w:kern w:val="0"/>
          <w:sz w:val="24"/>
          <w:lang w:val="en-US" w:eastAsia="zh-CN"/>
        </w:rPr>
        <w:t>男</w:t>
      </w:r>
      <w:r>
        <w:rPr>
          <w:rFonts w:hint="default" w:ascii="Times New Roman" w:hAnsi="Times New Roman" w:eastAsia="宋体" w:cs="Times New Roman"/>
          <w:b w:val="0"/>
          <w:bCs w:val="0"/>
          <w:color w:val="auto"/>
          <w:kern w:val="0"/>
          <w:sz w:val="24"/>
          <w:lang w:val="en-US" w:eastAsia="zh-CN"/>
        </w:rPr>
        <w:t>生就业率高于</w:t>
      </w:r>
      <w:r>
        <w:rPr>
          <w:rFonts w:hint="eastAsia" w:ascii="Times New Roman" w:hAnsi="Times New Roman" w:eastAsia="宋体" w:cs="Times New Roman"/>
          <w:b w:val="0"/>
          <w:bCs w:val="0"/>
          <w:color w:val="auto"/>
          <w:kern w:val="0"/>
          <w:sz w:val="24"/>
          <w:lang w:val="en-US" w:eastAsia="zh-CN"/>
        </w:rPr>
        <w:t>女</w:t>
      </w:r>
      <w:r>
        <w:rPr>
          <w:rFonts w:hint="default" w:ascii="Times New Roman" w:hAnsi="Times New Roman" w:eastAsia="宋体" w:cs="Times New Roman"/>
          <w:b w:val="0"/>
          <w:bCs w:val="0"/>
          <w:color w:val="auto"/>
          <w:kern w:val="0"/>
          <w:sz w:val="24"/>
          <w:lang w:val="en-US" w:eastAsia="zh-CN"/>
        </w:rPr>
        <w:t>生就业率。</w:t>
      </w:r>
    </w:p>
    <w:p>
      <w:pPr>
        <w:spacing w:before="156" w:beforeLines="50" w:after="156" w:afterLines="50" w:line="360" w:lineRule="auto"/>
        <w:jc w:val="center"/>
        <w:rPr>
          <w:rFonts w:hint="default" w:ascii="Times New Roman" w:hAnsi="Times New Roman" w:cs="Times New Roman"/>
          <w:b/>
          <w:bCs/>
          <w:color w:val="auto"/>
          <w:kern w:val="0"/>
          <w:sz w:val="24"/>
        </w:rPr>
      </w:pPr>
      <w:r>
        <w:rPr>
          <w:rFonts w:hint="default" w:ascii="Times New Roman" w:hAnsi="Times New Roman" w:cs="Times New Roman"/>
          <w:b/>
          <w:bCs/>
          <w:color w:val="auto"/>
          <w:kern w:val="0"/>
          <w:sz w:val="24"/>
        </w:rPr>
        <w:t>第三部分：</w:t>
      </w:r>
      <w:r>
        <w:rPr>
          <w:rFonts w:hint="default" w:ascii="Times New Roman" w:hAnsi="Times New Roman" w:cs="Times New Roman"/>
          <w:b/>
          <w:bCs/>
          <w:color w:val="auto"/>
          <w:kern w:val="0"/>
          <w:sz w:val="24"/>
          <w:lang w:eastAsia="zh-CN"/>
        </w:rPr>
        <w:t>材化学院</w:t>
      </w:r>
      <w:r>
        <w:rPr>
          <w:rFonts w:hint="eastAsia" w:ascii="Times New Roman" w:hAnsi="Times New Roman" w:cs="Times New Roman"/>
          <w:b/>
          <w:bCs/>
          <w:color w:val="auto"/>
          <w:kern w:val="0"/>
          <w:sz w:val="24"/>
          <w:lang w:val="en-US" w:eastAsia="zh-CN"/>
        </w:rPr>
        <w:t>2022</w:t>
      </w:r>
      <w:r>
        <w:rPr>
          <w:rFonts w:hint="default" w:ascii="Times New Roman" w:hAnsi="Times New Roman" w:cs="Times New Roman"/>
          <w:b/>
          <w:bCs/>
          <w:color w:val="auto"/>
          <w:kern w:val="0"/>
          <w:sz w:val="24"/>
        </w:rPr>
        <w:t>届毕业生各专业市场需求分析</w:t>
      </w:r>
    </w:p>
    <w:p>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为了做好我</w:t>
      </w:r>
      <w:r>
        <w:rPr>
          <w:rFonts w:hint="default" w:ascii="Times New Roman" w:hAnsi="Times New Roman" w:cs="Times New Roman"/>
          <w:color w:val="auto"/>
          <w:sz w:val="24"/>
          <w:highlight w:val="none"/>
          <w:lang w:eastAsia="zh-CN"/>
        </w:rPr>
        <w:t>院</w:t>
      </w:r>
      <w:r>
        <w:rPr>
          <w:rFonts w:hint="default" w:ascii="Times New Roman" w:hAnsi="Times New Roman" w:cs="Times New Roman"/>
          <w:color w:val="auto"/>
          <w:sz w:val="24"/>
          <w:highlight w:val="none"/>
        </w:rPr>
        <w:t>就业市场的调查工作，</w:t>
      </w:r>
      <w:r>
        <w:rPr>
          <w:rFonts w:hint="default" w:ascii="Times New Roman" w:hAnsi="Times New Roman" w:cs="Times New Roman"/>
          <w:color w:val="auto"/>
          <w:sz w:val="24"/>
          <w:highlight w:val="none"/>
          <w:lang w:eastAsia="zh-CN"/>
        </w:rPr>
        <w:t>20</w:t>
      </w:r>
      <w:r>
        <w:rPr>
          <w:rFonts w:hint="eastAsia" w:ascii="Times New Roman" w:hAnsi="Times New Roman" w:cs="Times New Roman"/>
          <w:color w:val="auto"/>
          <w:sz w:val="24"/>
          <w:highlight w:val="none"/>
          <w:lang w:val="en-US" w:eastAsia="zh-CN"/>
        </w:rPr>
        <w:t>22</w:t>
      </w:r>
      <w:r>
        <w:rPr>
          <w:rFonts w:hint="default" w:ascii="Times New Roman" w:hAnsi="Times New Roman" w:cs="Times New Roman"/>
          <w:color w:val="auto"/>
          <w:sz w:val="24"/>
          <w:highlight w:val="none"/>
        </w:rPr>
        <w:t>年我</w:t>
      </w:r>
      <w:r>
        <w:rPr>
          <w:rFonts w:hint="default" w:ascii="Times New Roman" w:hAnsi="Times New Roman" w:cs="Times New Roman"/>
          <w:color w:val="auto"/>
          <w:sz w:val="24"/>
          <w:highlight w:val="none"/>
          <w:lang w:eastAsia="zh-CN"/>
        </w:rPr>
        <w:t>院</w:t>
      </w:r>
      <w:r>
        <w:rPr>
          <w:rFonts w:hint="eastAsia" w:ascii="Times New Roman" w:hAnsi="Times New Roman" w:cs="Times New Roman"/>
          <w:color w:val="auto"/>
          <w:sz w:val="24"/>
          <w:highlight w:val="none"/>
          <w:lang w:eastAsia="zh-CN"/>
        </w:rPr>
        <w:t>对</w:t>
      </w:r>
      <w:r>
        <w:rPr>
          <w:rFonts w:hint="default" w:ascii="Times New Roman" w:hAnsi="Times New Roman" w:cs="Times New Roman"/>
          <w:color w:val="auto"/>
          <w:sz w:val="24"/>
          <w:highlight w:val="none"/>
          <w:lang w:eastAsia="zh-CN"/>
        </w:rPr>
        <w:t>部分</w:t>
      </w:r>
      <w:r>
        <w:rPr>
          <w:rFonts w:hint="default" w:ascii="Times New Roman" w:hAnsi="Times New Roman" w:cs="Times New Roman"/>
          <w:color w:val="auto"/>
          <w:sz w:val="24"/>
          <w:highlight w:val="none"/>
        </w:rPr>
        <w:t>毕业生进行了跟踪调查，并对</w:t>
      </w:r>
      <w:r>
        <w:rPr>
          <w:rFonts w:hint="eastAsia" w:ascii="Times New Roman" w:hAnsi="Times New Roman" w:cs="Times New Roman"/>
          <w:color w:val="auto"/>
          <w:sz w:val="24"/>
          <w:highlight w:val="none"/>
          <w:lang w:eastAsia="zh-CN"/>
        </w:rPr>
        <w:t>新浦化学</w:t>
      </w:r>
      <w:r>
        <w:rPr>
          <w:rFonts w:hint="default" w:ascii="Times New Roman" w:hAnsi="Times New Roman" w:cs="Times New Roman"/>
          <w:color w:val="auto"/>
          <w:sz w:val="24"/>
          <w:highlight w:val="none"/>
          <w:lang w:eastAsia="zh-CN"/>
        </w:rPr>
        <w:t>、上海合亚医药、上海皓元医药、</w:t>
      </w:r>
      <w:r>
        <w:rPr>
          <w:rFonts w:hint="eastAsia" w:ascii="Times New Roman" w:hAnsi="Times New Roman" w:cs="Times New Roman"/>
          <w:color w:val="auto"/>
          <w:sz w:val="24"/>
          <w:highlight w:val="none"/>
          <w:lang w:eastAsia="zh-CN"/>
        </w:rPr>
        <w:t>海螺水泥</w:t>
      </w:r>
      <w:r>
        <w:rPr>
          <w:rFonts w:hint="default" w:ascii="Times New Roman" w:hAnsi="Times New Roman" w:cs="Times New Roman"/>
          <w:color w:val="auto"/>
          <w:sz w:val="24"/>
          <w:highlight w:val="none"/>
          <w:lang w:eastAsia="zh-CN"/>
        </w:rPr>
        <w:t>、</w:t>
      </w:r>
      <w:r>
        <w:rPr>
          <w:rFonts w:hint="eastAsia" w:ascii="Times New Roman" w:hAnsi="Times New Roman" w:cs="Times New Roman"/>
          <w:color w:val="auto"/>
          <w:sz w:val="24"/>
          <w:highlight w:val="none"/>
          <w:lang w:eastAsia="zh-CN"/>
        </w:rPr>
        <w:t>鹏鼎控股等</w:t>
      </w:r>
      <w:r>
        <w:rPr>
          <w:rFonts w:hint="default" w:ascii="Times New Roman" w:hAnsi="Times New Roman" w:cs="Times New Roman"/>
          <w:color w:val="auto"/>
          <w:sz w:val="24"/>
          <w:highlight w:val="none"/>
        </w:rPr>
        <w:t>企业进行了回访，调研化工、材料行业的人才需求状况，现就有关情况汇报如下：</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color w:val="auto"/>
          <w:sz w:val="24"/>
          <w:lang w:val="en-US" w:eastAsia="zh-CN"/>
        </w:rPr>
      </w:pPr>
      <w:r>
        <w:rPr>
          <w:rFonts w:hint="eastAsia" w:ascii="Times New Roman" w:hAnsi="Times New Roman" w:cs="Times New Roman"/>
          <w:b/>
          <w:color w:val="auto"/>
          <w:sz w:val="24"/>
          <w:lang w:val="en-US" w:eastAsia="zh-CN"/>
        </w:rPr>
        <w:t>3.1</w:t>
      </w:r>
      <w:r>
        <w:rPr>
          <w:rFonts w:hint="default" w:ascii="Times New Roman" w:hAnsi="Times New Roman" w:cs="Times New Roman"/>
          <w:b/>
          <w:color w:val="auto"/>
          <w:sz w:val="24"/>
        </w:rPr>
        <w:t>化学工程与工艺专业市场需求旺盛</w:t>
      </w:r>
      <w:r>
        <w:rPr>
          <w:rFonts w:hint="eastAsia" w:ascii="Times New Roman" w:hAnsi="Times New Roman" w:cs="Times New Roman"/>
          <w:b/>
          <w:color w:val="auto"/>
          <w:sz w:val="24"/>
          <w:lang w:eastAsia="zh-CN"/>
        </w:rPr>
        <w:t>，</w:t>
      </w:r>
      <w:r>
        <w:rPr>
          <w:rFonts w:hint="eastAsia" w:ascii="Times New Roman" w:hAnsi="Times New Roman" w:cs="Times New Roman"/>
          <w:b/>
          <w:color w:val="auto"/>
          <w:sz w:val="24"/>
          <w:lang w:val="en-US" w:eastAsia="zh-CN"/>
        </w:rPr>
        <w:t>毕业生薪资待遇不断提高</w:t>
      </w:r>
    </w:p>
    <w:p>
      <w:pPr>
        <w:spacing w:line="360" w:lineRule="auto"/>
        <w:ind w:firstLine="480" w:firstLineChars="200"/>
        <w:rPr>
          <w:rFonts w:hint="default" w:ascii="Times New Roman" w:hAnsi="Times New Roman" w:eastAsia="宋体" w:cs="Times New Roman"/>
          <w:color w:val="auto"/>
          <w:kern w:val="2"/>
          <w:sz w:val="24"/>
          <w:szCs w:val="24"/>
          <w:lang w:val="en-US" w:eastAsia="zh-CN"/>
        </w:rPr>
      </w:pPr>
      <w:r>
        <w:rPr>
          <w:rFonts w:hint="eastAsia" w:ascii="Times New Roman" w:hAnsi="Times New Roman" w:eastAsia="宋体" w:cs="Times New Roman"/>
          <w:color w:val="auto"/>
          <w:kern w:val="2"/>
          <w:sz w:val="24"/>
          <w:szCs w:val="24"/>
          <w:lang w:val="en-US" w:eastAsia="zh-CN"/>
        </w:rPr>
        <w:t>化工产业一直是工业支柱之一，现代化化工行业具有技术密集和资本密集的特征，化工行业发展朝向生产规模大型化、生产控制自动化、产品质量高精化、涉及门类综合化、发展方向科技化进行，处于上升时期的化工行业对人才的需求量较为旺盛，</w:t>
      </w:r>
      <w:r>
        <w:rPr>
          <w:rFonts w:hint="default" w:ascii="Times New Roman" w:hAnsi="Times New Roman" w:eastAsia="宋体" w:cs="Times New Roman"/>
          <w:color w:val="auto"/>
          <w:kern w:val="2"/>
          <w:sz w:val="24"/>
          <w:szCs w:val="24"/>
          <w:lang w:eastAsia="zh-CN"/>
        </w:rPr>
        <w:t>据</w:t>
      </w:r>
      <w:r>
        <w:rPr>
          <w:rFonts w:hint="default" w:ascii="Times New Roman" w:hAnsi="Times New Roman" w:eastAsia="宋体" w:cs="Times New Roman"/>
          <w:color w:val="auto"/>
          <w:kern w:val="2"/>
          <w:sz w:val="24"/>
          <w:szCs w:val="24"/>
        </w:rPr>
        <w:fldChar w:fldCharType="begin"/>
      </w:r>
      <w:r>
        <w:rPr>
          <w:rFonts w:hint="default" w:ascii="Times New Roman" w:hAnsi="Times New Roman" w:eastAsia="宋体" w:cs="Times New Roman"/>
          <w:color w:val="auto"/>
          <w:kern w:val="2"/>
          <w:sz w:val="24"/>
          <w:szCs w:val="24"/>
        </w:rPr>
        <w:instrText xml:space="preserve"> HYPERLINK "http://action.vogate.com/click/click.php?r=http%3A//www.baidu.com/s%3Ftn%3Dbaidusite%26ie%3Dgb2312%26bs%3D%25C8%25CB%25B2%25C5%25D0%25E8%25C7%25F3%25D7%25B4%25BF%25F6%26sr%3D%26z%3D%26cl%3D3%26f%3D8%26wd%3D%25BB%25AF%25B9%25A4%25C0%25E0%25C8%25CB%25B2%25C5%25D0%25E8%25C7%25F3%25D7%25B4%25BF%25F6%26ct%3D0&amp;ads_id=3785&amp;site_id=6235007045036176&amp;click=1&amp;url=http%3A//noyes.cn&amp;v=0&amp;k=%u4E2D%u56FD&amp;s=http%3A//www.njnews.cn/z/ca942774.htm&amp;rn=683475" \o "" \t "_blank" </w:instrText>
      </w:r>
      <w:r>
        <w:rPr>
          <w:rFonts w:hint="default" w:ascii="Times New Roman" w:hAnsi="Times New Roman" w:eastAsia="宋体" w:cs="Times New Roman"/>
          <w:color w:val="auto"/>
          <w:kern w:val="2"/>
          <w:sz w:val="24"/>
          <w:szCs w:val="24"/>
        </w:rPr>
        <w:fldChar w:fldCharType="separate"/>
      </w:r>
      <w:r>
        <w:rPr>
          <w:rFonts w:hint="default" w:ascii="Times New Roman" w:hAnsi="Times New Roman" w:eastAsia="宋体" w:cs="Times New Roman"/>
          <w:color w:val="auto"/>
          <w:kern w:val="2"/>
          <w:sz w:val="24"/>
          <w:szCs w:val="24"/>
        </w:rPr>
        <w:t>中国</w:t>
      </w:r>
      <w:r>
        <w:rPr>
          <w:rFonts w:hint="default" w:ascii="Times New Roman" w:hAnsi="Times New Roman" w:eastAsia="宋体" w:cs="Times New Roman"/>
          <w:color w:val="auto"/>
          <w:kern w:val="2"/>
          <w:sz w:val="24"/>
          <w:szCs w:val="24"/>
        </w:rPr>
        <w:fldChar w:fldCharType="end"/>
      </w:r>
      <w:r>
        <w:rPr>
          <w:rFonts w:hint="default" w:ascii="Times New Roman" w:hAnsi="Times New Roman" w:eastAsia="宋体" w:cs="Times New Roman"/>
          <w:color w:val="auto"/>
          <w:kern w:val="2"/>
          <w:sz w:val="24"/>
          <w:szCs w:val="24"/>
        </w:rPr>
        <w:t>化工教育协会</w:t>
      </w:r>
      <w:r>
        <w:rPr>
          <w:rFonts w:hint="default" w:ascii="Times New Roman" w:hAnsi="Times New Roman" w:eastAsia="宋体" w:cs="Times New Roman"/>
          <w:color w:val="auto"/>
          <w:kern w:val="2"/>
          <w:sz w:val="24"/>
          <w:szCs w:val="24"/>
          <w:lang w:eastAsia="zh-CN"/>
        </w:rPr>
        <w:t>的</w:t>
      </w:r>
      <w:r>
        <w:rPr>
          <w:rFonts w:hint="eastAsia" w:ascii="Times New Roman" w:hAnsi="Times New Roman" w:eastAsia="宋体" w:cs="Times New Roman"/>
          <w:color w:val="auto"/>
          <w:kern w:val="2"/>
          <w:sz w:val="24"/>
          <w:szCs w:val="24"/>
          <w:lang w:val="en-US" w:eastAsia="zh-CN"/>
        </w:rPr>
        <w:t>不完全统计</w:t>
      </w:r>
      <w:r>
        <w:rPr>
          <w:rFonts w:hint="default" w:ascii="Times New Roman" w:hAnsi="Times New Roman" w:eastAsia="宋体" w:cs="Times New Roman"/>
          <w:color w:val="auto"/>
          <w:kern w:val="2"/>
          <w:sz w:val="24"/>
          <w:szCs w:val="24"/>
        </w:rPr>
        <w:t>，每年</w:t>
      </w:r>
      <w:r>
        <w:rPr>
          <w:rFonts w:hint="default" w:ascii="Times New Roman" w:hAnsi="Times New Roman" w:eastAsia="宋体" w:cs="Times New Roman"/>
          <w:color w:val="auto"/>
          <w:kern w:val="2"/>
          <w:sz w:val="24"/>
          <w:szCs w:val="24"/>
          <w:lang w:eastAsia="zh-CN"/>
        </w:rPr>
        <w:t>我国</w:t>
      </w:r>
      <w:r>
        <w:rPr>
          <w:rFonts w:hint="default" w:ascii="Times New Roman" w:hAnsi="Times New Roman" w:eastAsia="宋体" w:cs="Times New Roman"/>
          <w:color w:val="auto"/>
          <w:kern w:val="2"/>
          <w:sz w:val="24"/>
          <w:szCs w:val="24"/>
        </w:rPr>
        <w:t>化工类人才缺口</w:t>
      </w:r>
      <w:r>
        <w:rPr>
          <w:rFonts w:hint="eastAsia" w:ascii="Times New Roman" w:hAnsi="Times New Roman" w:eastAsia="宋体" w:cs="Times New Roman"/>
          <w:color w:val="auto"/>
          <w:kern w:val="2"/>
          <w:sz w:val="24"/>
          <w:szCs w:val="24"/>
          <w:lang w:val="en-US" w:eastAsia="zh-CN"/>
        </w:rPr>
        <w:t>高</w:t>
      </w:r>
      <w:r>
        <w:rPr>
          <w:rFonts w:hint="default" w:ascii="Times New Roman" w:hAnsi="Times New Roman" w:eastAsia="宋体" w:cs="Times New Roman"/>
          <w:color w:val="auto"/>
          <w:kern w:val="2"/>
          <w:sz w:val="24"/>
          <w:szCs w:val="24"/>
        </w:rPr>
        <w:t>达50万人</w:t>
      </w:r>
      <w:r>
        <w:rPr>
          <w:rFonts w:hint="eastAsia" w:ascii="Times New Roman" w:hAnsi="Times New Roman" w:eastAsia="宋体" w:cs="Times New Roman"/>
          <w:color w:val="auto"/>
          <w:kern w:val="2"/>
          <w:sz w:val="24"/>
          <w:szCs w:val="24"/>
          <w:lang w:eastAsia="zh-CN"/>
        </w:rPr>
        <w:t>。</w:t>
      </w:r>
      <w:r>
        <w:rPr>
          <w:rFonts w:hint="eastAsia" w:ascii="Times New Roman" w:hAnsi="Times New Roman" w:eastAsia="宋体" w:cs="Times New Roman"/>
          <w:color w:val="auto"/>
          <w:kern w:val="2"/>
          <w:sz w:val="24"/>
          <w:szCs w:val="24"/>
          <w:lang w:val="en-US" w:eastAsia="zh-CN"/>
        </w:rPr>
        <w:t>受新冠疫情的影响，化工、材料和医药行业近两年企业市场在不断扩大，人才需求量在不断提高。从近两年的校招情况来看，制药类企业，招聘学生主要从事研发和生产管理工作，薪资待遇为7000-8000元/月，较往年提高了接近三分之一；化工类企业招聘学生主要是生产管理类岗位，薪资待遇在7000-10000/月不等，化工专业毕业生就业市场持续利好。</w:t>
      </w:r>
    </w:p>
    <w:p>
      <w:pPr>
        <w:spacing w:line="360" w:lineRule="auto"/>
        <w:ind w:firstLine="482" w:firstLineChars="200"/>
        <w:rPr>
          <w:rFonts w:hint="default" w:ascii="Times New Roman" w:hAnsi="Times New Roman" w:eastAsia="宋体" w:cs="Times New Roman"/>
          <w:b/>
          <w:color w:val="auto"/>
          <w:sz w:val="24"/>
          <w:lang w:eastAsia="zh-CN"/>
        </w:rPr>
      </w:pPr>
      <w:r>
        <w:rPr>
          <w:rFonts w:hint="eastAsia" w:ascii="Times New Roman" w:hAnsi="Times New Roman" w:cs="Times New Roman"/>
          <w:b/>
          <w:color w:val="auto"/>
          <w:sz w:val="24"/>
          <w:lang w:val="en-US" w:eastAsia="zh-CN"/>
        </w:rPr>
        <w:t>3.2</w:t>
      </w:r>
      <w:r>
        <w:rPr>
          <w:rFonts w:hint="default" w:ascii="Times New Roman" w:hAnsi="Times New Roman" w:cs="Times New Roman"/>
          <w:b/>
          <w:color w:val="auto"/>
          <w:sz w:val="24"/>
          <w:lang w:eastAsia="zh-CN"/>
        </w:rPr>
        <w:t>粉体材料科学与工程</w:t>
      </w:r>
      <w:r>
        <w:rPr>
          <w:rFonts w:hint="default" w:ascii="Times New Roman" w:hAnsi="Times New Roman" w:cs="Times New Roman"/>
          <w:b/>
          <w:color w:val="auto"/>
          <w:sz w:val="24"/>
        </w:rPr>
        <w:t>专业</w:t>
      </w:r>
      <w:r>
        <w:rPr>
          <w:rFonts w:hint="default" w:ascii="Times New Roman" w:hAnsi="Times New Roman" w:cs="Times New Roman"/>
          <w:b/>
          <w:color w:val="auto"/>
          <w:sz w:val="24"/>
          <w:lang w:eastAsia="zh-CN"/>
        </w:rPr>
        <w:t>特色明显</w:t>
      </w:r>
    </w:p>
    <w:p>
      <w:pPr>
        <w:spacing w:line="360" w:lineRule="auto"/>
        <w:ind w:firstLine="480" w:firstLineChars="200"/>
        <w:rPr>
          <w:rFonts w:hint="default" w:ascii="Times New Roman" w:hAnsi="Times New Roman" w:eastAsia="宋体" w:cs="Times New Roman"/>
          <w:color w:val="auto"/>
          <w:sz w:val="24"/>
          <w:lang w:val="en-US" w:eastAsia="zh-CN"/>
        </w:rPr>
      </w:pPr>
      <w:r>
        <w:rPr>
          <w:rFonts w:hint="default" w:ascii="Times New Roman" w:hAnsi="Times New Roman" w:cs="Times New Roman"/>
          <w:color w:val="auto"/>
          <w:sz w:val="24"/>
        </w:rPr>
        <w:t>近年来，我国粉体工业发展势头迅猛，已成为一个跨行业、跨学科的大产业，全国粉体业的产值已占到第一、二产业产值总和的一半以上，在整个国民经济中具有十分重要的战略地位。202</w:t>
      </w:r>
      <w:r>
        <w:rPr>
          <w:rFonts w:hint="eastAsia" w:ascii="Times New Roman" w:hAnsi="Times New Roman" w:cs="Times New Roman"/>
          <w:color w:val="auto"/>
          <w:sz w:val="24"/>
          <w:lang w:val="en-US" w:eastAsia="zh-CN"/>
        </w:rPr>
        <w:t>2</w:t>
      </w:r>
      <w:r>
        <w:rPr>
          <w:rFonts w:hint="default" w:ascii="Times New Roman" w:hAnsi="Times New Roman" w:cs="Times New Roman"/>
          <w:color w:val="auto"/>
          <w:sz w:val="24"/>
        </w:rPr>
        <w:t>粉体材料科学与工程专业全国大学最新排名我</w:t>
      </w:r>
      <w:r>
        <w:rPr>
          <w:rFonts w:hint="default" w:ascii="Times New Roman" w:hAnsi="Times New Roman" w:cs="Times New Roman"/>
          <w:color w:val="auto"/>
          <w:sz w:val="24"/>
          <w:lang w:eastAsia="zh-CN"/>
        </w:rPr>
        <w:t>院</w:t>
      </w:r>
      <w:r>
        <w:rPr>
          <w:rFonts w:hint="default" w:ascii="Times New Roman" w:hAnsi="Times New Roman" w:cs="Times New Roman"/>
          <w:color w:val="auto"/>
          <w:sz w:val="24"/>
        </w:rPr>
        <w:t>粉体材料工程专业</w:t>
      </w:r>
      <w:r>
        <w:rPr>
          <w:rFonts w:hint="eastAsia" w:ascii="Times New Roman" w:hAnsi="Times New Roman" w:cs="Times New Roman"/>
          <w:color w:val="auto"/>
          <w:sz w:val="24"/>
          <w:lang w:val="en-US" w:eastAsia="zh-CN"/>
        </w:rPr>
        <w:t>排名全国第5名，</w:t>
      </w:r>
      <w:r>
        <w:rPr>
          <w:rFonts w:hint="default" w:ascii="Times New Roman" w:hAnsi="Times New Roman" w:cs="Times New Roman"/>
          <w:color w:val="auto"/>
          <w:sz w:val="24"/>
        </w:rPr>
        <w:t>是全国前列、省内首家申办的人才稀缺专业。</w:t>
      </w:r>
      <w:r>
        <w:rPr>
          <w:rFonts w:hint="eastAsia" w:ascii="Times New Roman" w:hAnsi="Times New Roman" w:cs="Times New Roman"/>
          <w:color w:val="auto"/>
          <w:sz w:val="24"/>
          <w:lang w:val="en-US" w:eastAsia="zh-CN"/>
        </w:rPr>
        <w:t>由于全国开设该专业的学校较少，而新材料行业近些年发展迅速</w:t>
      </w:r>
      <w:r>
        <w:rPr>
          <w:rFonts w:hint="eastAsia" w:ascii="Times New Roman" w:hAnsi="Times New Roman" w:cs="Times New Roman"/>
          <w:color w:val="auto"/>
          <w:sz w:val="24"/>
          <w:lang w:eastAsia="zh-CN"/>
        </w:rPr>
        <w:t>，市场需求</w:t>
      </w:r>
      <w:r>
        <w:rPr>
          <w:rFonts w:hint="eastAsia" w:ascii="Times New Roman" w:hAnsi="Times New Roman" w:cs="Times New Roman"/>
          <w:color w:val="auto"/>
          <w:sz w:val="24"/>
          <w:lang w:val="en-US" w:eastAsia="zh-CN"/>
        </w:rPr>
        <w:t>量大</w:t>
      </w:r>
      <w:r>
        <w:rPr>
          <w:rFonts w:hint="eastAsia" w:ascii="Times New Roman" w:hAnsi="Times New Roman" w:cs="Times New Roman"/>
          <w:color w:val="auto"/>
          <w:sz w:val="24"/>
          <w:lang w:eastAsia="zh-CN"/>
        </w:rPr>
        <w:t>，</w:t>
      </w:r>
      <w:r>
        <w:rPr>
          <w:rFonts w:hint="eastAsia" w:ascii="Times New Roman" w:hAnsi="Times New Roman" w:cs="Times New Roman"/>
          <w:color w:val="auto"/>
          <w:sz w:val="24"/>
          <w:lang w:val="en-US" w:eastAsia="zh-CN"/>
        </w:rPr>
        <w:t>2022年粉体专业就业率100%，但是也要清晰地看到，粉体的考研率在不算提高，这从一方面说明，学生的就业选择在提高，传统的粉体行业已经很难吸引到学生就业。</w:t>
      </w:r>
    </w:p>
    <w:p>
      <w:pPr>
        <w:spacing w:line="360" w:lineRule="auto"/>
        <w:ind w:firstLine="482" w:firstLineChars="200"/>
        <w:rPr>
          <w:rFonts w:hint="default" w:ascii="Times New Roman" w:hAnsi="Times New Roman" w:cs="Times New Roman"/>
          <w:b/>
          <w:color w:val="auto"/>
          <w:sz w:val="24"/>
          <w:lang w:val="en-US" w:eastAsia="zh-CN"/>
        </w:rPr>
      </w:pPr>
      <w:r>
        <w:rPr>
          <w:rFonts w:hint="eastAsia" w:ascii="Times New Roman" w:hAnsi="Times New Roman" w:cs="Times New Roman"/>
          <w:b/>
          <w:color w:val="auto"/>
          <w:sz w:val="24"/>
          <w:lang w:val="en-US" w:eastAsia="zh-CN"/>
        </w:rPr>
        <w:t>3.3</w:t>
      </w:r>
      <w:r>
        <w:rPr>
          <w:rFonts w:hint="default" w:ascii="Times New Roman" w:hAnsi="Times New Roman" w:cs="Times New Roman"/>
          <w:b/>
          <w:color w:val="auto"/>
          <w:sz w:val="24"/>
          <w:lang w:eastAsia="zh-CN"/>
        </w:rPr>
        <w:t>无机非金属材料工程专业毕业生</w:t>
      </w:r>
      <w:r>
        <w:rPr>
          <w:rFonts w:hint="eastAsia" w:ascii="Times New Roman" w:hAnsi="Times New Roman" w:cs="Times New Roman"/>
          <w:b/>
          <w:color w:val="auto"/>
          <w:sz w:val="24"/>
          <w:lang w:val="en-US" w:eastAsia="zh-CN"/>
        </w:rPr>
        <w:t>供不应求</w:t>
      </w:r>
    </w:p>
    <w:p>
      <w:pPr>
        <w:keepNext w:val="0"/>
        <w:keepLines w:val="0"/>
        <w:pageBreakBefore w:val="0"/>
        <w:widowControl w:val="0"/>
        <w:kinsoku/>
        <w:wordWrap w:val="0"/>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rPr>
      </w:pPr>
      <w:r>
        <w:rPr>
          <w:rFonts w:hint="default" w:ascii="Times New Roman" w:hAnsi="Times New Roman" w:cs="Times New Roman"/>
          <w:color w:val="auto"/>
          <w:sz w:val="24"/>
          <w:lang w:eastAsia="zh-CN"/>
        </w:rPr>
        <w:t>近年来，</w:t>
      </w:r>
      <w:r>
        <w:rPr>
          <w:rFonts w:hint="eastAsia" w:ascii="Times New Roman" w:hAnsi="Times New Roman" w:cs="Times New Roman"/>
          <w:color w:val="auto"/>
          <w:sz w:val="24"/>
          <w:lang w:val="en-US" w:eastAsia="zh-CN"/>
        </w:rPr>
        <w:t>我国基础建设行业和材料行业处于蓬勃发展阶段</w:t>
      </w:r>
      <w:r>
        <w:rPr>
          <w:rFonts w:hint="default" w:ascii="Times New Roman" w:hAnsi="Times New Roman" w:cs="Times New Roman"/>
          <w:color w:val="auto"/>
          <w:sz w:val="24"/>
          <w:lang w:eastAsia="zh-CN"/>
        </w:rPr>
        <w:t>，</w:t>
      </w:r>
      <w:r>
        <w:rPr>
          <w:rFonts w:hint="eastAsia" w:ascii="Times New Roman" w:hAnsi="Times New Roman" w:cs="Times New Roman"/>
          <w:color w:val="auto"/>
          <w:sz w:val="24"/>
          <w:lang w:eastAsia="zh-CN"/>
        </w:rPr>
        <w:t>无论是</w:t>
      </w:r>
      <w:r>
        <w:rPr>
          <w:rFonts w:hint="eastAsia" w:ascii="Times New Roman" w:hAnsi="Times New Roman" w:cs="Times New Roman"/>
          <w:color w:val="auto"/>
          <w:sz w:val="24"/>
          <w:lang w:val="en-US" w:eastAsia="zh-CN"/>
        </w:rPr>
        <w:t>传统的水泥行业还是新兴的陶瓷、特种材料类行业对无机非金属专业需求量均较高</w:t>
      </w:r>
      <w:r>
        <w:rPr>
          <w:rFonts w:hint="default" w:ascii="Times New Roman" w:hAnsi="Times New Roman" w:cs="Times New Roman"/>
          <w:color w:val="auto"/>
          <w:spacing w:val="8"/>
          <w:sz w:val="24"/>
          <w:lang w:eastAsia="zh-CN"/>
        </w:rPr>
        <w:t>。该专业主要</w:t>
      </w:r>
      <w:r>
        <w:rPr>
          <w:rFonts w:hint="default" w:ascii="Times New Roman" w:hAnsi="Times New Roman" w:cs="Times New Roman"/>
          <w:color w:val="auto"/>
          <w:spacing w:val="8"/>
          <w:sz w:val="24"/>
        </w:rPr>
        <w:t>培养具备无机非金属材料及其复合材料科学与工程方面的知识，能在无机非金属材料结构研究与分析、材料的制备、材料成型与加工等领域从事科学研究、技术开发、工艺和设备设计、生产及经营管理等方面工作的高级工程技术人才。</w:t>
      </w:r>
      <w:r>
        <w:rPr>
          <w:rFonts w:hint="default" w:ascii="Times New Roman" w:hAnsi="Times New Roman" w:cs="Times New Roman"/>
          <w:color w:val="auto"/>
          <w:sz w:val="24"/>
          <w:lang w:val="en-US" w:eastAsia="zh-CN"/>
        </w:rPr>
        <w:t>2016</w:t>
      </w:r>
      <w:r>
        <w:rPr>
          <w:rFonts w:hint="eastAsia" w:ascii="Times New Roman" w:hAnsi="Times New Roman" w:cs="Times New Roman"/>
          <w:color w:val="auto"/>
          <w:sz w:val="24"/>
          <w:lang w:val="en-US" w:eastAsia="zh-CN"/>
        </w:rPr>
        <w:t>—2022</w:t>
      </w:r>
      <w:r>
        <w:rPr>
          <w:rFonts w:hint="default" w:ascii="Times New Roman" w:hAnsi="Times New Roman" w:cs="Times New Roman"/>
          <w:color w:val="auto"/>
          <w:sz w:val="24"/>
          <w:lang w:val="en-US" w:eastAsia="zh-CN"/>
        </w:rPr>
        <w:t>年，中铁八局、中铁十六局、中铁四局、中铁十局、中铁二十四局、海螺水泥和安徽建工集团等众多国企来校招聘无机非金属材料专业毕业生，毕业生就业</w:t>
      </w:r>
      <w:r>
        <w:rPr>
          <w:rFonts w:hint="eastAsia" w:ascii="Times New Roman" w:hAnsi="Times New Roman" w:cs="Times New Roman"/>
          <w:color w:val="auto"/>
          <w:sz w:val="24"/>
          <w:lang w:val="en-US" w:eastAsia="zh-CN"/>
        </w:rPr>
        <w:t>途径广泛</w:t>
      </w:r>
      <w:r>
        <w:rPr>
          <w:rFonts w:hint="default" w:ascii="Times New Roman" w:hAnsi="Times New Roman" w:cs="Times New Roman"/>
          <w:color w:val="auto"/>
          <w:sz w:val="24"/>
        </w:rPr>
        <w:t>。</w:t>
      </w:r>
    </w:p>
    <w:p>
      <w:pPr>
        <w:spacing w:line="360" w:lineRule="auto"/>
        <w:ind w:firstLine="482" w:firstLineChars="200"/>
        <w:rPr>
          <w:rFonts w:hint="default" w:ascii="Times New Roman" w:hAnsi="Times New Roman" w:cs="Times New Roman"/>
          <w:b/>
          <w:sz w:val="24"/>
        </w:rPr>
      </w:pPr>
      <w:r>
        <w:rPr>
          <w:rFonts w:hint="eastAsia" w:ascii="Times New Roman" w:hAnsi="Times New Roman" w:cs="Times New Roman"/>
          <w:b/>
          <w:sz w:val="24"/>
          <w:lang w:val="en-US" w:eastAsia="zh-CN"/>
        </w:rPr>
        <w:t>3.4</w:t>
      </w:r>
      <w:r>
        <w:rPr>
          <w:rFonts w:hint="default" w:ascii="Times New Roman" w:hAnsi="Times New Roman" w:cs="Times New Roman"/>
          <w:b/>
          <w:sz w:val="24"/>
        </w:rPr>
        <w:t>能源</w:t>
      </w:r>
      <w:r>
        <w:rPr>
          <w:rFonts w:hint="eastAsia" w:ascii="Times New Roman" w:hAnsi="Times New Roman" w:cs="Times New Roman"/>
          <w:b/>
          <w:sz w:val="24"/>
          <w:lang w:val="en-US" w:eastAsia="zh-CN"/>
        </w:rPr>
        <w:t>化学工程</w:t>
      </w:r>
      <w:r>
        <w:rPr>
          <w:rFonts w:hint="default" w:ascii="Times New Roman" w:hAnsi="Times New Roman" w:cs="Times New Roman"/>
          <w:b/>
          <w:sz w:val="24"/>
        </w:rPr>
        <w:t>专业越发热门</w:t>
      </w:r>
    </w:p>
    <w:p>
      <w:pPr>
        <w:spacing w:line="360" w:lineRule="auto"/>
        <w:ind w:firstLine="480" w:firstLineChars="200"/>
        <w:rPr>
          <w:rFonts w:hint="default" w:ascii="Times New Roman" w:hAnsi="Times New Roman" w:cs="Times New Roman"/>
          <w:color w:val="000000"/>
          <w:kern w:val="0"/>
          <w:sz w:val="24"/>
        </w:rPr>
      </w:pPr>
      <w:r>
        <w:rPr>
          <w:rFonts w:hint="default" w:ascii="Times New Roman" w:hAnsi="Times New Roman" w:cs="Times New Roman"/>
          <w:color w:val="auto"/>
          <w:sz w:val="24"/>
        </w:rPr>
        <w:t>随着新能源和可再生能源知识、实现能源科学利用和可持续发展的重要科学技术的迅速发展，国家政策扶持力度加大，能源化工方向的发展迅猛。而我校为此专业设置的人才培养方案使我</w:t>
      </w:r>
      <w:r>
        <w:rPr>
          <w:rFonts w:hint="default" w:ascii="Times New Roman" w:hAnsi="Times New Roman" w:cs="Times New Roman"/>
          <w:color w:val="auto"/>
          <w:sz w:val="24"/>
          <w:lang w:eastAsia="zh-CN"/>
        </w:rPr>
        <w:t>院</w:t>
      </w:r>
      <w:r>
        <w:rPr>
          <w:rFonts w:hint="default" w:ascii="Times New Roman" w:hAnsi="Times New Roman" w:cs="Times New Roman"/>
          <w:color w:val="auto"/>
          <w:sz w:val="24"/>
          <w:shd w:val="clear" w:color="auto" w:fill="FFFFFF"/>
        </w:rPr>
        <w:t>能源化学工程专业毕业学生能够适应涉及化学、化工、传统和新能源加工等领域的广泛需求。</w:t>
      </w:r>
      <w:r>
        <w:rPr>
          <w:rFonts w:hint="default" w:ascii="Times New Roman" w:hAnsi="Times New Roman" w:cs="Times New Roman"/>
          <w:color w:val="auto"/>
          <w:sz w:val="24"/>
          <w:shd w:val="clear" w:color="auto" w:fill="FFFFFF"/>
          <w:lang w:val="en-US" w:eastAsia="zh-CN"/>
        </w:rPr>
        <w:t>20</w:t>
      </w:r>
      <w:r>
        <w:rPr>
          <w:rFonts w:hint="eastAsia" w:ascii="Times New Roman" w:hAnsi="Times New Roman" w:cs="Times New Roman"/>
          <w:color w:val="auto"/>
          <w:sz w:val="24"/>
          <w:shd w:val="clear" w:color="auto" w:fill="FFFFFF"/>
          <w:lang w:val="en-US" w:eastAsia="zh-CN"/>
        </w:rPr>
        <w:t>22</w:t>
      </w:r>
      <w:r>
        <w:rPr>
          <w:rFonts w:hint="default" w:ascii="Times New Roman" w:hAnsi="Times New Roman" w:cs="Times New Roman"/>
          <w:color w:val="auto"/>
          <w:sz w:val="24"/>
          <w:shd w:val="clear" w:color="auto" w:fill="FFFFFF"/>
          <w:lang w:val="en-US" w:eastAsia="zh-CN"/>
        </w:rPr>
        <w:t>届</w:t>
      </w:r>
      <w:r>
        <w:rPr>
          <w:rFonts w:hint="default" w:ascii="Times New Roman" w:hAnsi="Times New Roman" w:cs="Times New Roman"/>
          <w:color w:val="auto"/>
          <w:sz w:val="24"/>
          <w:shd w:val="clear" w:color="auto" w:fill="FFFFFF"/>
        </w:rPr>
        <w:t>能源化学工程专业毕业生就业势头良好，</w:t>
      </w:r>
      <w:r>
        <w:rPr>
          <w:rFonts w:hint="eastAsia" w:ascii="Times New Roman" w:hAnsi="Times New Roman" w:cs="Times New Roman"/>
          <w:color w:val="auto"/>
          <w:sz w:val="24"/>
          <w:shd w:val="clear" w:color="auto" w:fill="FFFFFF"/>
          <w:lang w:val="en-US" w:eastAsia="zh-CN"/>
        </w:rPr>
        <w:t>考研率持续稳定</w:t>
      </w:r>
      <w:r>
        <w:rPr>
          <w:rFonts w:hint="default" w:ascii="Times New Roman" w:hAnsi="Times New Roman" w:cs="Times New Roman"/>
          <w:color w:val="000000"/>
          <w:sz w:val="24"/>
          <w:shd w:val="clear" w:color="auto" w:fill="FFFFFF"/>
        </w:rPr>
        <w:t>。除部分学生考取研究生继续深造之外，其余毕业生工作领域包括</w:t>
      </w:r>
      <w:r>
        <w:rPr>
          <w:rFonts w:hint="eastAsia" w:ascii="Times New Roman" w:hAnsi="Times New Roman" w:cs="Times New Roman"/>
          <w:color w:val="000000"/>
          <w:sz w:val="24"/>
          <w:shd w:val="clear" w:color="auto" w:fill="FFFFFF"/>
          <w:lang w:eastAsia="zh-CN"/>
        </w:rPr>
        <w:t>：</w:t>
      </w:r>
      <w:r>
        <w:rPr>
          <w:rFonts w:hint="default" w:ascii="Times New Roman" w:hAnsi="Times New Roman" w:cs="Times New Roman"/>
          <w:color w:val="000000"/>
          <w:sz w:val="24"/>
          <w:shd w:val="clear" w:color="auto" w:fill="FFFFFF"/>
        </w:rPr>
        <w:t xml:space="preserve">煤化工行业、天然气化工行业、电厂化工综合利用行业、生物能源化工行业、固体废物综合处理行业、石油加工行业、分析检测、催化剂生产等行业，在这些行业从事设计、科学研究、技术管理、产品销售等工作。      </w:t>
      </w:r>
    </w:p>
    <w:p>
      <w:pPr>
        <w:spacing w:line="360" w:lineRule="auto"/>
        <w:ind w:firstLine="480" w:firstLineChars="200"/>
        <w:rPr>
          <w:rFonts w:hint="default" w:ascii="Times New Roman" w:hAnsi="Times New Roman" w:cs="Times New Roman"/>
          <w:color w:val="000000"/>
          <w:sz w:val="24"/>
        </w:rPr>
      </w:pPr>
      <w:r>
        <w:rPr>
          <w:rFonts w:hint="default" w:ascii="Times New Roman" w:hAnsi="Times New Roman" w:cs="Times New Roman"/>
          <w:color w:val="000000"/>
          <w:sz w:val="24"/>
        </w:rPr>
        <w:t>通过市场调研，我</w:t>
      </w:r>
      <w:r>
        <w:rPr>
          <w:rFonts w:hint="default" w:ascii="Times New Roman" w:hAnsi="Times New Roman" w:cs="Times New Roman"/>
          <w:color w:val="000000"/>
          <w:sz w:val="24"/>
          <w:lang w:eastAsia="zh-CN"/>
        </w:rPr>
        <w:t>院</w:t>
      </w:r>
      <w:r>
        <w:rPr>
          <w:rFonts w:hint="default" w:ascii="Times New Roman" w:hAnsi="Times New Roman" w:cs="Times New Roman"/>
          <w:color w:val="000000"/>
          <w:sz w:val="24"/>
        </w:rPr>
        <w:t>化学工程与工艺、粉体材料科学与工程、无机非金属材料工程、能源化学工程</w:t>
      </w:r>
      <w:r>
        <w:rPr>
          <w:rFonts w:hint="eastAsia" w:ascii="Times New Roman" w:hAnsi="Times New Roman" w:cs="Times New Roman"/>
          <w:color w:val="000000"/>
          <w:sz w:val="24"/>
          <w:lang w:val="en-US" w:eastAsia="zh-CN"/>
        </w:rPr>
        <w:t>四个本科</w:t>
      </w:r>
      <w:r>
        <w:rPr>
          <w:rFonts w:hint="default" w:ascii="Times New Roman" w:hAnsi="Times New Roman" w:cs="Times New Roman"/>
          <w:color w:val="000000"/>
          <w:sz w:val="24"/>
        </w:rPr>
        <w:t>专业的毕业生市场需求量</w:t>
      </w:r>
      <w:r>
        <w:rPr>
          <w:rFonts w:hint="eastAsia" w:ascii="Times New Roman" w:hAnsi="Times New Roman" w:cs="Times New Roman"/>
          <w:color w:val="000000"/>
          <w:sz w:val="24"/>
          <w:lang w:val="en-US" w:eastAsia="zh-CN"/>
        </w:rPr>
        <w:t>高</w:t>
      </w:r>
      <w:r>
        <w:rPr>
          <w:rFonts w:hint="default" w:ascii="Times New Roman" w:hAnsi="Times New Roman" w:cs="Times New Roman"/>
          <w:color w:val="000000"/>
          <w:sz w:val="24"/>
        </w:rPr>
        <w:t>，</w:t>
      </w:r>
      <w:r>
        <w:rPr>
          <w:rFonts w:hint="eastAsia" w:ascii="Times New Roman" w:hAnsi="Times New Roman" w:cs="Times New Roman"/>
          <w:color w:val="000000"/>
          <w:sz w:val="24"/>
          <w:lang w:val="en-US" w:eastAsia="zh-CN"/>
        </w:rPr>
        <w:t>学生就业途径和发展有着较好的平台</w:t>
      </w:r>
      <w:r>
        <w:rPr>
          <w:rFonts w:hint="default" w:ascii="Times New Roman" w:hAnsi="Times New Roman" w:cs="Times New Roman"/>
          <w:color w:val="000000"/>
          <w:sz w:val="24"/>
        </w:rPr>
        <w:t>。</w:t>
      </w:r>
      <w:r>
        <w:rPr>
          <w:rFonts w:hint="eastAsia" w:ascii="Times New Roman" w:hAnsi="Times New Roman" w:cs="Times New Roman"/>
          <w:color w:val="000000"/>
          <w:sz w:val="24"/>
          <w:lang w:val="en-US" w:eastAsia="zh-CN"/>
        </w:rPr>
        <w:t>随着我国工业发展的不断转型升级，行业整合，加上环保要求不断提高，化工、医药、材料相关企业在不断被整合优化，目前市面的大部分企业基本上都具有较强的经济和技术基础，必须客观承认，企业目前的用工政策倾向于建立终身用工制度，企业在招聘时更愿意招聘应届毕业生，力求培养符合自身企业文化的员工，这就为我们的学生就业提供了更好的平台，但是在实际调研中我们也发现，由于实践师资等相关资源的缺乏，学生对化工、材料乃至医药的企业工作环境认知仍存在较大偏差，这需要我们在对毕业生进行正确的教育引导</w:t>
      </w:r>
      <w:r>
        <w:rPr>
          <w:rFonts w:hint="default" w:ascii="Times New Roman" w:hAnsi="Times New Roman" w:cs="Times New Roman"/>
          <w:color w:val="000000"/>
          <w:sz w:val="24"/>
        </w:rPr>
        <w:t>。</w:t>
      </w:r>
    </w:p>
    <w:p>
      <w:pPr>
        <w:spacing w:before="156" w:beforeLines="50" w:after="156" w:afterLines="50" w:line="360" w:lineRule="auto"/>
        <w:ind w:firstLine="482" w:firstLineChars="200"/>
        <w:jc w:val="center"/>
        <w:rPr>
          <w:rFonts w:hint="default" w:ascii="Times New Roman" w:hAnsi="Times New Roman" w:cs="Times New Roman"/>
          <w:b/>
          <w:bCs/>
          <w:color w:val="auto"/>
          <w:kern w:val="0"/>
          <w:sz w:val="24"/>
        </w:rPr>
      </w:pPr>
      <w:r>
        <w:rPr>
          <w:rFonts w:hint="default" w:ascii="Times New Roman" w:hAnsi="Times New Roman" w:cs="Times New Roman"/>
          <w:b/>
          <w:bCs/>
          <w:color w:val="auto"/>
          <w:kern w:val="0"/>
          <w:sz w:val="24"/>
        </w:rPr>
        <w:t>第四部分：</w:t>
      </w:r>
      <w:r>
        <w:rPr>
          <w:rFonts w:hint="default" w:ascii="Times New Roman" w:hAnsi="Times New Roman" w:cs="Times New Roman"/>
          <w:b/>
          <w:bCs/>
          <w:color w:val="auto"/>
          <w:kern w:val="0"/>
          <w:sz w:val="24"/>
          <w:lang w:eastAsia="zh-CN"/>
        </w:rPr>
        <w:t>材化学院</w:t>
      </w:r>
      <w:r>
        <w:rPr>
          <w:rFonts w:hint="default" w:ascii="Times New Roman" w:hAnsi="Times New Roman" w:cs="Times New Roman"/>
          <w:b/>
          <w:color w:val="auto"/>
          <w:sz w:val="24"/>
          <w:lang w:eastAsia="zh-CN"/>
        </w:rPr>
        <w:t>20</w:t>
      </w:r>
      <w:r>
        <w:rPr>
          <w:rFonts w:hint="eastAsia" w:ascii="Times New Roman" w:hAnsi="Times New Roman" w:cs="Times New Roman"/>
          <w:b/>
          <w:color w:val="auto"/>
          <w:sz w:val="24"/>
          <w:lang w:val="en-US" w:eastAsia="zh-CN"/>
        </w:rPr>
        <w:t>22</w:t>
      </w:r>
      <w:r>
        <w:rPr>
          <w:rFonts w:hint="default" w:ascii="Times New Roman" w:hAnsi="Times New Roman" w:cs="Times New Roman"/>
          <w:b/>
          <w:color w:val="auto"/>
          <w:sz w:val="24"/>
        </w:rPr>
        <w:t>届毕业生就业工作重点与亮点</w:t>
      </w:r>
    </w:p>
    <w:p>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为进一步做好我</w:t>
      </w:r>
      <w:r>
        <w:rPr>
          <w:rFonts w:hint="default" w:ascii="Times New Roman" w:hAnsi="Times New Roman" w:cs="Times New Roman"/>
          <w:color w:val="auto"/>
          <w:sz w:val="24"/>
          <w:lang w:eastAsia="zh-CN"/>
        </w:rPr>
        <w:t>院</w:t>
      </w:r>
      <w:r>
        <w:rPr>
          <w:rFonts w:hint="default" w:ascii="Times New Roman" w:hAnsi="Times New Roman" w:cs="Times New Roman"/>
          <w:color w:val="auto"/>
          <w:sz w:val="24"/>
        </w:rPr>
        <w:t>的就业工作，我</w:t>
      </w:r>
      <w:r>
        <w:rPr>
          <w:rFonts w:hint="default" w:ascii="Times New Roman" w:hAnsi="Times New Roman" w:cs="Times New Roman"/>
          <w:color w:val="auto"/>
          <w:sz w:val="24"/>
          <w:lang w:eastAsia="zh-CN"/>
        </w:rPr>
        <w:t>院</w:t>
      </w:r>
      <w:r>
        <w:rPr>
          <w:rFonts w:hint="default" w:ascii="Times New Roman" w:hAnsi="Times New Roman" w:cs="Times New Roman"/>
          <w:color w:val="auto"/>
          <w:sz w:val="24"/>
        </w:rPr>
        <w:t>高度重视毕业生就业工作，通过一</w:t>
      </w:r>
      <w:r>
        <w:rPr>
          <w:rFonts w:hint="default" w:ascii="Times New Roman" w:hAnsi="Times New Roman" w:cs="Times New Roman"/>
          <w:color w:val="auto"/>
          <w:sz w:val="24"/>
          <w:lang w:eastAsia="zh-CN"/>
        </w:rPr>
        <w:t>院</w:t>
      </w:r>
      <w:r>
        <w:rPr>
          <w:rFonts w:hint="default" w:ascii="Times New Roman" w:hAnsi="Times New Roman" w:cs="Times New Roman"/>
          <w:color w:val="auto"/>
          <w:sz w:val="24"/>
        </w:rPr>
        <w:t>列教育教学改革措施，促进学生的综合素质和能力，帮助学生提高就业竞争力，取得了非常好的效果。现就我</w:t>
      </w:r>
      <w:r>
        <w:rPr>
          <w:rFonts w:hint="default" w:ascii="Times New Roman" w:hAnsi="Times New Roman" w:cs="Times New Roman"/>
          <w:color w:val="auto"/>
          <w:sz w:val="24"/>
          <w:lang w:eastAsia="zh-CN"/>
        </w:rPr>
        <w:t>院</w:t>
      </w:r>
      <w:r>
        <w:rPr>
          <w:rFonts w:hint="default" w:ascii="Times New Roman" w:hAnsi="Times New Roman" w:cs="Times New Roman"/>
          <w:color w:val="auto"/>
          <w:sz w:val="24"/>
        </w:rPr>
        <w:t>的就业工作特色情况总结如下：</w:t>
      </w:r>
    </w:p>
    <w:p>
      <w:pPr>
        <w:spacing w:line="360" w:lineRule="auto"/>
        <w:ind w:left="560"/>
        <w:rPr>
          <w:rFonts w:hint="default" w:ascii="Times New Roman" w:hAnsi="Times New Roman" w:cs="Times New Roman"/>
          <w:b/>
          <w:sz w:val="24"/>
        </w:rPr>
      </w:pPr>
      <w:r>
        <w:rPr>
          <w:rFonts w:hint="eastAsia" w:ascii="Times New Roman" w:hAnsi="Times New Roman" w:cs="Times New Roman"/>
          <w:b/>
          <w:sz w:val="24"/>
          <w:lang w:val="en-US" w:eastAsia="zh-CN"/>
        </w:rPr>
        <w:t>4.1</w:t>
      </w:r>
      <w:r>
        <w:rPr>
          <w:rFonts w:hint="default" w:ascii="Times New Roman" w:hAnsi="Times New Roman" w:cs="Times New Roman"/>
          <w:b/>
          <w:sz w:val="24"/>
        </w:rPr>
        <w:t>狠抓学风建设，努力提高学生就业竞争力。</w:t>
      </w:r>
    </w:p>
    <w:p>
      <w:pPr>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我</w:t>
      </w:r>
      <w:r>
        <w:rPr>
          <w:rFonts w:hint="default" w:ascii="Times New Roman" w:hAnsi="Times New Roman" w:cs="Times New Roman"/>
          <w:sz w:val="24"/>
          <w:lang w:eastAsia="zh-CN"/>
        </w:rPr>
        <w:t>院</w:t>
      </w:r>
      <w:r>
        <w:rPr>
          <w:rFonts w:hint="default" w:ascii="Times New Roman" w:hAnsi="Times New Roman" w:cs="Times New Roman"/>
          <w:sz w:val="24"/>
        </w:rPr>
        <w:t>从新生入学就一直坚持狠抓学风建设，开学后不久就对新生进行入学教育，帮助新生尽快适应大学生活。每学期都开展一</w:t>
      </w:r>
      <w:r>
        <w:rPr>
          <w:rFonts w:hint="default" w:ascii="Times New Roman" w:hAnsi="Times New Roman" w:cs="Times New Roman"/>
          <w:sz w:val="24"/>
          <w:lang w:eastAsia="zh-CN"/>
        </w:rPr>
        <w:t>系</w:t>
      </w:r>
      <w:r>
        <w:rPr>
          <w:rFonts w:hint="default" w:ascii="Times New Roman" w:hAnsi="Times New Roman" w:cs="Times New Roman"/>
          <w:sz w:val="24"/>
        </w:rPr>
        <w:t>列的学习经验交流会，如各类竞赛、考研、学生工作和就业等工作交流，让同学们了解毕业时有哪些去向，各类去向是什么样的情况，需要怎么努力等。我</w:t>
      </w:r>
      <w:r>
        <w:rPr>
          <w:rFonts w:hint="default" w:ascii="Times New Roman" w:hAnsi="Times New Roman" w:cs="Times New Roman"/>
          <w:sz w:val="24"/>
          <w:lang w:eastAsia="zh-CN"/>
        </w:rPr>
        <w:t>院</w:t>
      </w:r>
      <w:r>
        <w:rPr>
          <w:rFonts w:hint="default" w:ascii="Times New Roman" w:hAnsi="Times New Roman" w:cs="Times New Roman"/>
          <w:sz w:val="24"/>
        </w:rPr>
        <w:t>每个学期都要对上一学期的各门课程学习情况进行分析，总结经验和找出工作中的不足以及努力方向，为有针对性地开展学风建设打下基础。学风建设提高了毕业生的就业竞争力，最终取得了近年来我</w:t>
      </w:r>
      <w:r>
        <w:rPr>
          <w:rFonts w:hint="default" w:ascii="Times New Roman" w:hAnsi="Times New Roman" w:cs="Times New Roman"/>
          <w:sz w:val="24"/>
          <w:lang w:eastAsia="zh-CN"/>
        </w:rPr>
        <w:t>院</w:t>
      </w:r>
      <w:r>
        <w:rPr>
          <w:rFonts w:hint="default" w:ascii="Times New Roman" w:hAnsi="Times New Roman" w:cs="Times New Roman"/>
          <w:sz w:val="24"/>
        </w:rPr>
        <w:t>较高的就业率和考研率。</w:t>
      </w:r>
    </w:p>
    <w:p>
      <w:pPr>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抓班级学风和干部队伍建设，对学生干部进行正确指导和有效帮扶，在工作上帮他们做好工作计划，指导他们如何做好工作，尽量不影响他们的学习，在学习上面严格要求，绝不姑息，树立学习成绩为本的一贯理念。通过学生工作锻炼和提高毕业生的求职应聘能力，同时优秀的学生干部在学风校风建设上起到了非常重要的积极作用。</w:t>
      </w:r>
    </w:p>
    <w:p>
      <w:pPr>
        <w:spacing w:line="360" w:lineRule="auto"/>
        <w:ind w:left="560"/>
        <w:rPr>
          <w:rFonts w:hint="default" w:ascii="Times New Roman" w:hAnsi="Times New Roman" w:cs="Times New Roman"/>
          <w:b/>
          <w:sz w:val="24"/>
        </w:rPr>
      </w:pPr>
      <w:r>
        <w:rPr>
          <w:rFonts w:hint="eastAsia" w:ascii="Times New Roman" w:hAnsi="Times New Roman" w:cs="Times New Roman"/>
          <w:b/>
          <w:sz w:val="24"/>
          <w:lang w:val="en-US" w:eastAsia="zh-CN"/>
        </w:rPr>
        <w:t>4.2</w:t>
      </w:r>
      <w:r>
        <w:rPr>
          <w:rFonts w:hint="default" w:ascii="Times New Roman" w:hAnsi="Times New Roman" w:cs="Times New Roman"/>
          <w:b/>
          <w:sz w:val="24"/>
        </w:rPr>
        <w:t>注重培养学生的创新能力和实践能力，重视创业教育。</w:t>
      </w:r>
    </w:p>
    <w:p>
      <w:pPr>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为了促进我</w:t>
      </w:r>
      <w:r>
        <w:rPr>
          <w:rFonts w:hint="default" w:ascii="Times New Roman" w:hAnsi="Times New Roman" w:cs="Times New Roman"/>
          <w:sz w:val="24"/>
          <w:lang w:eastAsia="zh-CN"/>
        </w:rPr>
        <w:t>院</w:t>
      </w:r>
      <w:r>
        <w:rPr>
          <w:rFonts w:hint="default" w:ascii="Times New Roman" w:hAnsi="Times New Roman" w:cs="Times New Roman"/>
          <w:sz w:val="24"/>
        </w:rPr>
        <w:t>毕业生在就业市场的竞争力，提高毕业生的自身综合素质，我</w:t>
      </w:r>
      <w:r>
        <w:rPr>
          <w:rFonts w:hint="default" w:ascii="Times New Roman" w:hAnsi="Times New Roman" w:cs="Times New Roman"/>
          <w:sz w:val="24"/>
          <w:lang w:eastAsia="zh-CN"/>
        </w:rPr>
        <w:t>院</w:t>
      </w:r>
      <w:r>
        <w:rPr>
          <w:rFonts w:hint="default" w:ascii="Times New Roman" w:hAnsi="Times New Roman" w:cs="Times New Roman"/>
          <w:sz w:val="24"/>
        </w:rPr>
        <w:t>根据用人单位的反馈信息，通过开展一</w:t>
      </w:r>
      <w:r>
        <w:rPr>
          <w:rFonts w:hint="default" w:ascii="Times New Roman" w:hAnsi="Times New Roman" w:cs="Times New Roman"/>
          <w:sz w:val="24"/>
          <w:lang w:eastAsia="zh-CN"/>
        </w:rPr>
        <w:t>系</w:t>
      </w:r>
      <w:r>
        <w:rPr>
          <w:rFonts w:hint="default" w:ascii="Times New Roman" w:hAnsi="Times New Roman" w:cs="Times New Roman"/>
          <w:sz w:val="24"/>
        </w:rPr>
        <w:t>列创新实践活动，激发了学生学习和探索的兴趣，培育了学生自主创新和合作意识，提高了综合素质和创新创业能力。</w:t>
      </w:r>
      <w:r>
        <w:rPr>
          <w:rFonts w:hint="default" w:ascii="Times New Roman" w:hAnsi="Times New Roman" w:cs="Times New Roman"/>
          <w:sz w:val="24"/>
          <w:lang w:eastAsia="zh-CN"/>
        </w:rPr>
        <w:t>通过化工工程师之家、大学生创新创业训练项目和“挑战杯”创新创业比赛，努力</w:t>
      </w:r>
      <w:r>
        <w:rPr>
          <w:rFonts w:hint="default" w:ascii="Times New Roman" w:hAnsi="Times New Roman" w:cs="Times New Roman"/>
          <w:color w:val="000000"/>
          <w:kern w:val="0"/>
          <w:sz w:val="24"/>
        </w:rPr>
        <w:t>提高学生们对化工知识的了解和掌握，拓宽学生的知识，提高专业知识素养和实践能力。</w:t>
      </w:r>
    </w:p>
    <w:p>
      <w:pPr>
        <w:spacing w:line="360" w:lineRule="auto"/>
        <w:ind w:firstLine="482" w:firstLineChars="200"/>
        <w:rPr>
          <w:rFonts w:hint="default" w:ascii="Times New Roman" w:hAnsi="Times New Roman" w:cs="Times New Roman"/>
          <w:b/>
          <w:sz w:val="24"/>
        </w:rPr>
      </w:pPr>
      <w:r>
        <w:rPr>
          <w:rFonts w:hint="eastAsia" w:ascii="Times New Roman" w:hAnsi="Times New Roman" w:cs="Times New Roman"/>
          <w:b/>
          <w:sz w:val="24"/>
          <w:lang w:val="en-US" w:eastAsia="zh-CN"/>
        </w:rPr>
        <w:t>4.3</w:t>
      </w:r>
      <w:r>
        <w:rPr>
          <w:rFonts w:hint="default" w:ascii="Times New Roman" w:hAnsi="Times New Roman" w:cs="Times New Roman"/>
          <w:b/>
          <w:sz w:val="24"/>
        </w:rPr>
        <w:t>建立用人单位信息库，做好毕业生推荐工作。</w:t>
      </w:r>
    </w:p>
    <w:p>
      <w:pPr>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继续完善全国化工、材料类企业信息库。今年，我们继续把初次在我</w:t>
      </w:r>
      <w:r>
        <w:rPr>
          <w:rFonts w:hint="default" w:ascii="Times New Roman" w:hAnsi="Times New Roman" w:cs="Times New Roman"/>
          <w:sz w:val="24"/>
          <w:lang w:eastAsia="zh-CN"/>
        </w:rPr>
        <w:t>院</w:t>
      </w:r>
      <w:r>
        <w:rPr>
          <w:rFonts w:hint="default" w:ascii="Times New Roman" w:hAnsi="Times New Roman" w:cs="Times New Roman"/>
          <w:sz w:val="24"/>
        </w:rPr>
        <w:t>招聘的单位也拉进我</w:t>
      </w:r>
      <w:r>
        <w:rPr>
          <w:rFonts w:hint="default" w:ascii="Times New Roman" w:hAnsi="Times New Roman" w:cs="Times New Roman"/>
          <w:sz w:val="24"/>
          <w:lang w:eastAsia="zh-CN"/>
        </w:rPr>
        <w:t>院</w:t>
      </w:r>
      <w:r>
        <w:rPr>
          <w:rFonts w:hint="default" w:ascii="Times New Roman" w:hAnsi="Times New Roman" w:cs="Times New Roman"/>
          <w:sz w:val="24"/>
        </w:rPr>
        <w:t>就业信息库中，并且</w:t>
      </w:r>
      <w:r>
        <w:rPr>
          <w:rFonts w:hint="eastAsia" w:ascii="Times New Roman" w:hAnsi="Times New Roman" w:cs="Times New Roman"/>
          <w:sz w:val="24"/>
          <w:lang w:eastAsia="zh-CN"/>
        </w:rPr>
        <w:t>定期</w:t>
      </w:r>
      <w:r>
        <w:rPr>
          <w:rFonts w:hint="default" w:ascii="Times New Roman" w:hAnsi="Times New Roman" w:cs="Times New Roman"/>
          <w:sz w:val="24"/>
        </w:rPr>
        <w:t>保持</w:t>
      </w:r>
      <w:r>
        <w:rPr>
          <w:rFonts w:hint="default" w:ascii="Times New Roman" w:hAnsi="Times New Roman" w:cs="Times New Roman"/>
          <w:sz w:val="24"/>
          <w:lang w:eastAsia="zh-CN"/>
        </w:rPr>
        <w:t>联系</w:t>
      </w:r>
      <w:r>
        <w:rPr>
          <w:rFonts w:hint="default" w:ascii="Times New Roman" w:hAnsi="Times New Roman" w:cs="Times New Roman"/>
          <w:sz w:val="24"/>
        </w:rPr>
        <w:t>，追踪学生的就业状况，</w:t>
      </w:r>
      <w:r>
        <w:rPr>
          <w:rFonts w:hint="eastAsia" w:ascii="Times New Roman" w:hAnsi="Times New Roman" w:cs="Times New Roman"/>
          <w:sz w:val="24"/>
          <w:lang w:eastAsia="zh-CN"/>
        </w:rPr>
        <w:t>更好地为</w:t>
      </w:r>
      <w:r>
        <w:rPr>
          <w:rFonts w:hint="default" w:ascii="Times New Roman" w:hAnsi="Times New Roman" w:cs="Times New Roman"/>
          <w:sz w:val="24"/>
        </w:rPr>
        <w:t>学生服务。同时利用认知实习，让部分学生搜集和完善该库。在建立信息库的同时，我们还通过往届毕业生的</w:t>
      </w:r>
      <w:r>
        <w:rPr>
          <w:rFonts w:hint="default" w:ascii="Times New Roman" w:hAnsi="Times New Roman" w:cs="Times New Roman"/>
          <w:sz w:val="24"/>
          <w:lang w:eastAsia="zh-CN"/>
        </w:rPr>
        <w:t>联系</w:t>
      </w:r>
      <w:r>
        <w:rPr>
          <w:rFonts w:hint="default" w:ascii="Times New Roman" w:hAnsi="Times New Roman" w:cs="Times New Roman"/>
          <w:sz w:val="24"/>
        </w:rPr>
        <w:t>，增强我</w:t>
      </w:r>
      <w:r>
        <w:rPr>
          <w:rFonts w:hint="default" w:ascii="Times New Roman" w:hAnsi="Times New Roman" w:cs="Times New Roman"/>
          <w:sz w:val="24"/>
          <w:lang w:eastAsia="zh-CN"/>
        </w:rPr>
        <w:t>院</w:t>
      </w:r>
      <w:r>
        <w:rPr>
          <w:rFonts w:hint="default" w:ascii="Times New Roman" w:hAnsi="Times New Roman" w:cs="Times New Roman"/>
          <w:sz w:val="24"/>
        </w:rPr>
        <w:t>与用人单位的</w:t>
      </w:r>
      <w:r>
        <w:rPr>
          <w:rFonts w:hint="default" w:ascii="Times New Roman" w:hAnsi="Times New Roman" w:cs="Times New Roman"/>
          <w:sz w:val="24"/>
          <w:lang w:eastAsia="zh-CN"/>
        </w:rPr>
        <w:t>联系</w:t>
      </w:r>
      <w:r>
        <w:rPr>
          <w:rFonts w:hint="default" w:ascii="Times New Roman" w:hAnsi="Times New Roman" w:cs="Times New Roman"/>
          <w:sz w:val="24"/>
        </w:rPr>
        <w:t>，联络感情。对一些好的企业，我们每年都会推荐一部分优秀的学生到该企业去工作。</w:t>
      </w:r>
    </w:p>
    <w:p>
      <w:pPr>
        <w:spacing w:line="360" w:lineRule="auto"/>
        <w:ind w:firstLine="472" w:firstLineChars="196"/>
        <w:rPr>
          <w:rFonts w:hint="default" w:ascii="Times New Roman" w:hAnsi="Times New Roman" w:cs="Times New Roman"/>
          <w:b/>
          <w:color w:val="000000"/>
          <w:sz w:val="24"/>
        </w:rPr>
      </w:pPr>
      <w:r>
        <w:rPr>
          <w:rFonts w:hint="eastAsia" w:ascii="Times New Roman" w:hAnsi="Times New Roman" w:cs="Times New Roman"/>
          <w:b/>
          <w:color w:val="000000"/>
          <w:sz w:val="24"/>
          <w:lang w:val="en-US" w:eastAsia="zh-CN"/>
        </w:rPr>
        <w:t>4.4</w:t>
      </w:r>
      <w:r>
        <w:rPr>
          <w:rFonts w:hint="default" w:ascii="Times New Roman" w:hAnsi="Times New Roman" w:cs="Times New Roman"/>
          <w:b/>
          <w:color w:val="000000"/>
          <w:sz w:val="24"/>
          <w:lang w:val="en-US" w:eastAsia="zh-CN"/>
        </w:rPr>
        <w:t>做好毕业生一生一策和特殊群体就业精准帮扶工作</w:t>
      </w:r>
    </w:p>
    <w:p>
      <w:pPr>
        <w:spacing w:line="360" w:lineRule="auto"/>
        <w:ind w:firstLine="570"/>
        <w:rPr>
          <w:rFonts w:hint="default" w:ascii="Times New Roman" w:hAnsi="Times New Roman" w:cs="Times New Roman"/>
          <w:color w:val="auto"/>
          <w:sz w:val="24"/>
        </w:rPr>
      </w:pPr>
      <w:r>
        <w:rPr>
          <w:rFonts w:hint="default" w:ascii="Times New Roman" w:hAnsi="Times New Roman" w:cs="Times New Roman"/>
          <w:color w:val="auto"/>
          <w:sz w:val="24"/>
          <w:lang w:val="en-US" w:eastAsia="zh-CN"/>
        </w:rPr>
        <w:t>我院每隔7到10天更新一次毕业生一生一策信息表，根据毕业生求职状态和求职意向采用个性化辅导方式，促进就业，根据毕业生籍贯信息和就业意向定点推荐企业。对于困难群体学生就业，采用领导包保责任制，一对一推荐就业单位，定期回访，并建立困难群体就业QQ群，设置群成员状态（已就业、未就业、待签约等），形成积极带动效应，推进就业工作。</w:t>
      </w:r>
    </w:p>
    <w:p>
      <w:pPr>
        <w:spacing w:line="360" w:lineRule="auto"/>
        <w:ind w:firstLine="482" w:firstLineChars="200"/>
        <w:rPr>
          <w:rFonts w:hint="default" w:ascii="Times New Roman" w:hAnsi="Times New Roman" w:cs="Times New Roman"/>
          <w:b/>
          <w:sz w:val="24"/>
        </w:rPr>
      </w:pPr>
      <w:r>
        <w:rPr>
          <w:rFonts w:hint="eastAsia" w:ascii="Times New Roman" w:hAnsi="Times New Roman" w:cs="Times New Roman"/>
          <w:b/>
          <w:sz w:val="24"/>
          <w:lang w:val="en-US" w:eastAsia="zh-CN"/>
        </w:rPr>
        <w:t>4.5</w:t>
      </w:r>
      <w:r>
        <w:rPr>
          <w:rFonts w:hint="default" w:ascii="Times New Roman" w:hAnsi="Times New Roman" w:cs="Times New Roman"/>
          <w:b/>
          <w:sz w:val="24"/>
        </w:rPr>
        <w:t>全</w:t>
      </w:r>
      <w:r>
        <w:rPr>
          <w:rFonts w:hint="default" w:ascii="Times New Roman" w:hAnsi="Times New Roman" w:cs="Times New Roman"/>
          <w:b/>
          <w:sz w:val="24"/>
          <w:lang w:eastAsia="zh-CN"/>
        </w:rPr>
        <w:t>院</w:t>
      </w:r>
      <w:r>
        <w:rPr>
          <w:rFonts w:hint="default" w:ascii="Times New Roman" w:hAnsi="Times New Roman" w:cs="Times New Roman"/>
          <w:b/>
          <w:sz w:val="24"/>
        </w:rPr>
        <w:t>教职工实时了解就业、参与就业、积极主动帮助就业。</w:t>
      </w:r>
    </w:p>
    <w:p>
      <w:pPr>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为了方便我</w:t>
      </w:r>
      <w:r>
        <w:rPr>
          <w:rFonts w:hint="default" w:ascii="Times New Roman" w:hAnsi="Times New Roman" w:cs="Times New Roman"/>
          <w:sz w:val="24"/>
          <w:lang w:eastAsia="zh-CN"/>
        </w:rPr>
        <w:t>院</w:t>
      </w:r>
      <w:r>
        <w:rPr>
          <w:rFonts w:hint="default" w:ascii="Times New Roman" w:hAnsi="Times New Roman" w:cs="Times New Roman"/>
          <w:sz w:val="24"/>
        </w:rPr>
        <w:t>领导和教师及时了解就业情况，我</w:t>
      </w:r>
      <w:r>
        <w:rPr>
          <w:rFonts w:hint="default" w:ascii="Times New Roman" w:hAnsi="Times New Roman" w:cs="Times New Roman"/>
          <w:sz w:val="24"/>
          <w:lang w:eastAsia="zh-CN"/>
        </w:rPr>
        <w:t>院</w:t>
      </w:r>
      <w:r>
        <w:rPr>
          <w:rFonts w:hint="default" w:ascii="Times New Roman" w:hAnsi="Times New Roman" w:cs="Times New Roman"/>
          <w:sz w:val="24"/>
        </w:rPr>
        <w:t>在开全</w:t>
      </w:r>
      <w:r>
        <w:rPr>
          <w:rFonts w:hint="default" w:ascii="Times New Roman" w:hAnsi="Times New Roman" w:cs="Times New Roman"/>
          <w:sz w:val="24"/>
          <w:lang w:eastAsia="zh-CN"/>
        </w:rPr>
        <w:t>院</w:t>
      </w:r>
      <w:r>
        <w:rPr>
          <w:rFonts w:hint="default" w:ascii="Times New Roman" w:hAnsi="Times New Roman" w:cs="Times New Roman"/>
          <w:sz w:val="24"/>
        </w:rPr>
        <w:t>教师例会上，介绍全体毕业生的基本信息、学习成绩、任职情况、获奖情况、</w:t>
      </w:r>
      <w:r>
        <w:rPr>
          <w:rFonts w:hint="default" w:ascii="Times New Roman" w:hAnsi="Times New Roman" w:cs="Times New Roman"/>
          <w:sz w:val="24"/>
          <w:lang w:eastAsia="zh-CN"/>
        </w:rPr>
        <w:t>联系</w:t>
      </w:r>
      <w:r>
        <w:rPr>
          <w:rFonts w:hint="default" w:ascii="Times New Roman" w:hAnsi="Times New Roman" w:cs="Times New Roman"/>
          <w:sz w:val="24"/>
        </w:rPr>
        <w:t>方式和就业状态等，发放给</w:t>
      </w:r>
      <w:r>
        <w:rPr>
          <w:rFonts w:hint="default" w:ascii="Times New Roman" w:hAnsi="Times New Roman" w:cs="Times New Roman"/>
          <w:sz w:val="24"/>
          <w:lang w:eastAsia="zh-CN"/>
        </w:rPr>
        <w:t>院</w:t>
      </w:r>
      <w:r>
        <w:rPr>
          <w:rFonts w:hint="default" w:ascii="Times New Roman" w:hAnsi="Times New Roman" w:cs="Times New Roman"/>
          <w:sz w:val="24"/>
        </w:rPr>
        <w:t>领导和各个专业教研室，让全</w:t>
      </w:r>
      <w:r>
        <w:rPr>
          <w:rFonts w:hint="default" w:ascii="Times New Roman" w:hAnsi="Times New Roman" w:cs="Times New Roman"/>
          <w:sz w:val="24"/>
          <w:lang w:eastAsia="zh-CN"/>
        </w:rPr>
        <w:t>院</w:t>
      </w:r>
      <w:r>
        <w:rPr>
          <w:rFonts w:hint="default" w:ascii="Times New Roman" w:hAnsi="Times New Roman" w:cs="Times New Roman"/>
          <w:sz w:val="24"/>
        </w:rPr>
        <w:t>教师及时了解就业情况。我</w:t>
      </w:r>
      <w:r>
        <w:rPr>
          <w:rFonts w:hint="default" w:ascii="Times New Roman" w:hAnsi="Times New Roman" w:cs="Times New Roman"/>
          <w:sz w:val="24"/>
          <w:lang w:eastAsia="zh-CN"/>
        </w:rPr>
        <w:t>院</w:t>
      </w:r>
      <w:r>
        <w:rPr>
          <w:rFonts w:hint="default" w:ascii="Times New Roman" w:hAnsi="Times New Roman" w:cs="Times New Roman"/>
          <w:sz w:val="24"/>
        </w:rPr>
        <w:t>全体教师对学生就业积极献计献策，如</w:t>
      </w:r>
      <w:r>
        <w:rPr>
          <w:rFonts w:hint="eastAsia" w:ascii="Times New Roman" w:hAnsi="Times New Roman" w:cs="Times New Roman"/>
          <w:sz w:val="24"/>
          <w:lang w:val="en-US" w:eastAsia="zh-CN"/>
        </w:rPr>
        <w:t>魏安乐、胡坤宏、秦广超、朱三娥</w:t>
      </w:r>
      <w:r>
        <w:rPr>
          <w:rFonts w:hint="default" w:ascii="Times New Roman" w:hAnsi="Times New Roman" w:cs="Times New Roman"/>
          <w:sz w:val="24"/>
        </w:rPr>
        <w:t>等许多老师或推荐学生就业或提供就业信息。</w:t>
      </w:r>
    </w:p>
    <w:p>
      <w:pPr>
        <w:pStyle w:val="11"/>
        <w:spacing w:line="360" w:lineRule="auto"/>
        <w:ind w:firstLine="482" w:firstLineChars="200"/>
        <w:rPr>
          <w:rFonts w:hint="default" w:ascii="Times New Roman" w:hAnsi="Times New Roman" w:cs="Times New Roman"/>
          <w:b/>
        </w:rPr>
      </w:pPr>
      <w:r>
        <w:rPr>
          <w:rFonts w:hint="eastAsia" w:ascii="Times New Roman" w:hAnsi="Times New Roman" w:cs="Times New Roman"/>
          <w:b/>
          <w:lang w:val="en-US" w:eastAsia="zh-CN"/>
        </w:rPr>
        <w:t>4.6</w:t>
      </w:r>
      <w:r>
        <w:rPr>
          <w:rFonts w:hint="default" w:ascii="Times New Roman" w:hAnsi="Times New Roman" w:cs="Times New Roman"/>
          <w:b/>
        </w:rPr>
        <w:t xml:space="preserve">举办多场专场小型招聘会，为学生就业拓宽渠道。 </w:t>
      </w:r>
    </w:p>
    <w:p>
      <w:pPr>
        <w:pStyle w:val="11"/>
        <w:spacing w:line="360" w:lineRule="auto"/>
        <w:ind w:firstLine="480" w:firstLineChars="200"/>
        <w:rPr>
          <w:rFonts w:hint="default" w:ascii="Times New Roman" w:hAnsi="Times New Roman" w:cs="Times New Roman"/>
        </w:rPr>
      </w:pPr>
      <w:r>
        <w:rPr>
          <w:rFonts w:hint="default" w:ascii="Times New Roman" w:hAnsi="Times New Roman" w:cs="Times New Roman"/>
        </w:rPr>
        <w:t>为了让学生在家门口就能找到一份满意的工作，我</w:t>
      </w:r>
      <w:r>
        <w:rPr>
          <w:rFonts w:hint="default" w:ascii="Times New Roman" w:hAnsi="Times New Roman" w:cs="Times New Roman"/>
          <w:lang w:eastAsia="zh-CN"/>
        </w:rPr>
        <w:t>院</w:t>
      </w:r>
      <w:r>
        <w:rPr>
          <w:rFonts w:hint="default" w:ascii="Times New Roman" w:hAnsi="Times New Roman" w:cs="Times New Roman"/>
        </w:rPr>
        <w:t>积极与用人单位</w:t>
      </w:r>
      <w:r>
        <w:rPr>
          <w:rFonts w:hint="default" w:ascii="Times New Roman" w:hAnsi="Times New Roman" w:cs="Times New Roman"/>
          <w:lang w:eastAsia="zh-CN"/>
        </w:rPr>
        <w:t>联系</w:t>
      </w:r>
      <w:r>
        <w:rPr>
          <w:rFonts w:hint="default" w:ascii="Times New Roman" w:hAnsi="Times New Roman" w:cs="Times New Roman"/>
        </w:rPr>
        <w:t>，邀请众多化工、材料类企业来我</w:t>
      </w:r>
      <w:r>
        <w:rPr>
          <w:rFonts w:hint="default" w:ascii="Times New Roman" w:hAnsi="Times New Roman" w:cs="Times New Roman"/>
          <w:lang w:eastAsia="zh-CN"/>
        </w:rPr>
        <w:t>院</w:t>
      </w:r>
      <w:r>
        <w:rPr>
          <w:rFonts w:hint="default" w:ascii="Times New Roman" w:hAnsi="Times New Roman" w:cs="Times New Roman"/>
        </w:rPr>
        <w:t>举办专场招聘会。我们先后与</w:t>
      </w:r>
      <w:r>
        <w:rPr>
          <w:rFonts w:hint="eastAsia" w:ascii="Times New Roman" w:hAnsi="Times New Roman" w:cs="Times New Roman"/>
          <w:lang w:val="en-US" w:eastAsia="zh-CN"/>
        </w:rPr>
        <w:t>上海皓元医药</w:t>
      </w:r>
      <w:r>
        <w:rPr>
          <w:rFonts w:hint="default" w:ascii="Times New Roman" w:hAnsi="Times New Roman" w:cs="Times New Roman"/>
        </w:rPr>
        <w:t>、</w:t>
      </w:r>
      <w:r>
        <w:rPr>
          <w:rFonts w:hint="eastAsia" w:ascii="Times New Roman" w:hAnsi="Times New Roman" w:cs="Times New Roman"/>
          <w:lang w:eastAsia="zh-CN"/>
        </w:rPr>
        <w:t>新浦化学、</w:t>
      </w:r>
      <w:r>
        <w:rPr>
          <w:rFonts w:hint="default" w:ascii="Times New Roman" w:hAnsi="Times New Roman" w:cs="Times New Roman"/>
        </w:rPr>
        <w:t>安徽昌明药业、</w:t>
      </w:r>
      <w:r>
        <w:rPr>
          <w:rFonts w:hint="eastAsia" w:ascii="Times New Roman" w:hAnsi="Times New Roman" w:cs="Times New Roman"/>
          <w:lang w:val="en-US" w:eastAsia="zh-CN"/>
        </w:rPr>
        <w:t>安徽</w:t>
      </w:r>
      <w:r>
        <w:rPr>
          <w:rFonts w:hint="default" w:ascii="Times New Roman" w:hAnsi="Times New Roman" w:cs="Times New Roman"/>
          <w:bCs/>
        </w:rPr>
        <w:t>海螺水泥</w:t>
      </w:r>
      <w:r>
        <w:rPr>
          <w:rFonts w:hint="default" w:ascii="Times New Roman" w:hAnsi="Times New Roman" w:cs="Times New Roman"/>
        </w:rPr>
        <w:t>、</w:t>
      </w:r>
      <w:r>
        <w:rPr>
          <w:rFonts w:hint="default" w:ascii="Times New Roman" w:hAnsi="Times New Roman" w:cs="Times New Roman"/>
          <w:lang w:eastAsia="zh-CN"/>
        </w:rPr>
        <w:t>合肥</w:t>
      </w:r>
      <w:r>
        <w:rPr>
          <w:rFonts w:hint="default" w:ascii="Times New Roman" w:hAnsi="Times New Roman" w:cs="Times New Roman"/>
        </w:rPr>
        <w:t>旭阳、</w:t>
      </w:r>
      <w:r>
        <w:rPr>
          <w:rFonts w:hint="eastAsia" w:ascii="Times New Roman" w:hAnsi="Times New Roman" w:cs="Times New Roman"/>
          <w:lang w:eastAsia="zh-CN"/>
        </w:rPr>
        <w:t>上海美迪西</w:t>
      </w:r>
      <w:r>
        <w:rPr>
          <w:rFonts w:hint="default" w:ascii="Times New Roman" w:hAnsi="Times New Roman" w:cs="Times New Roman"/>
        </w:rPr>
        <w:t>、中铁</w:t>
      </w:r>
      <w:r>
        <w:rPr>
          <w:rFonts w:hint="default" w:ascii="Times New Roman" w:hAnsi="Times New Roman" w:cs="Times New Roman"/>
          <w:lang w:eastAsia="zh-CN"/>
        </w:rPr>
        <w:t>集团下属企业</w:t>
      </w:r>
      <w:r>
        <w:rPr>
          <w:rFonts w:hint="default" w:ascii="Times New Roman" w:hAnsi="Times New Roman" w:cs="Times New Roman"/>
        </w:rPr>
        <w:t>等几十家单位进行广泛</w:t>
      </w:r>
      <w:r>
        <w:rPr>
          <w:rFonts w:hint="default" w:ascii="Times New Roman" w:hAnsi="Times New Roman" w:cs="Times New Roman"/>
          <w:lang w:eastAsia="zh-CN"/>
        </w:rPr>
        <w:t>联系</w:t>
      </w:r>
      <w:r>
        <w:rPr>
          <w:rFonts w:hint="default" w:ascii="Times New Roman" w:hAnsi="Times New Roman" w:cs="Times New Roman"/>
        </w:rPr>
        <w:t>，邀请了</w:t>
      </w:r>
      <w:r>
        <w:rPr>
          <w:rFonts w:hint="eastAsia" w:ascii="Times New Roman" w:hAnsi="Times New Roman" w:cs="Times New Roman"/>
          <w:lang w:val="en-US" w:eastAsia="zh-CN"/>
        </w:rPr>
        <w:t>多</w:t>
      </w:r>
      <w:r>
        <w:rPr>
          <w:rFonts w:hint="default" w:ascii="Times New Roman" w:hAnsi="Times New Roman" w:cs="Times New Roman"/>
        </w:rPr>
        <w:t>家企业来我</w:t>
      </w:r>
      <w:r>
        <w:rPr>
          <w:rFonts w:hint="default" w:ascii="Times New Roman" w:hAnsi="Times New Roman" w:cs="Times New Roman"/>
          <w:lang w:eastAsia="zh-CN"/>
        </w:rPr>
        <w:t>院</w:t>
      </w:r>
      <w:r>
        <w:rPr>
          <w:rFonts w:hint="default" w:ascii="Times New Roman" w:hAnsi="Times New Roman" w:cs="Times New Roman"/>
        </w:rPr>
        <w:t>举办专场招聘会，</w:t>
      </w:r>
      <w:r>
        <w:rPr>
          <w:rFonts w:hint="eastAsia" w:ascii="Times New Roman" w:hAnsi="Times New Roman" w:cs="Times New Roman"/>
          <w:lang w:eastAsia="zh-CN"/>
        </w:rPr>
        <w:t>因</w:t>
      </w:r>
      <w:r>
        <w:rPr>
          <w:rFonts w:hint="default" w:ascii="Times New Roman" w:hAnsi="Times New Roman" w:cs="Times New Roman"/>
        </w:rPr>
        <w:t>共为学生推荐了</w:t>
      </w:r>
      <w:r>
        <w:rPr>
          <w:rFonts w:hint="default" w:ascii="Times New Roman" w:hAnsi="Times New Roman" w:cs="Times New Roman"/>
          <w:lang w:eastAsia="zh-CN"/>
        </w:rPr>
        <w:t>一千</w:t>
      </w:r>
      <w:r>
        <w:rPr>
          <w:rFonts w:hint="default" w:ascii="Times New Roman" w:hAnsi="Times New Roman" w:cs="Times New Roman"/>
        </w:rPr>
        <w:t>多个工作岗位，</w:t>
      </w:r>
      <w:r>
        <w:rPr>
          <w:rFonts w:hint="eastAsia" w:ascii="Times New Roman" w:hAnsi="Times New Roman" w:cs="Times New Roman"/>
          <w:lang w:val="en-US" w:eastAsia="zh-CN"/>
        </w:rPr>
        <w:t>约</w:t>
      </w:r>
      <w:r>
        <w:rPr>
          <w:rFonts w:hint="default" w:ascii="Times New Roman" w:hAnsi="Times New Roman" w:cs="Times New Roman"/>
          <w:lang w:val="en-US" w:eastAsia="zh-CN"/>
        </w:rPr>
        <w:t>1</w:t>
      </w:r>
      <w:r>
        <w:rPr>
          <w:rFonts w:hint="eastAsia" w:ascii="Times New Roman" w:hAnsi="Times New Roman" w:cs="Times New Roman"/>
          <w:lang w:val="en-US" w:eastAsia="zh-CN"/>
        </w:rPr>
        <w:t>0</w:t>
      </w:r>
      <w:r>
        <w:rPr>
          <w:rFonts w:hint="default" w:ascii="Times New Roman" w:hAnsi="Times New Roman" w:cs="Times New Roman"/>
          <w:lang w:val="en-US" w:eastAsia="zh-CN"/>
        </w:rPr>
        <w:t>0多</w:t>
      </w:r>
      <w:r>
        <w:rPr>
          <w:rFonts w:hint="default" w:ascii="Times New Roman" w:hAnsi="Times New Roman" w:cs="Times New Roman"/>
        </w:rPr>
        <w:t>名学生通过专场招聘会落实了工作单位，取得了</w:t>
      </w:r>
      <w:r>
        <w:rPr>
          <w:rFonts w:hint="eastAsia" w:ascii="Times New Roman" w:hAnsi="Times New Roman" w:cs="Times New Roman"/>
          <w:lang w:val="en-US" w:eastAsia="zh-CN"/>
        </w:rPr>
        <w:t>较好</w:t>
      </w:r>
      <w:r>
        <w:rPr>
          <w:rFonts w:hint="default" w:ascii="Times New Roman" w:hAnsi="Times New Roman" w:cs="Times New Roman"/>
        </w:rPr>
        <w:t>的效果。</w:t>
      </w:r>
    </w:p>
    <w:p>
      <w:pPr>
        <w:spacing w:line="360" w:lineRule="auto"/>
        <w:ind w:firstLine="482" w:firstLineChars="200"/>
        <w:rPr>
          <w:rFonts w:hint="default" w:ascii="Times New Roman" w:hAnsi="Times New Roman" w:cs="Times New Roman"/>
          <w:b/>
          <w:sz w:val="24"/>
        </w:rPr>
      </w:pPr>
      <w:r>
        <w:rPr>
          <w:rFonts w:hint="eastAsia" w:ascii="Times New Roman" w:hAnsi="Times New Roman" w:cs="Times New Roman"/>
          <w:b/>
          <w:sz w:val="24"/>
          <w:lang w:val="en-US" w:eastAsia="zh-CN"/>
        </w:rPr>
        <w:t>4.7</w:t>
      </w:r>
      <w:r>
        <w:rPr>
          <w:rFonts w:hint="default" w:ascii="Times New Roman" w:hAnsi="Times New Roman" w:cs="Times New Roman"/>
          <w:b/>
          <w:sz w:val="24"/>
        </w:rPr>
        <w:t>运用网络媒体，创建交流平台。</w:t>
      </w:r>
    </w:p>
    <w:p>
      <w:pPr>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我</w:t>
      </w:r>
      <w:r>
        <w:rPr>
          <w:rFonts w:hint="default" w:ascii="Times New Roman" w:hAnsi="Times New Roman" w:cs="Times New Roman"/>
          <w:sz w:val="24"/>
          <w:lang w:eastAsia="zh-CN"/>
        </w:rPr>
        <w:t>院</w:t>
      </w:r>
      <w:r>
        <w:rPr>
          <w:rFonts w:hint="default" w:ascii="Times New Roman" w:hAnsi="Times New Roman" w:cs="Times New Roman"/>
          <w:sz w:val="24"/>
        </w:rPr>
        <w:t>建立了</w:t>
      </w:r>
      <w:r>
        <w:rPr>
          <w:rFonts w:hint="eastAsia" w:ascii="Times New Roman" w:hAnsi="Times New Roman" w:cs="Times New Roman"/>
          <w:sz w:val="24"/>
          <w:lang w:eastAsia="zh-CN"/>
        </w:rPr>
        <w:t>毕业生就业联络员</w:t>
      </w:r>
      <w:r>
        <w:rPr>
          <w:rFonts w:hint="default" w:ascii="Times New Roman" w:hAnsi="Times New Roman" w:cs="Times New Roman"/>
          <w:sz w:val="24"/>
        </w:rPr>
        <w:t>QQ群</w:t>
      </w:r>
      <w:r>
        <w:rPr>
          <w:rFonts w:hint="eastAsia" w:ascii="Times New Roman" w:hAnsi="Times New Roman" w:cs="Times New Roman"/>
          <w:sz w:val="24"/>
          <w:lang w:eastAsia="zh-CN"/>
        </w:rPr>
        <w:t>、未就业学生群，</w:t>
      </w:r>
      <w:r>
        <w:rPr>
          <w:rFonts w:hint="default" w:ascii="Times New Roman" w:hAnsi="Times New Roman" w:cs="Times New Roman"/>
          <w:sz w:val="24"/>
        </w:rPr>
        <w:t>要求每位毕业生关注校就业指导中心就业</w:t>
      </w:r>
      <w:r>
        <w:rPr>
          <w:rFonts w:hint="eastAsia" w:ascii="Times New Roman" w:hAnsi="Times New Roman" w:cs="Times New Roman"/>
          <w:sz w:val="24"/>
          <w:lang w:val="en-US" w:eastAsia="zh-CN"/>
        </w:rPr>
        <w:t>QQ、</w:t>
      </w:r>
      <w:r>
        <w:rPr>
          <w:rFonts w:hint="default" w:ascii="Times New Roman" w:hAnsi="Times New Roman" w:cs="Times New Roman"/>
          <w:sz w:val="24"/>
        </w:rPr>
        <w:t>微信公众号。在网络上，辅导员每天都会发布就业指导中心提供的、</w:t>
      </w:r>
      <w:r>
        <w:rPr>
          <w:rFonts w:hint="default" w:ascii="Times New Roman" w:hAnsi="Times New Roman" w:cs="Times New Roman"/>
          <w:sz w:val="24"/>
          <w:lang w:eastAsia="zh-CN"/>
        </w:rPr>
        <w:t>院</w:t>
      </w:r>
      <w:r>
        <w:rPr>
          <w:rFonts w:hint="default" w:ascii="Times New Roman" w:hAnsi="Times New Roman" w:cs="Times New Roman"/>
          <w:sz w:val="24"/>
        </w:rPr>
        <w:t>内部教师搜集的、外</w:t>
      </w:r>
      <w:r>
        <w:rPr>
          <w:rFonts w:hint="default" w:ascii="Times New Roman" w:hAnsi="Times New Roman" w:cs="Times New Roman"/>
          <w:sz w:val="24"/>
          <w:lang w:eastAsia="zh-CN"/>
        </w:rPr>
        <w:t>院</w:t>
      </w:r>
      <w:r>
        <w:rPr>
          <w:rFonts w:hint="default" w:ascii="Times New Roman" w:hAnsi="Times New Roman" w:cs="Times New Roman"/>
          <w:sz w:val="24"/>
        </w:rPr>
        <w:t>教师提供的就业信息，以供参考。同学之间也可以通过QQ群进行交流。有些已经签约的同学也将自己单位或是以前应聘过、需要招聘人才的单位的供求信息发布在上面，以供没有求职意向的同学参考。通过QQ群同学之间可以互通有无，辅导员也可以及时为学生解答就业的政策和一些学生关心的问题，促进了学生之间、学生和老师之间的信息交流。</w:t>
      </w:r>
    </w:p>
    <w:p>
      <w:pPr>
        <w:spacing w:before="156" w:beforeLines="50" w:after="156" w:afterLines="50" w:line="360" w:lineRule="auto"/>
        <w:ind w:firstLine="482" w:firstLineChars="200"/>
        <w:jc w:val="center"/>
        <w:rPr>
          <w:rFonts w:hint="default" w:ascii="Times New Roman" w:hAnsi="Times New Roman" w:cs="Times New Roman"/>
          <w:b/>
          <w:color w:val="000000"/>
          <w:sz w:val="24"/>
        </w:rPr>
      </w:pPr>
      <w:r>
        <w:rPr>
          <w:rFonts w:hint="default" w:ascii="Times New Roman" w:hAnsi="Times New Roman" w:cs="Times New Roman"/>
          <w:b/>
          <w:bCs/>
          <w:color w:val="000000"/>
          <w:kern w:val="0"/>
          <w:sz w:val="24"/>
        </w:rPr>
        <w:t>第五部分：</w:t>
      </w:r>
      <w:r>
        <w:rPr>
          <w:rFonts w:hint="default" w:ascii="Times New Roman" w:hAnsi="Times New Roman" w:cs="Times New Roman"/>
          <w:b/>
          <w:bCs/>
          <w:color w:val="000000"/>
          <w:kern w:val="0"/>
          <w:sz w:val="24"/>
          <w:lang w:eastAsia="zh-CN"/>
        </w:rPr>
        <w:t>材化学院</w:t>
      </w:r>
      <w:r>
        <w:rPr>
          <w:rFonts w:hint="eastAsia" w:ascii="Times New Roman" w:hAnsi="Times New Roman" w:cs="Times New Roman"/>
          <w:b/>
          <w:color w:val="000000"/>
          <w:sz w:val="24"/>
          <w:lang w:val="en-US" w:eastAsia="zh-CN"/>
        </w:rPr>
        <w:t>2022</w:t>
      </w:r>
      <w:r>
        <w:rPr>
          <w:rFonts w:hint="default" w:ascii="Times New Roman" w:hAnsi="Times New Roman" w:cs="Times New Roman"/>
          <w:b/>
          <w:color w:val="000000"/>
          <w:sz w:val="24"/>
        </w:rPr>
        <w:t>届就业困难</w:t>
      </w:r>
      <w:r>
        <w:rPr>
          <w:rFonts w:hint="eastAsia" w:ascii="Times New Roman" w:hAnsi="Times New Roman" w:cs="Times New Roman"/>
          <w:b/>
          <w:color w:val="000000"/>
          <w:sz w:val="24"/>
          <w:lang w:eastAsia="zh-CN"/>
        </w:rPr>
        <w:t>、建档立卡、特殊情况等</w:t>
      </w:r>
      <w:r>
        <w:rPr>
          <w:rFonts w:hint="default" w:ascii="Times New Roman" w:hAnsi="Times New Roman" w:cs="Times New Roman"/>
          <w:b/>
          <w:color w:val="000000"/>
          <w:sz w:val="24"/>
        </w:rPr>
        <w:t>毕业生的帮扶情况</w:t>
      </w:r>
    </w:p>
    <w:p>
      <w:pPr>
        <w:spacing w:line="360" w:lineRule="auto"/>
        <w:ind w:firstLine="480" w:firstLineChars="200"/>
        <w:rPr>
          <w:rFonts w:hint="default" w:ascii="Times New Roman" w:hAnsi="Times New Roman" w:cs="Times New Roman"/>
          <w:color w:val="000000"/>
          <w:kern w:val="0"/>
          <w:sz w:val="24"/>
        </w:rPr>
      </w:pPr>
      <w:r>
        <w:rPr>
          <w:rFonts w:hint="eastAsia" w:ascii="Times New Roman" w:hAnsi="Times New Roman" w:cs="Times New Roman"/>
          <w:sz w:val="24"/>
          <w:lang w:val="en-US" w:eastAsia="zh-CN"/>
        </w:rPr>
        <w:t>我院2022届“建档立卡”贫困家庭毕业生人数达20人，同时对我院</w:t>
      </w:r>
      <w:r>
        <w:rPr>
          <w:rFonts w:hint="default" w:ascii="Times New Roman" w:hAnsi="Times New Roman" w:cs="Times New Roman"/>
          <w:sz w:val="24"/>
          <w:lang w:val="en-US" w:eastAsia="zh-CN"/>
        </w:rPr>
        <w:t>毕业生进行了摸排梳理，</w:t>
      </w:r>
      <w:r>
        <w:rPr>
          <w:rFonts w:hint="eastAsia" w:ascii="Times New Roman" w:hAnsi="Times New Roman" w:cs="Times New Roman"/>
          <w:color w:val="000000"/>
          <w:kern w:val="0"/>
          <w:sz w:val="24"/>
          <w:lang w:val="en-US" w:eastAsia="zh-CN"/>
        </w:rPr>
        <w:t>2022</w:t>
      </w:r>
      <w:r>
        <w:rPr>
          <w:rFonts w:hint="default" w:ascii="Times New Roman" w:hAnsi="Times New Roman" w:cs="Times New Roman"/>
          <w:color w:val="000000"/>
          <w:kern w:val="0"/>
          <w:sz w:val="24"/>
          <w:lang w:val="en-US" w:eastAsia="zh-CN"/>
        </w:rPr>
        <w:t>年，</w:t>
      </w:r>
      <w:r>
        <w:rPr>
          <w:rFonts w:hint="default" w:ascii="Times New Roman" w:hAnsi="Times New Roman" w:cs="Times New Roman"/>
          <w:color w:val="000000"/>
          <w:kern w:val="0"/>
          <w:sz w:val="24"/>
          <w:highlight w:val="none"/>
          <w:lang w:val="en-US" w:eastAsia="zh-CN"/>
        </w:rPr>
        <w:t>我院对所有毕业生进行了摸排梳理，确定有</w:t>
      </w:r>
      <w:r>
        <w:rPr>
          <w:rFonts w:hint="eastAsia" w:ascii="Times New Roman" w:hAnsi="Times New Roman" w:cs="Times New Roman"/>
          <w:color w:val="000000"/>
          <w:kern w:val="0"/>
          <w:sz w:val="24"/>
          <w:highlight w:val="none"/>
          <w:lang w:val="en-US" w:eastAsia="zh-CN"/>
        </w:rPr>
        <w:t>5</w:t>
      </w:r>
      <w:r>
        <w:rPr>
          <w:rFonts w:hint="default" w:ascii="Times New Roman" w:hAnsi="Times New Roman" w:cs="Times New Roman"/>
          <w:color w:val="000000"/>
          <w:kern w:val="0"/>
          <w:sz w:val="24"/>
          <w:highlight w:val="none"/>
          <w:lang w:val="en-US" w:eastAsia="zh-CN"/>
        </w:rPr>
        <w:t>名毕业生存在就业困难。为解决这5名就业困难学生的就业问题，我</w:t>
      </w:r>
      <w:r>
        <w:rPr>
          <w:rFonts w:hint="default" w:ascii="Times New Roman" w:hAnsi="Times New Roman" w:cs="Times New Roman"/>
          <w:color w:val="000000"/>
          <w:kern w:val="0"/>
          <w:sz w:val="24"/>
          <w:lang w:val="en-US" w:eastAsia="zh-CN"/>
        </w:rPr>
        <w:t>院采取了一对一帮扶措施，制定了帮扶方案，</w:t>
      </w:r>
      <w:r>
        <w:rPr>
          <w:rFonts w:hint="default" w:ascii="Times New Roman" w:hAnsi="Times New Roman" w:cs="Times New Roman"/>
          <w:color w:val="000000"/>
          <w:kern w:val="0"/>
          <w:sz w:val="24"/>
          <w:lang w:eastAsia="zh-CN"/>
        </w:rPr>
        <w:t>重点从以下几个方面帮助就业困难的毕业生：一是</w:t>
      </w:r>
      <w:r>
        <w:rPr>
          <w:rFonts w:hint="default" w:ascii="Times New Roman" w:hAnsi="Times New Roman" w:cs="Times New Roman"/>
          <w:color w:val="000000"/>
          <w:sz w:val="24"/>
        </w:rPr>
        <w:t>建立师生“一对一”帮扶制度。对于困难毕业生，</w:t>
      </w:r>
      <w:r>
        <w:rPr>
          <w:rFonts w:hint="default" w:ascii="Times New Roman" w:hAnsi="Times New Roman" w:cs="Times New Roman"/>
          <w:color w:val="000000"/>
          <w:sz w:val="24"/>
          <w:lang w:eastAsia="zh-CN"/>
        </w:rPr>
        <w:t>院</w:t>
      </w:r>
      <w:r>
        <w:rPr>
          <w:rFonts w:hint="default" w:ascii="Times New Roman" w:hAnsi="Times New Roman" w:cs="Times New Roman"/>
          <w:color w:val="000000"/>
          <w:sz w:val="24"/>
        </w:rPr>
        <w:t>部党政领导、学科教师、辅导员主动参与“一对一”就业帮扶活动，为就业困难毕业生“送指导、送技能、送岗位”。</w:t>
      </w:r>
      <w:r>
        <w:rPr>
          <w:rFonts w:hint="default" w:ascii="Times New Roman" w:hAnsi="Times New Roman" w:cs="Times New Roman"/>
          <w:color w:val="000000"/>
          <w:sz w:val="24"/>
          <w:lang w:eastAsia="zh-CN"/>
        </w:rPr>
        <w:t>二是</w:t>
      </w:r>
      <w:r>
        <w:rPr>
          <w:rFonts w:hint="default" w:ascii="Times New Roman" w:hAnsi="Times New Roman" w:cs="Times New Roman"/>
          <w:color w:val="000000"/>
          <w:kern w:val="0"/>
          <w:sz w:val="24"/>
        </w:rPr>
        <w:t>做好心理辅导，加强求职指导。对于恐惧就业和</w:t>
      </w:r>
      <w:r>
        <w:rPr>
          <w:rFonts w:hint="default" w:ascii="Times New Roman" w:hAnsi="Times New Roman" w:cs="Times New Roman"/>
          <w:color w:val="000000"/>
          <w:kern w:val="0"/>
          <w:sz w:val="24"/>
          <w:lang w:eastAsia="zh-CN"/>
        </w:rPr>
        <w:t>不善表达</w:t>
      </w:r>
      <w:r>
        <w:rPr>
          <w:rFonts w:hint="default" w:ascii="Times New Roman" w:hAnsi="Times New Roman" w:cs="Times New Roman"/>
          <w:color w:val="000000"/>
          <w:kern w:val="0"/>
          <w:sz w:val="24"/>
        </w:rPr>
        <w:t>等原因就业困难的学生，我们在摸排后帮助其</w:t>
      </w:r>
      <w:r>
        <w:rPr>
          <w:rFonts w:hint="default" w:ascii="Times New Roman" w:hAnsi="Times New Roman" w:cs="Times New Roman"/>
          <w:color w:val="000000"/>
          <w:kern w:val="0"/>
          <w:sz w:val="24"/>
          <w:lang w:eastAsia="zh-CN"/>
        </w:rPr>
        <w:t>联系</w:t>
      </w:r>
      <w:r>
        <w:rPr>
          <w:rFonts w:hint="default" w:ascii="Times New Roman" w:hAnsi="Times New Roman" w:cs="Times New Roman"/>
          <w:color w:val="000000"/>
          <w:kern w:val="0"/>
          <w:sz w:val="24"/>
        </w:rPr>
        <w:t>就业单位的基础上，由辅导员帮助做好其心理疏导，缓解其心理压力。</w:t>
      </w:r>
      <w:r>
        <w:rPr>
          <w:rFonts w:hint="default" w:ascii="Times New Roman" w:hAnsi="Times New Roman" w:cs="Times New Roman"/>
          <w:color w:val="000000"/>
          <w:kern w:val="0"/>
          <w:sz w:val="24"/>
          <w:lang w:eastAsia="zh-CN"/>
        </w:rPr>
        <w:t>三是</w:t>
      </w:r>
      <w:r>
        <w:rPr>
          <w:rFonts w:hint="default" w:ascii="Times New Roman" w:hAnsi="Times New Roman" w:cs="Times New Roman"/>
          <w:color w:val="000000"/>
          <w:kern w:val="0"/>
          <w:sz w:val="24"/>
        </w:rPr>
        <w:t>及时统计经济困难学生状况，及时发放求职补贴。</w:t>
      </w:r>
    </w:p>
    <w:p>
      <w:pPr>
        <w:spacing w:line="360" w:lineRule="auto"/>
        <w:ind w:firstLine="482" w:firstLineChars="200"/>
        <w:rPr>
          <w:rFonts w:hint="default" w:ascii="Times New Roman" w:hAnsi="Times New Roman" w:eastAsia="宋体" w:cs="Times New Roman"/>
          <w:b/>
          <w:bCs/>
          <w:color w:val="000000"/>
          <w:kern w:val="0"/>
          <w:sz w:val="24"/>
          <w:lang w:val="en-US" w:eastAsia="zh-CN"/>
        </w:rPr>
      </w:pPr>
      <w:r>
        <w:rPr>
          <w:rFonts w:hint="eastAsia" w:ascii="Times New Roman" w:hAnsi="Times New Roman" w:cs="Times New Roman"/>
          <w:b/>
          <w:bCs/>
          <w:color w:val="000000"/>
          <w:kern w:val="0"/>
          <w:sz w:val="24"/>
          <w:lang w:val="en-US" w:eastAsia="zh-CN"/>
        </w:rPr>
        <w:t>5.1材化学院帮扶案例</w:t>
      </w:r>
    </w:p>
    <w:p>
      <w:pPr>
        <w:spacing w:line="360" w:lineRule="auto"/>
        <w:ind w:firstLine="480" w:firstLineChars="200"/>
        <w:rPr>
          <w:rFonts w:hint="eastAsia" w:ascii="Times New Roman" w:hAnsi="Times New Roman" w:cs="Times New Roman"/>
          <w:b w:val="0"/>
          <w:bCs w:val="0"/>
          <w:sz w:val="24"/>
          <w:lang w:val="en-US" w:eastAsia="zh-CN"/>
        </w:rPr>
      </w:pPr>
      <w:r>
        <w:rPr>
          <w:rFonts w:hint="eastAsia" w:ascii="Times New Roman" w:hAnsi="Times New Roman" w:cs="Times New Roman"/>
          <w:b w:val="0"/>
          <w:bCs w:val="0"/>
          <w:sz w:val="24"/>
          <w:lang w:val="en-US" w:eastAsia="zh-CN"/>
        </w:rPr>
        <w:t>林雨，学号1803081032，女，18能源班学生，江西萍乡人。调剂进合肥学院能源材料与化工学院能源化工专业。由于家庭原因，一直想要从事财务、经济类工作，在做职业生涯规划时，特别想考财经类研究生。由于财经类分数线较高，2022年考中南财经大学未通过学校复试线，并且拒绝调剂。辅导员魏安乐多次为其联系工作单位，抗拒心理一直较强。在校友招聘会上，魏安乐老师推荐由我院毕业生蒋尚伟创立的安徽绿萝科技有限公司为其提供就业岗位，双方谈好工作待遇，表示尊重学生意愿，如果届时考研，不会对其产生影响，并在安徽省大学生就业管理系统中将应聘岗位提供给了该同学。但是该同学7月回家后，在家人的劝说下，还是放弃了本次就业机会，决定专心考研。目前该生处于备考过程中。</w:t>
      </w:r>
    </w:p>
    <w:p>
      <w:pPr>
        <w:spacing w:line="360" w:lineRule="auto"/>
        <w:ind w:firstLine="480" w:firstLineChars="200"/>
        <w:rPr>
          <w:rFonts w:hint="eastAsia" w:ascii="Times New Roman" w:hAnsi="Times New Roman" w:cs="Times New Roman"/>
          <w:b w:val="0"/>
          <w:bCs w:val="0"/>
          <w:sz w:val="24"/>
          <w:lang w:val="en-US" w:eastAsia="zh-CN"/>
        </w:rPr>
      </w:pPr>
      <w:r>
        <w:rPr>
          <w:rFonts w:hint="eastAsia" w:ascii="Times New Roman" w:hAnsi="Times New Roman" w:cs="Times New Roman"/>
          <w:b w:val="0"/>
          <w:bCs w:val="0"/>
          <w:sz w:val="24"/>
          <w:lang w:val="en-US" w:eastAsia="zh-CN"/>
        </w:rPr>
        <w:t>甘振乐，学号1702031033，男，18能源班学生，安徽六安人，由生物学院转到本专业。由17级编下而来，心理问题严重，2022年未能顺利毕业，属于结业生。2021年开始准备考研究生，建议其做两手准备，降低考研期望。为该同学联系学院专业课教师做辅导，为重修课程复习提供辅导。下半年由于疫情和家庭关系原因，毕业时所有课程仍未修完。由于该同学父亲是从事汽车运输行业，有自己的汽车，因此劝说该同学先和父亲一起从事运输行业，一方面工作，一方面调整心态。此后一直跟随自己的父亲跑运输，同时备考研究生。但是教育部反馈该同学提供的就业单位社会信用代码不正确，因此在安徽省大学生就业系统中显示为未就业。</w:t>
      </w:r>
    </w:p>
    <w:p>
      <w:pPr>
        <w:spacing w:line="360" w:lineRule="auto"/>
        <w:ind w:firstLine="482" w:firstLineChars="200"/>
        <w:rPr>
          <w:rFonts w:hint="eastAsia" w:ascii="Times New Roman" w:hAnsi="Times New Roman" w:cs="Times New Roman"/>
          <w:sz w:val="24"/>
          <w:lang w:val="en-US" w:eastAsia="zh-CN"/>
        </w:rPr>
      </w:pPr>
      <w:r>
        <w:rPr>
          <w:rFonts w:hint="eastAsia" w:ascii="Times New Roman" w:hAnsi="Times New Roman" w:cs="Times New Roman"/>
          <w:b/>
          <w:bCs/>
          <w:sz w:val="24"/>
          <w:lang w:val="en-US" w:eastAsia="zh-CN"/>
        </w:rPr>
        <w:t>5.2未就业学生现状</w:t>
      </w:r>
    </w:p>
    <w:p>
      <w:pPr>
        <w:pStyle w:val="4"/>
        <w:keepNext w:val="0"/>
        <w:keepLines w:val="0"/>
        <w:pageBreakBefore w:val="0"/>
        <w:widowControl w:val="0"/>
        <w:kinsoku/>
        <w:wordWrap/>
        <w:overflowPunct/>
        <w:topLinePunct w:val="0"/>
        <w:autoSpaceDE w:val="0"/>
        <w:autoSpaceDN w:val="0"/>
        <w:bidi w:val="0"/>
        <w:adjustRightInd/>
        <w:snapToGrid/>
        <w:spacing w:line="360" w:lineRule="auto"/>
        <w:ind w:left="0" w:firstLine="480" w:firstLineChars="200"/>
        <w:textAlignment w:val="auto"/>
        <w:rPr>
          <w:rFonts w:hint="eastAsia" w:ascii="Times New Roman" w:hAnsi="Times New Roman" w:eastAsia="宋体" w:cs="Times New Roman"/>
          <w:b w:val="0"/>
          <w:bCs w:val="0"/>
          <w:kern w:val="2"/>
          <w:sz w:val="24"/>
          <w:szCs w:val="24"/>
          <w:lang w:val="en-US" w:eastAsia="zh-CN" w:bidi="ar-SA"/>
        </w:rPr>
      </w:pPr>
      <w:r>
        <w:rPr>
          <w:rFonts w:hint="eastAsia" w:ascii="Times New Roman" w:hAnsi="Times New Roman" w:eastAsia="宋体" w:cs="Times New Roman"/>
          <w:b w:val="0"/>
          <w:bCs w:val="0"/>
          <w:kern w:val="2"/>
          <w:sz w:val="24"/>
          <w:szCs w:val="24"/>
          <w:lang w:val="en-US" w:eastAsia="zh-CN" w:bidi="ar-SA"/>
        </w:rPr>
        <w:t>叶雯婷，18化工专业毕业生。该生在校期间，学习动力不足，辅导员姚蓓蓓多次带着她联系各授课老师，希望老师们给予重点指导，结果该生连期末考试都不参加，以至于多门课程不及格，其家长均是体制内工作，一味地希望孩子考公务员，辅导员与家长联系，针对她的学习状态，建议先工作一段时间，调整好心态再决定是否返校重修课程，临近毕业家长要求孩子毕业后在学校附近租房子，重修课程，拿到毕业证后再工作，以至于到目前为止还未就业。</w:t>
      </w:r>
    </w:p>
    <w:p>
      <w:pPr>
        <w:pStyle w:val="4"/>
        <w:keepNext w:val="0"/>
        <w:keepLines w:val="0"/>
        <w:pageBreakBefore w:val="0"/>
        <w:widowControl w:val="0"/>
        <w:kinsoku/>
        <w:wordWrap/>
        <w:overflowPunct/>
        <w:topLinePunct w:val="0"/>
        <w:autoSpaceDE w:val="0"/>
        <w:autoSpaceDN w:val="0"/>
        <w:bidi w:val="0"/>
        <w:adjustRightInd/>
        <w:snapToGrid/>
        <w:spacing w:line="360" w:lineRule="auto"/>
        <w:ind w:left="0" w:firstLine="480" w:firstLineChars="200"/>
        <w:textAlignment w:val="auto"/>
        <w:rPr>
          <w:rFonts w:hint="default" w:ascii="Times New Roman" w:hAnsi="Times New Roman" w:cs="Times New Roman"/>
          <w:sz w:val="24"/>
          <w:lang w:val="en-US" w:eastAsia="zh-CN"/>
        </w:rPr>
      </w:pPr>
      <w:r>
        <w:rPr>
          <w:rFonts w:hint="eastAsia" w:ascii="Times New Roman" w:hAnsi="Times New Roman" w:eastAsia="宋体" w:cs="Times New Roman"/>
          <w:b w:val="0"/>
          <w:bCs w:val="0"/>
          <w:kern w:val="2"/>
          <w:sz w:val="24"/>
          <w:szCs w:val="24"/>
          <w:lang w:val="en-US" w:eastAsia="zh-CN" w:bidi="ar-SA"/>
        </w:rPr>
        <w:t>除此之外未就业的</w:t>
      </w:r>
      <w:r>
        <w:rPr>
          <w:rFonts w:ascii="宋体" w:hAnsi="宋体" w:eastAsia="宋体" w:cs="宋体"/>
          <w:sz w:val="24"/>
          <w:szCs w:val="24"/>
        </w:rPr>
        <w:t>郜伟涛、程芳、黄伟杰、姚思敏</w:t>
      </w:r>
      <w:r>
        <w:rPr>
          <w:rFonts w:hint="eastAsia" w:ascii="宋体" w:hAnsi="宋体" w:eastAsia="宋体" w:cs="宋体"/>
          <w:sz w:val="24"/>
          <w:szCs w:val="24"/>
          <w:lang w:val="en-US" w:eastAsia="zh-CN"/>
        </w:rPr>
        <w:t>和</w:t>
      </w:r>
      <w:r>
        <w:rPr>
          <w:rFonts w:ascii="宋体" w:hAnsi="宋体" w:eastAsia="宋体" w:cs="宋体"/>
          <w:sz w:val="24"/>
          <w:szCs w:val="24"/>
        </w:rPr>
        <w:t>黄诚瀚五位同学均是在第一次考研中未发挥好，决定专心致志二战的学生，并表示等这次考研结束再找工作。</w:t>
      </w:r>
    </w:p>
    <w:p>
      <w:pPr>
        <w:spacing w:before="156" w:beforeLines="50" w:after="156" w:afterLines="50" w:line="360" w:lineRule="auto"/>
        <w:ind w:firstLine="602" w:firstLineChars="250"/>
        <w:jc w:val="center"/>
        <w:rPr>
          <w:rFonts w:hint="default" w:ascii="Times New Roman" w:hAnsi="Times New Roman" w:cs="Times New Roman"/>
          <w:b/>
          <w:sz w:val="24"/>
        </w:rPr>
      </w:pPr>
      <w:r>
        <w:rPr>
          <w:rFonts w:hint="default" w:ascii="Times New Roman" w:hAnsi="Times New Roman" w:cs="Times New Roman"/>
          <w:b/>
          <w:bCs/>
          <w:color w:val="000000"/>
          <w:kern w:val="0"/>
          <w:sz w:val="24"/>
        </w:rPr>
        <w:t>第六部分：</w:t>
      </w:r>
      <w:r>
        <w:rPr>
          <w:rFonts w:hint="default" w:ascii="Times New Roman" w:hAnsi="Times New Roman" w:cs="Times New Roman"/>
          <w:b/>
          <w:bCs/>
          <w:color w:val="000000"/>
          <w:kern w:val="0"/>
          <w:sz w:val="24"/>
          <w:lang w:eastAsia="zh-CN"/>
        </w:rPr>
        <w:t>材化学院</w:t>
      </w:r>
      <w:r>
        <w:rPr>
          <w:rFonts w:hint="default" w:ascii="Times New Roman" w:hAnsi="Times New Roman" w:cs="Times New Roman"/>
          <w:b/>
          <w:sz w:val="24"/>
        </w:rPr>
        <w:t>历届毕业生跟踪调查报告</w:t>
      </w:r>
    </w:p>
    <w:p>
      <w:pPr>
        <w:spacing w:line="360" w:lineRule="auto"/>
        <w:ind w:firstLine="480" w:firstLineChars="200"/>
        <w:rPr>
          <w:rFonts w:hint="default" w:ascii="Times New Roman" w:hAnsi="Times New Roman" w:cs="Times New Roman"/>
          <w:color w:val="000000"/>
          <w:sz w:val="24"/>
        </w:rPr>
      </w:pPr>
      <w:r>
        <w:rPr>
          <w:rFonts w:hint="eastAsia" w:ascii="Times New Roman" w:hAnsi="Times New Roman" w:cs="Times New Roman"/>
          <w:color w:val="auto"/>
          <w:sz w:val="24"/>
          <w:lang w:val="en-US" w:eastAsia="zh-CN"/>
        </w:rPr>
        <w:t>2022</w:t>
      </w:r>
      <w:r>
        <w:rPr>
          <w:rFonts w:hint="default" w:ascii="Times New Roman" w:hAnsi="Times New Roman" w:cs="Times New Roman"/>
          <w:color w:val="auto"/>
          <w:sz w:val="24"/>
          <w:lang w:val="en-US" w:eastAsia="zh-CN"/>
        </w:rPr>
        <w:t>年，我院对2012-20</w:t>
      </w:r>
      <w:r>
        <w:rPr>
          <w:rFonts w:hint="eastAsia" w:ascii="Times New Roman" w:hAnsi="Times New Roman" w:cs="Times New Roman"/>
          <w:color w:val="auto"/>
          <w:sz w:val="24"/>
          <w:lang w:val="en-US" w:eastAsia="zh-CN"/>
        </w:rPr>
        <w:t>22</w:t>
      </w:r>
      <w:r>
        <w:rPr>
          <w:rFonts w:hint="default" w:ascii="Times New Roman" w:hAnsi="Times New Roman" w:cs="Times New Roman"/>
          <w:color w:val="auto"/>
          <w:sz w:val="24"/>
          <w:lang w:val="en-US" w:eastAsia="zh-CN"/>
        </w:rPr>
        <w:t>届各专业毕业生和部分用人单位进行了跟踪调查，</w:t>
      </w:r>
      <w:r>
        <w:rPr>
          <w:rFonts w:hint="default" w:ascii="Times New Roman" w:hAnsi="Times New Roman" w:cs="Times New Roman"/>
          <w:color w:val="auto"/>
          <w:sz w:val="24"/>
        </w:rPr>
        <w:t>此次跟踪调查的目的主要是了解毕业生的就业状况，以及他们对我</w:t>
      </w:r>
      <w:r>
        <w:rPr>
          <w:rFonts w:hint="default" w:ascii="Times New Roman" w:hAnsi="Times New Roman" w:cs="Times New Roman"/>
          <w:color w:val="auto"/>
          <w:sz w:val="24"/>
          <w:lang w:eastAsia="zh-CN"/>
        </w:rPr>
        <w:t>院</w:t>
      </w:r>
      <w:r>
        <w:rPr>
          <w:rFonts w:hint="default" w:ascii="Times New Roman" w:hAnsi="Times New Roman" w:cs="Times New Roman"/>
          <w:color w:val="auto"/>
          <w:sz w:val="24"/>
        </w:rPr>
        <w:t>就业指导工作的意见和建议；了解用人单位对我</w:t>
      </w:r>
      <w:r>
        <w:rPr>
          <w:rFonts w:hint="default" w:ascii="Times New Roman" w:hAnsi="Times New Roman" w:cs="Times New Roman"/>
          <w:color w:val="auto"/>
          <w:sz w:val="24"/>
          <w:lang w:eastAsia="zh-CN"/>
        </w:rPr>
        <w:t>院</w:t>
      </w:r>
      <w:r>
        <w:rPr>
          <w:rFonts w:hint="default" w:ascii="Times New Roman" w:hAnsi="Times New Roman" w:cs="Times New Roman"/>
          <w:color w:val="auto"/>
          <w:sz w:val="24"/>
        </w:rPr>
        <w:t>毕业生的思想品德、专业技能、管理能力和工作能力等方面的总体评价，找出毕业生存在的问题和不足。通过跟踪调查，可以进一步了解毕业生和用人单位的各方意见，找出我们工作中的一些不足，为做好今后的就业工作提</w:t>
      </w:r>
      <w:r>
        <w:rPr>
          <w:rFonts w:hint="default" w:ascii="Times New Roman" w:hAnsi="Times New Roman" w:cs="Times New Roman"/>
          <w:color w:val="000000"/>
          <w:sz w:val="24"/>
        </w:rPr>
        <w:t>供重要的参考和补充。</w:t>
      </w:r>
    </w:p>
    <w:p>
      <w:pPr>
        <w:spacing w:line="360" w:lineRule="auto"/>
        <w:ind w:firstLine="480" w:firstLineChars="200"/>
        <w:rPr>
          <w:rFonts w:hint="default" w:ascii="Times New Roman" w:hAnsi="Times New Roman" w:cs="Times New Roman"/>
          <w:color w:val="000000"/>
          <w:sz w:val="24"/>
        </w:rPr>
      </w:pPr>
      <w:r>
        <w:rPr>
          <w:rFonts w:hint="default" w:ascii="Times New Roman" w:hAnsi="Times New Roman" w:cs="Times New Roman"/>
          <w:color w:val="000000"/>
          <w:sz w:val="24"/>
        </w:rPr>
        <w:t>根据用人单位的反馈，我</w:t>
      </w:r>
      <w:r>
        <w:rPr>
          <w:rFonts w:hint="default" w:ascii="Times New Roman" w:hAnsi="Times New Roman" w:cs="Times New Roman"/>
          <w:color w:val="000000"/>
          <w:sz w:val="24"/>
          <w:lang w:eastAsia="zh-CN"/>
        </w:rPr>
        <w:t>院</w:t>
      </w:r>
      <w:r>
        <w:rPr>
          <w:rFonts w:hint="default" w:ascii="Times New Roman" w:hAnsi="Times New Roman" w:cs="Times New Roman"/>
          <w:color w:val="000000"/>
          <w:sz w:val="24"/>
        </w:rPr>
        <w:t>毕业生由于其较高的综合素质、端正的工作态度、良好的工作作风、扎实的理论功底、良好的适应能力和较强的实践能力而得到用人单位的肯定，并能适应新的岗位的挑战，在工作上表现良好。用人单位对我</w:t>
      </w:r>
      <w:r>
        <w:rPr>
          <w:rFonts w:hint="default" w:ascii="Times New Roman" w:hAnsi="Times New Roman" w:cs="Times New Roman"/>
          <w:color w:val="000000"/>
          <w:sz w:val="24"/>
          <w:lang w:eastAsia="zh-CN"/>
        </w:rPr>
        <w:t>院</w:t>
      </w:r>
      <w:r>
        <w:rPr>
          <w:rFonts w:hint="default" w:ascii="Times New Roman" w:hAnsi="Times New Roman" w:cs="Times New Roman"/>
          <w:color w:val="000000"/>
          <w:sz w:val="24"/>
        </w:rPr>
        <w:t>毕业生持肯定态度的原因主要有以下几点：定位准确。我</w:t>
      </w:r>
      <w:r>
        <w:rPr>
          <w:rFonts w:hint="default" w:ascii="Times New Roman" w:hAnsi="Times New Roman" w:cs="Times New Roman"/>
          <w:color w:val="000000"/>
          <w:sz w:val="24"/>
          <w:lang w:eastAsia="zh-CN"/>
        </w:rPr>
        <w:t>院</w:t>
      </w:r>
      <w:r>
        <w:rPr>
          <w:rFonts w:hint="default" w:ascii="Times New Roman" w:hAnsi="Times New Roman" w:cs="Times New Roman"/>
          <w:color w:val="000000"/>
          <w:sz w:val="24"/>
        </w:rPr>
        <w:t>毕业生对自己的定位相对准确，能够认清楚自己的职业发展走向，愿意从最基层做起。能吃苦，接收安排。</w:t>
      </w:r>
    </w:p>
    <w:p>
      <w:pPr>
        <w:spacing w:line="360" w:lineRule="auto"/>
        <w:ind w:firstLine="480" w:firstLineChars="200"/>
        <w:rPr>
          <w:rFonts w:hint="default" w:ascii="Times New Roman" w:hAnsi="Times New Roman" w:cs="Times New Roman"/>
          <w:color w:val="000000"/>
          <w:sz w:val="24"/>
        </w:rPr>
      </w:pPr>
      <w:r>
        <w:rPr>
          <w:rFonts w:hint="default" w:ascii="Times New Roman" w:hAnsi="Times New Roman" w:cs="Times New Roman"/>
          <w:color w:val="000000"/>
          <w:sz w:val="24"/>
        </w:rPr>
        <w:t>根据毕业生的反馈，学生们普遍认为对他们的工作影响最大的就是知识技能和实践经验，特别是参加科技实践等较多的同学对指导老师有着深刻的记忆，老师们务实的态度、严谨的工作作风、渊博的知识对他们产生深刻的影响。他们建议，在今后的学生培养方面真正</w:t>
      </w:r>
      <w:r>
        <w:rPr>
          <w:rFonts w:hint="eastAsia" w:ascii="Times New Roman" w:hAnsi="Times New Roman" w:cs="Times New Roman"/>
          <w:color w:val="000000"/>
          <w:sz w:val="24"/>
          <w:lang w:eastAsia="zh-CN"/>
        </w:rPr>
        <w:t>地</w:t>
      </w:r>
      <w:r>
        <w:rPr>
          <w:rFonts w:hint="default" w:ascii="Times New Roman" w:hAnsi="Times New Roman" w:cs="Times New Roman"/>
          <w:color w:val="000000"/>
          <w:sz w:val="24"/>
        </w:rPr>
        <w:t>重视学生实际动手操作能力的培养，让各类实习</w:t>
      </w:r>
      <w:r>
        <w:rPr>
          <w:rFonts w:hint="eastAsia" w:ascii="Times New Roman" w:hAnsi="Times New Roman" w:cs="Times New Roman"/>
          <w:color w:val="000000"/>
          <w:sz w:val="24"/>
          <w:lang w:eastAsia="zh-CN"/>
        </w:rPr>
        <w:t>真正地发挥作用</w:t>
      </w:r>
      <w:r>
        <w:rPr>
          <w:rFonts w:hint="default" w:ascii="Times New Roman" w:hAnsi="Times New Roman" w:cs="Times New Roman"/>
          <w:color w:val="000000"/>
          <w:sz w:val="24"/>
        </w:rPr>
        <w:t>。此外，也有部分毕业生反映化工厂的实际操作和课本知识差距很大，可以多组织学生到工厂实习，多接触工厂的第一线生产，特别是很多同学发现现在的生产线的中控室和以前理解的生产线有着很大的差异，很有必要提前了解，消除误解。我</w:t>
      </w:r>
      <w:r>
        <w:rPr>
          <w:rFonts w:hint="default" w:ascii="Times New Roman" w:hAnsi="Times New Roman" w:cs="Times New Roman"/>
          <w:color w:val="000000"/>
          <w:sz w:val="24"/>
          <w:lang w:eastAsia="zh-CN"/>
        </w:rPr>
        <w:t>院</w:t>
      </w:r>
      <w:r>
        <w:rPr>
          <w:rFonts w:hint="default" w:ascii="Times New Roman" w:hAnsi="Times New Roman" w:cs="Times New Roman"/>
          <w:color w:val="000000"/>
          <w:sz w:val="24"/>
        </w:rPr>
        <w:t>注重培养学生的理论知识也给广大毕业生带来了切实的好处，很多毕业生现在已经成为工厂的技术人员和研发人员。虽然暂时还不能独当一面，但他们的发展空间非常广阔，许多有经验的工人</w:t>
      </w:r>
      <w:r>
        <w:rPr>
          <w:rFonts w:hint="eastAsia" w:ascii="Times New Roman" w:hAnsi="Times New Roman" w:cs="Times New Roman"/>
          <w:color w:val="000000"/>
          <w:sz w:val="24"/>
          <w:lang w:eastAsia="zh-CN"/>
        </w:rPr>
        <w:t>还不时地</w:t>
      </w:r>
      <w:r>
        <w:rPr>
          <w:rFonts w:hint="default" w:ascii="Times New Roman" w:hAnsi="Times New Roman" w:cs="Times New Roman"/>
          <w:color w:val="000000"/>
          <w:sz w:val="24"/>
        </w:rPr>
        <w:t xml:space="preserve">向他们请教一些理论知识。      </w:t>
      </w:r>
    </w:p>
    <w:p>
      <w:pPr>
        <w:spacing w:line="360" w:lineRule="auto"/>
        <w:ind w:firstLine="480" w:firstLineChars="200"/>
        <w:rPr>
          <w:rFonts w:hint="default" w:ascii="Times New Roman" w:hAnsi="Times New Roman" w:cs="Times New Roman"/>
          <w:sz w:val="24"/>
        </w:rPr>
      </w:pPr>
      <w:r>
        <w:rPr>
          <w:rFonts w:hint="default" w:ascii="Times New Roman" w:hAnsi="Times New Roman" w:cs="Times New Roman"/>
          <w:color w:val="000000"/>
          <w:sz w:val="24"/>
        </w:rPr>
        <w:t>另外，通过这次跟踪调查我们也看到了不足，在学生敬业精神、创新能力等方面还存在不足，个别同学爱岗、敬业意识欠佳，有少数学生没干多久就“远走高飞”。还有部分学生吃苦耐劳精神不够，不愿意深入工作一线或是“三班倒”。通过以上跟踪调查和结果分析，我</w:t>
      </w:r>
      <w:r>
        <w:rPr>
          <w:rFonts w:hint="default" w:ascii="Times New Roman" w:hAnsi="Times New Roman" w:cs="Times New Roman"/>
          <w:color w:val="000000"/>
          <w:sz w:val="24"/>
          <w:lang w:eastAsia="zh-CN"/>
        </w:rPr>
        <w:t>院</w:t>
      </w:r>
      <w:r>
        <w:rPr>
          <w:rFonts w:hint="default" w:ascii="Times New Roman" w:hAnsi="Times New Roman" w:cs="Times New Roman"/>
          <w:color w:val="000000"/>
          <w:sz w:val="24"/>
        </w:rPr>
        <w:t>今后的教学及学生管理等方面的工作应该加强。具体措施：一要</w:t>
      </w:r>
      <w:r>
        <w:rPr>
          <w:rFonts w:hint="eastAsia" w:ascii="Times New Roman" w:hAnsi="Times New Roman" w:cs="Times New Roman"/>
          <w:color w:val="000000"/>
          <w:sz w:val="24"/>
          <w:lang w:eastAsia="zh-CN"/>
        </w:rPr>
        <w:t>加大</w:t>
      </w:r>
      <w:r>
        <w:rPr>
          <w:rFonts w:hint="default" w:ascii="Times New Roman" w:hAnsi="Times New Roman" w:cs="Times New Roman"/>
          <w:color w:val="000000"/>
          <w:sz w:val="24"/>
        </w:rPr>
        <w:t>实践教学改革的力度；二要利用好第二课堂的学分要求，积极开展丰富多彩的第二课堂活动，增强学生的创新意识；三要做好思想工作，重视学生的职业道德教育。</w:t>
      </w:r>
    </w:p>
    <w:p>
      <w:pPr>
        <w:spacing w:before="156" w:beforeLines="50" w:after="156" w:afterLines="50" w:line="360" w:lineRule="auto"/>
        <w:ind w:firstLine="602" w:firstLineChars="250"/>
        <w:jc w:val="center"/>
        <w:rPr>
          <w:rFonts w:hint="default" w:ascii="Times New Roman" w:hAnsi="Times New Roman" w:cs="Times New Roman"/>
          <w:b/>
          <w:bCs/>
          <w:color w:val="auto"/>
          <w:sz w:val="24"/>
        </w:rPr>
      </w:pPr>
      <w:r>
        <w:rPr>
          <w:rFonts w:hint="default" w:ascii="Times New Roman" w:hAnsi="Times New Roman" w:cs="Times New Roman"/>
          <w:b/>
          <w:bCs/>
          <w:color w:val="auto"/>
          <w:kern w:val="0"/>
          <w:sz w:val="24"/>
        </w:rPr>
        <w:t>第七部分：</w:t>
      </w:r>
      <w:r>
        <w:rPr>
          <w:rFonts w:hint="default" w:ascii="Times New Roman" w:hAnsi="Times New Roman" w:cs="Times New Roman"/>
          <w:b/>
          <w:bCs/>
          <w:color w:val="auto"/>
          <w:kern w:val="0"/>
          <w:sz w:val="24"/>
          <w:lang w:eastAsia="zh-CN"/>
        </w:rPr>
        <w:t>材化学院</w:t>
      </w:r>
      <w:r>
        <w:rPr>
          <w:rFonts w:hint="default" w:ascii="Times New Roman" w:hAnsi="Times New Roman" w:cs="Times New Roman"/>
          <w:b/>
          <w:color w:val="auto"/>
          <w:sz w:val="24"/>
          <w:lang w:eastAsia="zh-CN"/>
        </w:rPr>
        <w:t>20</w:t>
      </w:r>
      <w:r>
        <w:rPr>
          <w:rFonts w:hint="eastAsia" w:ascii="Times New Roman" w:hAnsi="Times New Roman" w:cs="Times New Roman"/>
          <w:b/>
          <w:color w:val="auto"/>
          <w:sz w:val="24"/>
          <w:lang w:val="en-US" w:eastAsia="zh-CN"/>
        </w:rPr>
        <w:t>22</w:t>
      </w:r>
      <w:r>
        <w:rPr>
          <w:rFonts w:hint="default" w:ascii="Times New Roman" w:hAnsi="Times New Roman" w:cs="Times New Roman"/>
          <w:b/>
          <w:color w:val="auto"/>
          <w:sz w:val="24"/>
        </w:rPr>
        <w:t>届毕业生基层就业情况报告</w:t>
      </w:r>
    </w:p>
    <w:p>
      <w:pPr>
        <w:spacing w:line="360" w:lineRule="auto"/>
        <w:ind w:firstLine="480" w:firstLineChars="200"/>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为推进202</w:t>
      </w:r>
      <w:r>
        <w:rPr>
          <w:rFonts w:hint="eastAsia" w:ascii="Times New Roman" w:hAnsi="Times New Roman" w:cs="Times New Roman"/>
          <w:color w:val="auto"/>
          <w:sz w:val="24"/>
          <w:lang w:val="en-US" w:eastAsia="zh-CN"/>
        </w:rPr>
        <w:t>2</w:t>
      </w:r>
      <w:r>
        <w:rPr>
          <w:rFonts w:hint="default" w:ascii="Times New Roman" w:hAnsi="Times New Roman" w:cs="Times New Roman"/>
          <w:color w:val="auto"/>
          <w:sz w:val="24"/>
          <w:lang w:val="en-US" w:eastAsia="zh-CN"/>
        </w:rPr>
        <w:t>届毕业生就业工作，拓宽就业渠道，促进毕业生积极就业，</w:t>
      </w:r>
      <w:r>
        <w:rPr>
          <w:rFonts w:hint="eastAsia" w:ascii="Times New Roman" w:hAnsi="Times New Roman" w:cs="Times New Roman"/>
          <w:color w:val="auto"/>
          <w:sz w:val="24"/>
          <w:lang w:val="en-US" w:eastAsia="zh-CN"/>
        </w:rPr>
        <w:t>我</w:t>
      </w:r>
      <w:r>
        <w:rPr>
          <w:rFonts w:hint="default" w:ascii="Times New Roman" w:hAnsi="Times New Roman" w:cs="Times New Roman"/>
          <w:color w:val="auto"/>
          <w:sz w:val="24"/>
          <w:lang w:val="en-US" w:eastAsia="zh-CN"/>
        </w:rPr>
        <w:t>院</w:t>
      </w:r>
      <w:r>
        <w:rPr>
          <w:rFonts w:hint="eastAsia" w:ascii="Times New Roman" w:hAnsi="Times New Roman" w:cs="Times New Roman"/>
          <w:color w:val="auto"/>
          <w:sz w:val="24"/>
          <w:lang w:val="en-US" w:eastAsia="zh-CN"/>
        </w:rPr>
        <w:t>要求毕业班辅导员给</w:t>
      </w:r>
      <w:r>
        <w:rPr>
          <w:rFonts w:hint="default" w:ascii="Times New Roman" w:hAnsi="Times New Roman" w:cs="Times New Roman"/>
          <w:color w:val="auto"/>
          <w:sz w:val="24"/>
          <w:lang w:val="en-US" w:eastAsia="zh-CN"/>
        </w:rPr>
        <w:t>202</w:t>
      </w:r>
      <w:r>
        <w:rPr>
          <w:rFonts w:hint="eastAsia" w:ascii="Times New Roman" w:hAnsi="Times New Roman" w:cs="Times New Roman"/>
          <w:color w:val="auto"/>
          <w:sz w:val="24"/>
          <w:lang w:val="en-US" w:eastAsia="zh-CN"/>
        </w:rPr>
        <w:t>2</w:t>
      </w:r>
      <w:r>
        <w:rPr>
          <w:rFonts w:hint="default" w:ascii="Times New Roman" w:hAnsi="Times New Roman" w:cs="Times New Roman"/>
          <w:color w:val="auto"/>
          <w:sz w:val="24"/>
          <w:lang w:val="en-US" w:eastAsia="zh-CN"/>
        </w:rPr>
        <w:t>届毕业生召开就业形势分析与基层就业项目</w:t>
      </w:r>
      <w:r>
        <w:rPr>
          <w:rFonts w:hint="eastAsia" w:ascii="Times New Roman" w:hAnsi="Times New Roman" w:cs="Times New Roman"/>
          <w:color w:val="auto"/>
          <w:sz w:val="24"/>
          <w:lang w:val="en-US" w:eastAsia="zh-CN"/>
        </w:rPr>
        <w:t>的主题班会</w:t>
      </w:r>
      <w:r>
        <w:rPr>
          <w:rFonts w:hint="default" w:ascii="Times New Roman" w:hAnsi="Times New Roman" w:cs="Times New Roman"/>
          <w:color w:val="auto"/>
          <w:sz w:val="24"/>
          <w:lang w:val="en-US" w:eastAsia="zh-CN"/>
        </w:rPr>
        <w:t>。</w:t>
      </w:r>
      <w:r>
        <w:rPr>
          <w:rFonts w:hint="eastAsia" w:ascii="Times New Roman" w:hAnsi="Times New Roman" w:cs="Times New Roman"/>
          <w:color w:val="auto"/>
          <w:sz w:val="24"/>
          <w:lang w:val="en-US" w:eastAsia="zh-CN"/>
        </w:rPr>
        <w:t>辅导员</w:t>
      </w:r>
      <w:r>
        <w:rPr>
          <w:rFonts w:hint="default" w:ascii="Times New Roman" w:hAnsi="Times New Roman" w:cs="Times New Roman"/>
          <w:color w:val="auto"/>
          <w:sz w:val="24"/>
          <w:lang w:val="en-US" w:eastAsia="zh-CN"/>
        </w:rPr>
        <w:t>分别就特岗教师计划、“三支一扶”（支教、支农、支医和扶贫）计划、征兵入伍等国家政策，对毕业生参加基层就业项目优惠政策和学校激励措施进行了详细解读；对大学生志愿服务西部计划、实施方向、实施步骤进行了详细解读。</w:t>
      </w:r>
      <w:r>
        <w:rPr>
          <w:rFonts w:hint="eastAsia" w:ascii="Times New Roman" w:hAnsi="Times New Roman" w:cs="Times New Roman"/>
          <w:color w:val="auto"/>
          <w:sz w:val="24"/>
          <w:lang w:val="en-US" w:eastAsia="zh-CN"/>
        </w:rPr>
        <w:t>我院3名同学考上安徽省选调生，3名研究生考上上海市、江苏省公务员。</w:t>
      </w:r>
    </w:p>
    <w:p>
      <w:pPr>
        <w:spacing w:line="360" w:lineRule="auto"/>
        <w:ind w:firstLine="480" w:firstLineChars="200"/>
        <w:rPr>
          <w:rFonts w:hint="default"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李伟，</w:t>
      </w:r>
      <w:r>
        <w:rPr>
          <w:rFonts w:hint="default" w:ascii="Times New Roman" w:hAnsi="Times New Roman" w:eastAsia="宋体" w:cs="Times New Roman"/>
          <w:color w:val="auto"/>
          <w:sz w:val="24"/>
          <w:lang w:val="en-US" w:eastAsia="zh-CN"/>
        </w:rPr>
        <w:t>2022届化学工程与工艺专业毕业生顺利考取选调生，被选调为潜山市王河镇基层公务员。转眼间，已经参加工作快两个月了，初步完成了从一名大学生到基层公务员的角色转变，下面我就自己两个月的经历，从以下几个方面，汇报一点自己的感受：</w:t>
      </w:r>
    </w:p>
    <w:p>
      <w:pPr>
        <w:spacing w:line="360" w:lineRule="auto"/>
        <w:ind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要实现从“学生”向“社会人”的转变。刚刚离开校园，以前接触的基本都是学校的一套，主要还是和同龄人交往多一些，因此想法较单一。应学会适应新的工作环境，妥善处理工作中的人际关系。离开熟悉的校园、老师、同学、朋友，远离家乡、父母，来到异地乡镇，面对新的人群，面对听不懂的方言，肯定会有陌生感和孤独感，往往会忽略了和同事们之间的关系和沟通，这对于以后开展工作是非常不利的。在来到王河镇人民政府之前，我就暗下决心要充分认识新的环境，新的岗位就是自己成才的舞台，本着实事求是、诚心待人的态度与人沟通交往，缩短与周围同事之间的距离。在自己受到委屈或误解时，胸怀大度，克制感情，冷静处理，工作中出现错误时，应主动承担责任。犯错并不可怕，刚来到王河，在工作生活各方面，同事和领导都会积极帮助我的，对于自身的成长也是大有裨益的。</w:t>
      </w:r>
    </w:p>
    <w:p>
      <w:pPr>
        <w:spacing w:line="360" w:lineRule="auto"/>
        <w:ind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要实现从“大学生”向“小学生”的转变。经历了这么多年的学校生活，我的学习能力相对强一些，掌握新技能也会容易一些，但工作能力不是与生俱来的，需要在司法干警的岗位上不断学习</w:t>
      </w:r>
      <w:r>
        <w:rPr>
          <w:rFonts w:hint="eastAsia" w:ascii="Times New Roman" w:hAnsi="Times New Roman" w:eastAsia="宋体" w:cs="Times New Roman"/>
          <w:color w:val="auto"/>
          <w:sz w:val="24"/>
          <w:lang w:val="en-US" w:eastAsia="zh-CN"/>
        </w:rPr>
        <w:t>磨炼</w:t>
      </w:r>
      <w:r>
        <w:rPr>
          <w:rFonts w:hint="default" w:ascii="Times New Roman" w:hAnsi="Times New Roman" w:eastAsia="宋体" w:cs="Times New Roman"/>
          <w:color w:val="auto"/>
          <w:sz w:val="24"/>
          <w:lang w:val="en-US" w:eastAsia="zh-CN"/>
        </w:rPr>
        <w:t>，从实践中去提高。</w:t>
      </w:r>
      <w:r>
        <w:rPr>
          <w:rFonts w:hint="eastAsia" w:ascii="Times New Roman" w:hAnsi="Times New Roman" w:eastAsia="宋体" w:cs="Times New Roman"/>
          <w:color w:val="auto"/>
          <w:sz w:val="24"/>
          <w:lang w:val="en-US" w:eastAsia="zh-CN"/>
        </w:rPr>
        <w:t>作为</w:t>
      </w:r>
      <w:r>
        <w:rPr>
          <w:rFonts w:hint="default" w:ascii="Times New Roman" w:hAnsi="Times New Roman" w:eastAsia="宋体" w:cs="Times New Roman"/>
          <w:color w:val="auto"/>
          <w:sz w:val="24"/>
          <w:lang w:val="en-US" w:eastAsia="zh-CN"/>
        </w:rPr>
        <w:t>人民公仆，就应放下大学生架子，积极深入基层，了解百姓之间的各种矛盾和纠纷。主动融入工作一线，积极向别人学习，发挥年轻人的优势和特长，主动争取锻炼机会，交出一份令人民满意的答卷。基层工作纷繁复杂，对于一名刚从学校毕业的我来说还有许多需要学习的地方，要仰起脖子“多听”，俯下身子“多做”，收起嘴巴“少说”，多去田间地头、百姓炕头，多去五保、低保、监测户家里走走，了解他们的所需所想，更好地解决百姓“急难愁盼”的问题。</w:t>
      </w:r>
    </w:p>
    <w:p>
      <w:pPr>
        <w:spacing w:line="360" w:lineRule="auto"/>
        <w:ind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要实现从“骄子”向“公仆”的转变。我应该在国家干部、人民公仆上准确定位，尽快适应公务员的新角色，尽快完成自我认识上的转变，把握好自己，重新审视并形成全新的世界观、人生观和价值观。尽快投入到为党、为国家、为人民服务的工作中去，多学知识，多干业务，既能锻炼自己，提高个人素质，还能赢得别人尊重，使人生有一个良好开端。刚离开校园踏上工作岗位，往往这时就开始忽视学习，感觉离开了校园学习是学生时代的“义务”，现在工作了不需要学习了，这</w:t>
      </w:r>
      <w:r>
        <w:rPr>
          <w:rFonts w:hint="eastAsia" w:ascii="Times New Roman" w:hAnsi="Times New Roman" w:eastAsia="宋体" w:cs="Times New Roman"/>
          <w:color w:val="auto"/>
          <w:sz w:val="24"/>
          <w:lang w:val="en-US" w:eastAsia="zh-CN"/>
        </w:rPr>
        <w:t>是</w:t>
      </w:r>
      <w:r>
        <w:rPr>
          <w:rFonts w:hint="default" w:ascii="Times New Roman" w:hAnsi="Times New Roman" w:eastAsia="宋体" w:cs="Times New Roman"/>
          <w:color w:val="auto"/>
          <w:sz w:val="24"/>
          <w:lang w:val="en-US" w:eastAsia="zh-CN"/>
        </w:rPr>
        <w:t>非常不可取的。千万不要抱着工作忙来应付学习。大学生只是人才的坯子，要锻炼成才，还需要在社会这个大熔炉里锻造。只有不断探索新的方法，才能保证自己适应瞬息万变的社会。通过学习让自己掌握更多的知识，以优秀的表现赢得同事和领导的认可和信任。在平时工作学习中还要多多加强学习，不断丰富自己的水平。一方面是政治学习，不断提升自己的思想觉悟及修养。另一方面是业务学习和专业学习，多向经验丰富的老同志学习，尽快融入到我们这个集体当中，尽早能独立工作。同时，也不能忘记加强自己专业方面的学习，争取早日成为一名高素质专业化的公务员。</w:t>
      </w:r>
    </w:p>
    <w:p>
      <w:pPr>
        <w:spacing w:line="360" w:lineRule="auto"/>
        <w:ind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实现从“成长”向“成才”转变。我平时应做到努力练就真本事、全力提升新境界。掌握真本事，一定要怀着强烈的事业心、使命感和责任感，学习我们民族和我们党留下来的宝贵精神财富，努力适应党和国家的事业要求。要有创新精神，不能因循守旧，要有魄力和勇气、有智慧和谋略，在欲望面前能受住各种考验，永葆先进本色，以能为经济社会的发展</w:t>
      </w:r>
      <w:r>
        <w:rPr>
          <w:rFonts w:hint="eastAsia" w:ascii="Times New Roman" w:hAnsi="Times New Roman" w:eastAsia="宋体" w:cs="Times New Roman"/>
          <w:color w:val="auto"/>
          <w:sz w:val="24"/>
          <w:lang w:val="en-US" w:eastAsia="zh-CN"/>
        </w:rPr>
        <w:t>作出贡献</w:t>
      </w:r>
      <w:r>
        <w:rPr>
          <w:rFonts w:hint="default" w:ascii="Times New Roman" w:hAnsi="Times New Roman" w:eastAsia="宋体" w:cs="Times New Roman"/>
          <w:color w:val="auto"/>
          <w:sz w:val="24"/>
          <w:lang w:val="en-US" w:eastAsia="zh-CN"/>
        </w:rPr>
        <w:t>而感到骄傲和自豪，争取当好一名优秀的公务员。对于我所遭遇的角色转变，相信许多人跟我有一样的经历。完成人生的第一次蜕变，一定要充分认识自己，知道</w:t>
      </w:r>
      <w:r>
        <w:rPr>
          <w:rFonts w:hint="eastAsia" w:ascii="Times New Roman" w:hAnsi="Times New Roman" w:eastAsia="宋体" w:cs="Times New Roman"/>
          <w:color w:val="auto"/>
          <w:sz w:val="24"/>
          <w:lang w:val="en-US" w:eastAsia="zh-CN"/>
        </w:rPr>
        <w:t>自己的</w:t>
      </w:r>
      <w:r>
        <w:rPr>
          <w:rFonts w:hint="default" w:ascii="Times New Roman" w:hAnsi="Times New Roman" w:eastAsia="宋体" w:cs="Times New Roman"/>
          <w:color w:val="auto"/>
          <w:sz w:val="24"/>
          <w:lang w:val="en-US" w:eastAsia="zh-CN"/>
        </w:rPr>
        <w:t>优点与缺点、 优势与劣势、所适与所不适，在这样一段特殊的转换时期内保持一颗学习上进的心，培养自己坚强意志，勇于吃苦，不怕吃苦，完成从大学生到公务员的角色转变。</w:t>
      </w:r>
    </w:p>
    <w:p>
      <w:pPr>
        <w:spacing w:line="360" w:lineRule="auto"/>
        <w:ind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最后，感谢合院，感谢大学四年遇到的所有老师和同学，没有你们的照顾和教诲，也不会有今天的我。虽然我还未完全从一名大学生转变为基层公务员，但在今后的学习生活工作上，我会更加努力，争取早日成为一名让人民满意、让党放心的基层公务员。作为新时代的年轻人，生逢其时，恰好赶上了民族复兴的历史机遇，我们要心向阳光，努力向上生长，情系三农，努力向下扎根。</w:t>
      </w:r>
    </w:p>
    <w:p>
      <w:pPr>
        <w:spacing w:line="360" w:lineRule="auto"/>
        <w:ind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孟硕，材化学院18级能源化学工程专业毕业生，通过安徽省选调生招考成为一名选调生。现任安徽省芜湖市无为市严桥镇象山村党总支书记助理。几个月前，刚刚步出合肥学院的校门，离开了学校的象牙塔走进了大社会，学校变成了单位，同学变成了同事，感触良多。</w:t>
      </w:r>
    </w:p>
    <w:p>
      <w:pPr>
        <w:spacing w:line="360" w:lineRule="auto"/>
        <w:ind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习近平总书记在给中国石油大学（北京）克拉玛依校区的毕业生回信中写到，前进的道路从不会一帆风顺，实现中华民族伟大复兴的中国梦需要一代一代青年矢志奋斗。民族要复兴，乡村必振兴。</w:t>
      </w:r>
    </w:p>
    <w:p>
      <w:pPr>
        <w:spacing w:line="360" w:lineRule="auto"/>
        <w:ind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乡村振兴，关键在人。作为成长于农村的孩子更加明白这一点，美好的蓝图和规划落地，都需要人去实施，因此人才振兴显得尤为重要，因而要求我们在村任职的选调生，具备良好的工作态度和能力，要扎扎实实为民办好事、办实事、解难题，建设好美丽富强乡村。</w:t>
      </w:r>
    </w:p>
    <w:p>
      <w:pPr>
        <w:spacing w:line="360" w:lineRule="auto"/>
        <w:ind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乡村振兴，要用心，身心投入。乡村振兴期间基层工作使命光荣、责任重大、任务艰巨，不仅要“身入”基层，还要“心入”基层，端正态度、准确定位、转变角色，身心投入，耐心交流了解群众所思所想所盼，研究政策为群众想出致富办法，深入调研找准村级发展路子，做好巩固拓展脱贫攻坚成果同乡村振兴有效衔接工作。</w:t>
      </w:r>
    </w:p>
    <w:p>
      <w:pPr>
        <w:spacing w:line="360" w:lineRule="auto"/>
        <w:ind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乡村振兴，要用情，情系群众。作为初出校门的青年干部，基层工作经验短缺，对农村群众了解不足。要想得到群众认可和信任，就必须要有为民情怀，走出办公室到田间地头，俯下身子、放下架子，与农民交朋友，与群众走亲戚，将自己置身于群众当中，思想上尊重群众，感情上情系群众，行动上深入群众，搞懂群众到底在想什么、需求什么，才能把事情做到群众心坎上，解决群众“急难愁盼”问题。决不能当甩手掌柜，面对问题踢皮球，待在村委活动室，坐等群众上门办事，那必然脱离群众、脱离实际。</w:t>
      </w:r>
    </w:p>
    <w:p>
      <w:pPr>
        <w:spacing w:line="360" w:lineRule="auto"/>
        <w:ind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乡村振兴，要用力，真抓实干。选调生前几年需要在基层锻炼，</w:t>
      </w:r>
      <w:r>
        <w:rPr>
          <w:rFonts w:hint="eastAsia" w:ascii="Times New Roman" w:hAnsi="Times New Roman" w:eastAsia="宋体" w:cs="Times New Roman"/>
          <w:color w:val="auto"/>
          <w:sz w:val="24"/>
          <w:lang w:val="en-US" w:eastAsia="zh-CN"/>
        </w:rPr>
        <w:t>必须</w:t>
      </w:r>
      <w:r>
        <w:rPr>
          <w:rFonts w:hint="default" w:ascii="Times New Roman" w:hAnsi="Times New Roman" w:eastAsia="宋体" w:cs="Times New Roman"/>
          <w:color w:val="auto"/>
          <w:sz w:val="24"/>
          <w:lang w:val="en-US" w:eastAsia="zh-CN"/>
        </w:rPr>
        <w:t>驻得下来、沉得下去、干得好事，乡村振兴不是“说”出来的，而是要“干”出来的，青年干部要大力弘扬脱贫攻坚精神，担当作为、冲锋陷阵、真抓实干、建功立业，在实践中经风雨、见世面、长才干、壮筋骨，练出“真功夫”，为乡村振兴不断添砖加瓦。决不能当“参观者”，遇到问题绕着走，碰到矛盾躲着走，看见难点低头走，站在村干部身后当观望者。</w:t>
      </w:r>
    </w:p>
    <w:p>
      <w:pPr>
        <w:spacing w:line="360" w:lineRule="auto"/>
        <w:ind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青年一代富有朝气，是国家的希望与未来，是实现乡村振兴战略目标的主要力量，国家乡村建设需要勇担当、有作为的青年人顶上来。只有越来越多的青年人</w:t>
      </w:r>
      <w:r>
        <w:rPr>
          <w:rFonts w:hint="eastAsia" w:ascii="Times New Roman" w:hAnsi="Times New Roman" w:eastAsia="宋体" w:cs="Times New Roman"/>
          <w:color w:val="auto"/>
          <w:sz w:val="24"/>
          <w:lang w:val="en-US" w:eastAsia="zh-CN"/>
        </w:rPr>
        <w:t>注入</w:t>
      </w:r>
      <w:r>
        <w:rPr>
          <w:rFonts w:hint="default" w:ascii="Times New Roman" w:hAnsi="Times New Roman" w:eastAsia="宋体" w:cs="Times New Roman"/>
          <w:color w:val="auto"/>
          <w:sz w:val="24"/>
          <w:lang w:val="en-US" w:eastAsia="zh-CN"/>
        </w:rPr>
        <w:t>乡村这片沃土上，以担当、责任助力乡村振兴，我们才会走好乡村振兴的必由之路，实现伟大复兴的中国梦。</w:t>
      </w:r>
    </w:p>
    <w:p>
      <w:pPr>
        <w:spacing w:line="360" w:lineRule="auto"/>
        <w:ind w:firstLine="482" w:firstLineChars="200"/>
        <w:jc w:val="center"/>
        <w:rPr>
          <w:rFonts w:hint="default" w:ascii="Times New Roman" w:hAnsi="Times New Roman" w:eastAsia="宋体" w:cs="Times New Roman"/>
          <w:b/>
          <w:bCs/>
          <w:color w:val="auto"/>
          <w:sz w:val="24"/>
          <w:lang w:val="en-US" w:eastAsia="zh-CN"/>
        </w:rPr>
      </w:pPr>
      <w:r>
        <w:rPr>
          <w:rFonts w:hint="default" w:ascii="Times New Roman" w:hAnsi="Times New Roman" w:eastAsia="宋体" w:cs="Times New Roman"/>
          <w:b/>
          <w:bCs/>
          <w:color w:val="auto"/>
          <w:sz w:val="24"/>
          <w:lang w:val="en-US" w:eastAsia="zh-CN"/>
        </w:rPr>
        <w:t>第八部分：材化学院毕业生创业情况及典型案例</w:t>
      </w:r>
    </w:p>
    <w:p>
      <w:pPr>
        <w:spacing w:line="360" w:lineRule="auto"/>
        <w:ind w:firstLine="480" w:firstLineChars="200"/>
        <w:rPr>
          <w:rFonts w:hint="default" w:ascii="Times New Roman" w:hAnsi="Times New Roman" w:cs="Times New Roman"/>
          <w:color w:val="000000"/>
          <w:sz w:val="24"/>
        </w:rPr>
      </w:pPr>
      <w:r>
        <w:rPr>
          <w:rFonts w:hint="default" w:ascii="Times New Roman" w:hAnsi="Times New Roman" w:cs="Times New Roman"/>
          <w:color w:val="000000"/>
          <w:sz w:val="24"/>
        </w:rPr>
        <w:t>我</w:t>
      </w:r>
      <w:r>
        <w:rPr>
          <w:rFonts w:hint="default" w:ascii="Times New Roman" w:hAnsi="Times New Roman" w:cs="Times New Roman"/>
          <w:color w:val="000000"/>
          <w:sz w:val="24"/>
          <w:lang w:eastAsia="zh-CN"/>
        </w:rPr>
        <w:t>院</w:t>
      </w:r>
      <w:r>
        <w:rPr>
          <w:rFonts w:hint="default" w:ascii="Times New Roman" w:hAnsi="Times New Roman" w:cs="Times New Roman"/>
          <w:color w:val="000000"/>
          <w:sz w:val="24"/>
        </w:rPr>
        <w:t>利用学校开设的《创新创业》课程、大学生创新创业训练项目、大学生“挑战杯”等项目的训练，逐步提升大学生创新创业思想认识高度，营造整体创新创业环境氛围，通过积极搭建平台，重视实践活动，提升大学生创新创业实际操作能力。近年来，我</w:t>
      </w:r>
      <w:r>
        <w:rPr>
          <w:rFonts w:hint="default" w:ascii="Times New Roman" w:hAnsi="Times New Roman" w:cs="Times New Roman"/>
          <w:color w:val="000000"/>
          <w:sz w:val="24"/>
          <w:lang w:eastAsia="zh-CN"/>
        </w:rPr>
        <w:t>院</w:t>
      </w:r>
      <w:r>
        <w:rPr>
          <w:rFonts w:hint="default" w:ascii="Times New Roman" w:hAnsi="Times New Roman" w:cs="Times New Roman"/>
          <w:color w:val="000000"/>
          <w:sz w:val="24"/>
        </w:rPr>
        <w:t>毕业生</w:t>
      </w:r>
      <w:r>
        <w:rPr>
          <w:rFonts w:hint="default" w:ascii="Times New Roman" w:hAnsi="Times New Roman" w:cs="Times New Roman"/>
          <w:color w:val="000000"/>
          <w:sz w:val="24"/>
          <w:lang w:eastAsia="zh-CN"/>
        </w:rPr>
        <w:t>和在校生</w:t>
      </w:r>
      <w:r>
        <w:rPr>
          <w:rFonts w:hint="default" w:ascii="Times New Roman" w:hAnsi="Times New Roman" w:cs="Times New Roman"/>
          <w:color w:val="000000"/>
          <w:sz w:val="24"/>
        </w:rPr>
        <w:t>创业的人数逐步增加，涌现了一批创业典型。</w:t>
      </w:r>
    </w:p>
    <w:p>
      <w:pPr>
        <w:numPr>
          <w:ilvl w:val="0"/>
          <w:numId w:val="0"/>
        </w:numPr>
        <w:spacing w:line="360" w:lineRule="auto"/>
        <w:ind w:firstLine="482" w:firstLineChars="200"/>
        <w:rPr>
          <w:rFonts w:hint="eastAsia" w:ascii="Times New Roman" w:hAnsi="Times New Roman" w:eastAsia="宋体" w:cs="Times New Roman"/>
          <w:b/>
          <w:bCs/>
          <w:color w:val="000000"/>
          <w:sz w:val="24"/>
          <w:lang w:eastAsia="zh-CN"/>
        </w:rPr>
      </w:pPr>
      <w:r>
        <w:rPr>
          <w:rFonts w:hint="eastAsia" w:ascii="Times New Roman" w:hAnsi="Times New Roman" w:cs="Times New Roman"/>
          <w:b/>
          <w:bCs/>
          <w:color w:val="000000"/>
          <w:sz w:val="24"/>
          <w:lang w:val="en-US" w:eastAsia="zh-CN"/>
        </w:rPr>
        <w:t>8.1</w:t>
      </w:r>
      <w:r>
        <w:rPr>
          <w:rFonts w:hint="default" w:ascii="Times New Roman" w:hAnsi="Times New Roman" w:cs="Times New Roman"/>
          <w:b/>
          <w:bCs/>
          <w:color w:val="000000"/>
          <w:sz w:val="24"/>
        </w:rPr>
        <w:t>安徽原著体文化传播有限公司总经理</w:t>
      </w:r>
      <w:r>
        <w:rPr>
          <w:rFonts w:hint="eastAsia" w:ascii="Times New Roman" w:hAnsi="Times New Roman" w:cs="Times New Roman"/>
          <w:b/>
          <w:bCs/>
          <w:color w:val="000000"/>
          <w:sz w:val="24"/>
          <w:lang w:eastAsia="zh-CN"/>
        </w:rPr>
        <w:t>，</w:t>
      </w:r>
      <w:r>
        <w:rPr>
          <w:rFonts w:hint="default" w:ascii="Times New Roman" w:hAnsi="Times New Roman" w:cs="Times New Roman"/>
          <w:b/>
          <w:bCs/>
          <w:color w:val="000000"/>
          <w:sz w:val="24"/>
        </w:rPr>
        <w:t>铜陵百跃教育培训学校联合创始人</w:t>
      </w:r>
      <w:r>
        <w:rPr>
          <w:rFonts w:hint="eastAsia" w:ascii="Times New Roman" w:hAnsi="Times New Roman" w:cs="Times New Roman"/>
          <w:b/>
          <w:bCs/>
          <w:color w:val="000000"/>
          <w:sz w:val="24"/>
          <w:lang w:eastAsia="zh-CN"/>
        </w:rPr>
        <w:t>，</w:t>
      </w:r>
      <w:r>
        <w:rPr>
          <w:rFonts w:hint="default" w:ascii="Times New Roman" w:hAnsi="Times New Roman" w:cs="Times New Roman"/>
          <w:b/>
          <w:bCs/>
          <w:color w:val="000000"/>
          <w:sz w:val="24"/>
        </w:rPr>
        <w:t>合肥欧得利网络科技有限公司总经理</w:t>
      </w:r>
      <w:r>
        <w:rPr>
          <w:rFonts w:hint="eastAsia" w:ascii="Times New Roman" w:hAnsi="Times New Roman" w:cs="Times New Roman"/>
          <w:b/>
          <w:bCs/>
          <w:color w:val="000000"/>
          <w:sz w:val="24"/>
          <w:lang w:val="en-US" w:eastAsia="zh-CN"/>
        </w:rPr>
        <w:t xml:space="preserve"> </w:t>
      </w:r>
      <w:r>
        <w:rPr>
          <w:rFonts w:hint="default" w:ascii="Times New Roman" w:hAnsi="Times New Roman" w:cs="Times New Roman"/>
          <w:b/>
          <w:bCs/>
          <w:color w:val="000000"/>
          <w:sz w:val="24"/>
        </w:rPr>
        <w:t>吴庆斌</w:t>
      </w:r>
    </w:p>
    <w:p>
      <w:pPr>
        <w:numPr>
          <w:ilvl w:val="0"/>
          <w:numId w:val="0"/>
        </w:numPr>
        <w:spacing w:line="360" w:lineRule="auto"/>
        <w:ind w:firstLine="480" w:firstLineChars="200"/>
        <w:rPr>
          <w:rFonts w:ascii="宋体" w:hAnsi="宋体" w:eastAsia="宋体" w:cs="宋体"/>
          <w:sz w:val="24"/>
          <w:szCs w:val="24"/>
        </w:rPr>
      </w:pPr>
      <w:r>
        <w:rPr>
          <w:rFonts w:ascii="宋体" w:hAnsi="宋体" w:eastAsia="宋体" w:cs="宋体"/>
          <w:sz w:val="24"/>
          <w:szCs w:val="24"/>
        </w:rPr>
        <w:t>吴庆斌，男，材化学院2015届化学工程与工艺专业毕业生，现任安徽原著体文化传播有限公司总经理，铜陵百跃教育培训学校联合创始人，15年进入校园，就开始尝试创业相关的事情，在校期间获得很多省级校级的创业比赛奖项。大一开始尝试兼职，积累了很多经验，早期16年时候跟学长在校园经营一家电子设备公司，主要跟手机电脑等设备有关，17年开始接触互联网，成立了合肥欧得利网络科技有限公司，主要从事软件开发和系统开发等业务。同年开始接触教育行业，成立了安徽峰云创教育咨询有限公司，成立百跃教育品牌，19年跟大学同学在铜陵开设第一家培训学校，目前稳定一年营业额在100万左右，20年在安徽安庆开始了两家分校，目前经营状态稳定前进。安徽原著体传媒为个人独资公司：主要是校园活动的落地，腾讯商演的对接，会务会展的筹备等，注册资本为500万。</w:t>
      </w:r>
    </w:p>
    <w:p>
      <w:pPr>
        <w:numPr>
          <w:ilvl w:val="0"/>
          <w:numId w:val="0"/>
        </w:numPr>
        <w:spacing w:line="360" w:lineRule="auto"/>
        <w:ind w:right="140" w:rightChars="0" w:firstLine="482" w:firstLineChars="200"/>
        <w:jc w:val="left"/>
        <w:rPr>
          <w:rFonts w:hint="eastAsia" w:ascii="Times New Roman" w:hAnsi="Times New Roman" w:eastAsia="宋体" w:cs="Times New Roman"/>
          <w:b/>
          <w:bCs/>
          <w:color w:val="000000"/>
          <w:sz w:val="24"/>
          <w:lang w:val="en-US" w:eastAsia="zh-CN"/>
        </w:rPr>
      </w:pPr>
      <w:r>
        <w:rPr>
          <w:rFonts w:hint="eastAsia" w:ascii="Times New Roman" w:hAnsi="Times New Roman" w:cs="Times New Roman"/>
          <w:b/>
          <w:bCs/>
          <w:sz w:val="24"/>
          <w:lang w:val="en-US" w:eastAsia="zh-CN"/>
        </w:rPr>
        <w:t>8.2</w:t>
      </w:r>
      <w:r>
        <w:rPr>
          <w:rFonts w:hint="eastAsia" w:ascii="Times New Roman" w:hAnsi="Times New Roman" w:eastAsia="宋体" w:cs="Times New Roman"/>
          <w:b/>
          <w:bCs/>
          <w:color w:val="000000"/>
          <w:sz w:val="24"/>
          <w:lang w:val="en-US" w:eastAsia="zh-CN"/>
        </w:rPr>
        <w:t xml:space="preserve">安徽学研教育科技有限公司总经理，合肥中镓纳米技术有限公司总经理，安徽持衡网络科技有限公司总经理 吴斌 </w:t>
      </w:r>
    </w:p>
    <w:p>
      <w:pPr>
        <w:numPr>
          <w:ilvl w:val="0"/>
          <w:numId w:val="0"/>
        </w:numPr>
        <w:spacing w:line="360" w:lineRule="auto"/>
        <w:ind w:right="140" w:rightChars="0" w:firstLine="480" w:firstLineChars="200"/>
        <w:jc w:val="left"/>
        <w:rPr>
          <w:rFonts w:hint="eastAsia" w:ascii="Times New Roman" w:hAnsi="Times New Roman" w:eastAsia="宋体" w:cs="Times New Roman"/>
          <w:b/>
          <w:bCs/>
          <w:color w:val="000000"/>
          <w:sz w:val="24"/>
          <w:lang w:val="en-US" w:eastAsia="zh-CN"/>
        </w:rPr>
      </w:pPr>
      <w:r>
        <w:rPr>
          <w:rFonts w:hint="eastAsia" w:ascii="Times New Roman" w:hAnsi="Times New Roman" w:eastAsia="宋体" w:cs="Times New Roman"/>
          <w:b w:val="0"/>
          <w:bCs w:val="0"/>
          <w:color w:val="000000"/>
          <w:sz w:val="24"/>
          <w:lang w:val="en-US" w:eastAsia="zh-CN"/>
        </w:rPr>
        <w:t>吴斌，男，能源材料与化工学院2019届材料科学与工程研究生毕业生，现任安徽学研教育科技有限公司总经理，合肥中镓纳米技术有限公司总经理，安徽持衡网络科技有限公司总经理，15年进入大学本科校园前，做了寒假工，接触了社会，进入大学校园后，就开始尝试创业相关的事，在校期间获得多项创业比赛奖项。大一开始尝试各种兼职，做兼职代理，卖手机电脑，维修电脑，大二当了安徽建筑大学联通营业厅店长，搭建校园团队开始做校园项目，负责学校营业厅运营和管理，开始接触互联网项目，17年做考研校园代理，进入学府考研，18年结交了很多朋友，做校园地推，活动策划和腾讯游戏赛事执行，并考研，考研结束后，19年进入学府考研做区域经理，进入联通公司，做合肥师范学院校园办事处主任，接触信息化项目，19年进入研究生，继续从事学府考研工作和联通工作，20年从联通辞职，创立了安徽持衡网络科技有限公司，做信息化项目，同时20年底升职为学府考研安徽分校校长。21年利用研究生所学成立了合肥中镓纳米技术有限公司，主要经营5G通信设备材料采购及无机金属粉体销售，22年成为科技型小型公司，目前稳定营业额100万一年，22年接手学府考研安徽分校，成立了安徽学研教育科技有限公司，已经有一家全日制集训校区，和三个分校校区，目前经营稳定前进。</w:t>
      </w:r>
    </w:p>
    <w:p>
      <w:pPr>
        <w:numPr>
          <w:ilvl w:val="0"/>
          <w:numId w:val="0"/>
        </w:numPr>
        <w:spacing w:line="360" w:lineRule="auto"/>
        <w:ind w:right="140" w:rightChars="0"/>
        <w:jc w:val="right"/>
        <w:rPr>
          <w:rFonts w:hint="default" w:ascii="Times New Roman" w:hAnsi="Times New Roman" w:eastAsia="宋体" w:cs="Times New Roman"/>
          <w:color w:val="auto"/>
          <w:sz w:val="24"/>
          <w:lang w:eastAsia="zh-CN"/>
        </w:rPr>
      </w:pPr>
      <w:r>
        <w:rPr>
          <w:rFonts w:hint="default" w:ascii="Times New Roman" w:hAnsi="Times New Roman" w:cs="Times New Roman"/>
          <w:color w:val="auto"/>
          <w:sz w:val="24"/>
          <w:lang w:val="en-US" w:eastAsia="zh-CN"/>
        </w:rPr>
        <w:t xml:space="preserve">  </w:t>
      </w:r>
      <w:r>
        <w:rPr>
          <w:rFonts w:hint="default" w:ascii="Times New Roman" w:hAnsi="Times New Roman" w:cs="Times New Roman"/>
          <w:color w:val="auto"/>
          <w:sz w:val="24"/>
          <w:lang w:eastAsia="zh-CN"/>
        </w:rPr>
        <w:t>能源材料与化工学院</w:t>
      </w:r>
    </w:p>
    <w:p>
      <w:pPr>
        <w:spacing w:line="360" w:lineRule="auto"/>
        <w:rPr>
          <w:rFonts w:ascii="Times New Roman" w:hAnsi="Times New Roman" w:cs="Times New Roman"/>
          <w:sz w:val="24"/>
        </w:rPr>
      </w:pPr>
      <w:r>
        <w:rPr>
          <w:rFonts w:hint="default" w:ascii="Times New Roman" w:hAnsi="Times New Roman" w:cs="Times New Roman"/>
          <w:color w:val="auto"/>
          <w:sz w:val="24"/>
          <w:lang w:val="en-US" w:eastAsia="zh-CN"/>
        </w:rPr>
        <w:t xml:space="preserve">                                                </w:t>
      </w:r>
      <w:r>
        <w:rPr>
          <w:rFonts w:hint="eastAsia" w:ascii="Times New Roman" w:hAnsi="Times New Roman" w:cs="Times New Roman"/>
          <w:color w:val="auto"/>
          <w:sz w:val="24"/>
          <w:lang w:val="en-US" w:eastAsia="zh-CN"/>
        </w:rPr>
        <w:t xml:space="preserve">   </w:t>
      </w:r>
      <w:r>
        <w:rPr>
          <w:rFonts w:hint="default" w:ascii="Times New Roman" w:hAnsi="Times New Roman" w:cs="Times New Roman"/>
          <w:color w:val="auto"/>
          <w:sz w:val="24"/>
          <w:lang w:eastAsia="zh-CN"/>
        </w:rPr>
        <w:t>20</w:t>
      </w:r>
      <w:r>
        <w:rPr>
          <w:rFonts w:hint="eastAsia" w:ascii="Times New Roman" w:hAnsi="Times New Roman" w:cs="Times New Roman"/>
          <w:color w:val="auto"/>
          <w:sz w:val="24"/>
          <w:lang w:val="en-US" w:eastAsia="zh-CN"/>
        </w:rPr>
        <w:t>22</w:t>
      </w:r>
      <w:r>
        <w:rPr>
          <w:rFonts w:hint="default" w:ascii="Times New Roman" w:hAnsi="Times New Roman" w:cs="Times New Roman"/>
          <w:color w:val="auto"/>
          <w:sz w:val="24"/>
        </w:rPr>
        <w:t>年1</w:t>
      </w:r>
      <w:r>
        <w:rPr>
          <w:rFonts w:hint="eastAsia" w:ascii="Times New Roman" w:hAnsi="Times New Roman" w:cs="Times New Roman"/>
          <w:color w:val="auto"/>
          <w:sz w:val="24"/>
          <w:lang w:val="en-US" w:eastAsia="zh-CN"/>
        </w:rPr>
        <w:t>2</w:t>
      </w:r>
      <w:r>
        <w:rPr>
          <w:rFonts w:hint="default" w:ascii="Times New Roman" w:hAnsi="Times New Roman" w:cs="Times New Roman"/>
          <w:color w:val="auto"/>
          <w:sz w:val="24"/>
        </w:rPr>
        <w:t>月</w:t>
      </w:r>
      <w:r>
        <w:rPr>
          <w:rFonts w:hint="eastAsia" w:ascii="Times New Roman" w:hAnsi="Times New Roman" w:cs="Times New Roman"/>
          <w:color w:val="auto"/>
          <w:sz w:val="24"/>
          <w:lang w:val="en-US" w:eastAsia="zh-CN"/>
        </w:rPr>
        <w:t>20</w:t>
      </w:r>
      <w:r>
        <w:rPr>
          <w:rFonts w:hint="default" w:ascii="Times New Roman" w:hAnsi="Times New Roman" w:cs="Times New Roman"/>
          <w:color w:val="auto"/>
          <w:sz w:val="24"/>
        </w:rPr>
        <w:t>日</w:t>
      </w:r>
    </w:p>
    <w:p>
      <w:pPr>
        <w:widowControl/>
        <w:jc w:val="left"/>
        <w:rPr>
          <w:rFonts w:ascii="宋体" w:hAnsi="宋体" w:cs="宋体"/>
          <w:b/>
          <w:kern w:val="0"/>
          <w:sz w:val="32"/>
          <w:szCs w:val="32"/>
        </w:rPr>
      </w:pPr>
      <w:r>
        <w:rPr>
          <w:rFonts w:ascii="宋体" w:hAnsi="宋体" w:cs="宋体"/>
          <w:b/>
          <w:kern w:val="0"/>
          <w:sz w:val="32"/>
          <w:szCs w:val="32"/>
        </w:rPr>
        <w:br w:type="page"/>
      </w:r>
    </w:p>
    <w:p>
      <w:pPr>
        <w:jc w:val="center"/>
        <w:rPr>
          <w:rFonts w:hint="eastAsia" w:ascii="宋体" w:hAnsi="宋体" w:cs="宋体"/>
          <w:b/>
          <w:kern w:val="0"/>
          <w:sz w:val="32"/>
          <w:szCs w:val="32"/>
        </w:rPr>
      </w:pPr>
      <w:r>
        <w:rPr>
          <w:rFonts w:hint="eastAsia" w:ascii="宋体" w:hAnsi="宋体" w:cs="宋体"/>
          <w:b/>
          <w:kern w:val="0"/>
          <w:sz w:val="32"/>
          <w:szCs w:val="32"/>
        </w:rPr>
        <w:t>合肥学院</w:t>
      </w:r>
      <w:r>
        <w:rPr>
          <w:rFonts w:hint="eastAsia" w:ascii="宋体" w:hAnsi="宋体" w:cs="宋体"/>
          <w:b/>
          <w:kern w:val="0"/>
          <w:sz w:val="32"/>
          <w:szCs w:val="32"/>
          <w:lang w:val="en-US" w:eastAsia="zh-CN"/>
        </w:rPr>
        <w:t>设计学院</w:t>
      </w:r>
      <w:r>
        <w:rPr>
          <w:rFonts w:hint="eastAsia" w:ascii="宋体" w:hAnsi="宋体" w:cs="宋体"/>
          <w:b/>
          <w:kern w:val="0"/>
          <w:sz w:val="32"/>
          <w:szCs w:val="32"/>
          <w:lang w:eastAsia="zh-CN"/>
        </w:rPr>
        <w:t>2022</w:t>
      </w:r>
      <w:r>
        <w:rPr>
          <w:rFonts w:hint="eastAsia" w:ascii="宋体" w:hAnsi="宋体" w:cs="宋体"/>
          <w:b/>
          <w:kern w:val="0"/>
          <w:sz w:val="32"/>
          <w:szCs w:val="32"/>
        </w:rPr>
        <w:t>年就业评估自查报告</w:t>
      </w:r>
    </w:p>
    <w:p>
      <w:pPr>
        <w:spacing w:line="360" w:lineRule="auto"/>
        <w:ind w:firstLine="480" w:firstLineChars="200"/>
        <w:jc w:val="left"/>
        <w:rPr>
          <w:rFonts w:hint="eastAsia" w:ascii="宋体" w:hAnsi="宋体" w:eastAsia="宋体" w:cs="Times New Roman"/>
          <w:color w:val="000000"/>
          <w:sz w:val="24"/>
          <w:szCs w:val="24"/>
        </w:rPr>
      </w:pPr>
    </w:p>
    <w:p>
      <w:pPr>
        <w:spacing w:line="360" w:lineRule="auto"/>
        <w:ind w:firstLine="480" w:firstLineChars="200"/>
        <w:jc w:val="left"/>
        <w:rPr>
          <w:rFonts w:hint="eastAsia" w:ascii="宋体" w:hAnsi="宋体" w:eastAsia="宋体" w:cs="Times New Roman"/>
          <w:color w:val="000000"/>
          <w:sz w:val="24"/>
          <w:szCs w:val="24"/>
        </w:rPr>
      </w:pPr>
      <w:r>
        <w:rPr>
          <w:rFonts w:hint="eastAsia" w:ascii="宋体" w:hAnsi="宋体" w:eastAsia="宋体" w:cs="Times New Roman"/>
          <w:color w:val="000000"/>
          <w:sz w:val="24"/>
          <w:szCs w:val="24"/>
        </w:rPr>
        <w:t>设计学院目前是学校最具特色、最富活力的二级学院之一。现有工业设计、数字媒体设计、创意生活设计和空间设计四个系部，开设有工业设计、产品设计、视觉传达设计、环境设计、动画</w:t>
      </w:r>
      <w:r>
        <w:rPr>
          <w:rFonts w:hint="eastAsia" w:ascii="宋体" w:hAnsi="宋体" w:eastAsia="宋体" w:cs="Times New Roman"/>
          <w:color w:val="000000"/>
          <w:sz w:val="24"/>
          <w:szCs w:val="24"/>
          <w:lang w:eastAsia="zh-CN"/>
        </w:rPr>
        <w:t>、</w:t>
      </w:r>
      <w:r>
        <w:rPr>
          <w:rFonts w:hint="eastAsia" w:ascii="宋体" w:hAnsi="宋体" w:eastAsia="宋体" w:cs="Times New Roman"/>
          <w:color w:val="000000"/>
          <w:sz w:val="24"/>
          <w:szCs w:val="24"/>
        </w:rPr>
        <w:t>艺术与科技</w:t>
      </w:r>
      <w:r>
        <w:rPr>
          <w:rFonts w:hint="eastAsia" w:ascii="宋体" w:hAnsi="宋体" w:eastAsia="宋体" w:cs="Times New Roman"/>
          <w:color w:val="000000"/>
          <w:sz w:val="24"/>
          <w:szCs w:val="24"/>
          <w:lang w:val="en-US" w:eastAsia="zh-CN"/>
        </w:rPr>
        <w:t>与工艺美术等七</w:t>
      </w:r>
      <w:r>
        <w:rPr>
          <w:rFonts w:hint="eastAsia" w:ascii="宋体" w:hAnsi="宋体" w:eastAsia="宋体" w:cs="Times New Roman"/>
          <w:color w:val="000000"/>
          <w:sz w:val="24"/>
          <w:szCs w:val="24"/>
        </w:rPr>
        <w:t>个本科专业。设计学院建有多个专业实验室，教学设备先进，现有在校生10</w:t>
      </w:r>
      <w:r>
        <w:rPr>
          <w:rFonts w:hint="eastAsia" w:ascii="宋体" w:hAnsi="宋体" w:eastAsia="宋体" w:cs="Times New Roman"/>
          <w:color w:val="000000"/>
          <w:sz w:val="24"/>
          <w:szCs w:val="24"/>
          <w:lang w:val="en-US" w:eastAsia="zh-CN"/>
        </w:rPr>
        <w:t>13</w:t>
      </w:r>
      <w:r>
        <w:rPr>
          <w:rFonts w:hint="eastAsia" w:ascii="宋体" w:hAnsi="宋体" w:eastAsia="宋体" w:cs="Times New Roman"/>
          <w:color w:val="000000"/>
          <w:sz w:val="24"/>
          <w:szCs w:val="24"/>
        </w:rPr>
        <w:t>人。</w:t>
      </w:r>
    </w:p>
    <w:p>
      <w:pPr>
        <w:spacing w:line="360" w:lineRule="auto"/>
        <w:ind w:firstLine="480" w:firstLineChars="200"/>
        <w:jc w:val="left"/>
        <w:rPr>
          <w:rFonts w:hint="eastAsia" w:ascii="宋体" w:hAnsi="宋体" w:eastAsia="宋体" w:cs="Times New Roman"/>
          <w:color w:val="000000"/>
          <w:sz w:val="24"/>
          <w:szCs w:val="24"/>
        </w:rPr>
      </w:pPr>
      <w:r>
        <w:rPr>
          <w:rFonts w:hint="eastAsia" w:ascii="宋体" w:hAnsi="宋体" w:eastAsia="宋体" w:cs="Times New Roman"/>
          <w:color w:val="000000"/>
          <w:sz w:val="24"/>
          <w:szCs w:val="24"/>
          <w:lang w:val="en-US" w:eastAsia="zh-CN"/>
        </w:rPr>
        <w:t>设</w:t>
      </w:r>
      <w:r>
        <w:rPr>
          <w:rFonts w:hint="eastAsia" w:ascii="宋体" w:hAnsi="宋体" w:eastAsia="宋体" w:cs="Times New Roman"/>
          <w:color w:val="000000"/>
          <w:sz w:val="24"/>
          <w:szCs w:val="24"/>
        </w:rPr>
        <w:t>计学院坚持“引进来，走出去”的教师队伍建设理念，人才培养模式采用“项目带动式”产教融合的实践教学应用型人才培养方法。设计学院成立的产学研平台成为安徽省高校唯一同时获“安徽省级工业设计中心”、“合肥市工业设计中心”、“国家级工程实践教育中心”的实践教学平台。平台先后与国内知名企业深圳市建筑装饰集团、荣事达集团、惠而浦中国公司、香港郎石景观设计有限公司、江苏华诚机械等企业展开深度合作，坚持校企合作，突破传统教学理念的束缚，夯实实践性教学在专业学习中的基础地位。</w:t>
      </w:r>
    </w:p>
    <w:p>
      <w:pPr>
        <w:spacing w:line="360" w:lineRule="auto"/>
        <w:ind w:firstLine="480" w:firstLineChars="200"/>
        <w:jc w:val="left"/>
        <w:rPr>
          <w:rFonts w:hint="eastAsia" w:ascii="宋体" w:hAnsi="宋体" w:eastAsia="宋体" w:cs="Times New Roman"/>
          <w:color w:val="000000"/>
          <w:sz w:val="24"/>
          <w:szCs w:val="24"/>
        </w:rPr>
      </w:pPr>
      <w:r>
        <w:rPr>
          <w:rFonts w:hint="eastAsia" w:ascii="宋体" w:hAnsi="宋体" w:eastAsia="宋体" w:cs="Times New Roman"/>
          <w:color w:val="000000"/>
          <w:sz w:val="24"/>
          <w:szCs w:val="24"/>
        </w:rPr>
        <w:t>从2001年开始设计学院与德国汉诺威应用科学大学、马格德堡应用科学大学等高校每年定期展开workshop合作项目，每一届都呈现出了不同的主题和特色，产生了实效。同时与台湾云林科技大学、台湾铭传大学开展了五届海峡两岸大学生包装设计workshop。多年的实践教学探索，Workshop内容越来越丰富，形式越来越新颖，已经成为学校实践教学的一个重要组成部分，成为地方高校一道亮丽的教学文化风景。</w:t>
      </w:r>
    </w:p>
    <w:p>
      <w:pPr>
        <w:spacing w:line="360" w:lineRule="auto"/>
        <w:ind w:firstLine="480" w:firstLineChars="200"/>
        <w:jc w:val="left"/>
        <w:rPr>
          <w:rFonts w:hint="eastAsia" w:ascii="宋体" w:hAnsi="宋体" w:eastAsia="宋体" w:cs="Times New Roman"/>
          <w:color w:val="000000"/>
          <w:sz w:val="24"/>
          <w:szCs w:val="24"/>
        </w:rPr>
      </w:pPr>
    </w:p>
    <w:p>
      <w:pPr>
        <w:widowControl/>
        <w:numPr>
          <w:ilvl w:val="0"/>
          <w:numId w:val="6"/>
        </w:numPr>
        <w:spacing w:line="360" w:lineRule="auto"/>
        <w:rPr>
          <w:rFonts w:hint="eastAsia" w:ascii="宋体" w:hAnsi="宋体" w:cs="宋体"/>
          <w:b/>
          <w:kern w:val="0"/>
          <w:sz w:val="24"/>
          <w:szCs w:val="24"/>
        </w:rPr>
      </w:pPr>
      <w:r>
        <w:rPr>
          <w:rFonts w:hint="eastAsia" w:ascii="宋体" w:hAnsi="宋体" w:cs="宋体"/>
          <w:b/>
          <w:kern w:val="0"/>
          <w:sz w:val="24"/>
          <w:szCs w:val="24"/>
          <w:lang w:eastAsia="zh-CN"/>
        </w:rPr>
        <w:t>设计学院</w:t>
      </w:r>
      <w:r>
        <w:rPr>
          <w:rFonts w:hint="eastAsia" w:ascii="宋体" w:hAnsi="宋体" w:cs="宋体"/>
          <w:b/>
          <w:kern w:val="0"/>
          <w:sz w:val="24"/>
          <w:szCs w:val="24"/>
          <w:lang w:val="en-US" w:eastAsia="zh-CN"/>
        </w:rPr>
        <w:t>毕业生</w:t>
      </w:r>
      <w:r>
        <w:rPr>
          <w:rFonts w:hint="eastAsia" w:ascii="宋体" w:hAnsi="宋体" w:cs="宋体"/>
          <w:b/>
          <w:kern w:val="0"/>
          <w:sz w:val="24"/>
          <w:szCs w:val="24"/>
        </w:rPr>
        <w:t>就业基本情况</w:t>
      </w:r>
    </w:p>
    <w:p>
      <w:pPr>
        <w:widowControl/>
        <w:numPr>
          <w:ilvl w:val="0"/>
          <w:numId w:val="0"/>
        </w:numPr>
        <w:spacing w:line="360" w:lineRule="auto"/>
        <w:rPr>
          <w:rFonts w:hint="eastAsia" w:ascii="宋体" w:hAnsi="宋体" w:cs="宋体"/>
          <w:b/>
          <w:kern w:val="0"/>
          <w:sz w:val="24"/>
          <w:szCs w:val="24"/>
        </w:rPr>
      </w:pPr>
      <w:r>
        <w:rPr>
          <w:rFonts w:hint="eastAsia" w:ascii="宋体" w:hAnsi="宋体" w:cs="宋体"/>
          <w:b/>
          <w:kern w:val="0"/>
          <w:sz w:val="24"/>
          <w:szCs w:val="24"/>
          <w:lang w:val="en-US" w:eastAsia="zh-CN"/>
        </w:rPr>
        <w:t>1.1学院专业分布</w:t>
      </w:r>
    </w:p>
    <w:p>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bCs/>
          <w:color w:val="000000"/>
          <w:sz w:val="24"/>
          <w:szCs w:val="24"/>
          <w:lang w:val="en-US" w:eastAsia="zh-CN"/>
        </w:rPr>
      </w:pPr>
      <w:r>
        <w:rPr>
          <w:rFonts w:hint="eastAsia" w:ascii="宋体" w:hAnsi="宋体"/>
          <w:color w:val="000000"/>
          <w:sz w:val="24"/>
          <w:szCs w:val="24"/>
        </w:rPr>
        <w:t>我</w:t>
      </w:r>
      <w:r>
        <w:rPr>
          <w:rFonts w:hint="eastAsia" w:ascii="宋体" w:hAnsi="宋体"/>
          <w:color w:val="000000"/>
          <w:sz w:val="24"/>
          <w:szCs w:val="24"/>
          <w:lang w:val="en-US" w:eastAsia="zh-CN"/>
        </w:rPr>
        <w:t>院</w:t>
      </w:r>
      <w:r>
        <w:rPr>
          <w:rFonts w:hint="eastAsia" w:ascii="宋体" w:hAnsi="宋体"/>
          <w:color w:val="000000"/>
          <w:sz w:val="24"/>
          <w:szCs w:val="24"/>
          <w:lang w:eastAsia="zh-CN"/>
        </w:rPr>
        <w:t>2022</w:t>
      </w:r>
      <w:r>
        <w:rPr>
          <w:rFonts w:hint="eastAsia" w:ascii="宋体" w:hAnsi="宋体"/>
          <w:color w:val="000000"/>
          <w:sz w:val="24"/>
          <w:szCs w:val="24"/>
        </w:rPr>
        <w:t>届毕业生总人数为</w:t>
      </w:r>
      <w:r>
        <w:rPr>
          <w:rFonts w:hint="eastAsia" w:ascii="宋体" w:hAnsi="宋体"/>
          <w:color w:val="000000"/>
          <w:sz w:val="24"/>
          <w:szCs w:val="24"/>
          <w:lang w:val="en-US" w:eastAsia="zh-CN"/>
        </w:rPr>
        <w:t>256</w:t>
      </w:r>
      <w:r>
        <w:rPr>
          <w:rFonts w:hint="eastAsia" w:ascii="宋体" w:hAnsi="宋体"/>
          <w:color w:val="000000"/>
          <w:sz w:val="24"/>
          <w:szCs w:val="24"/>
        </w:rPr>
        <w:t>人，</w:t>
      </w:r>
      <w:r>
        <w:rPr>
          <w:rFonts w:hint="eastAsia" w:ascii="宋体" w:hAnsi="宋体"/>
          <w:color w:val="000000"/>
          <w:sz w:val="24"/>
          <w:szCs w:val="24"/>
          <w:lang w:val="en-US" w:eastAsia="zh-CN"/>
        </w:rPr>
        <w:t>9</w:t>
      </w:r>
      <w:r>
        <w:rPr>
          <w:rFonts w:hint="eastAsia" w:ascii="宋体" w:hAnsi="宋体"/>
          <w:color w:val="000000"/>
          <w:sz w:val="24"/>
          <w:szCs w:val="24"/>
        </w:rPr>
        <w:t>个班级</w:t>
      </w:r>
      <w:r>
        <w:rPr>
          <w:rFonts w:hint="eastAsia" w:ascii="宋体" w:hAnsi="宋体"/>
          <w:color w:val="000000"/>
          <w:sz w:val="24"/>
          <w:szCs w:val="24"/>
          <w:lang w:eastAsia="zh-CN"/>
        </w:rPr>
        <w:t>，</w:t>
      </w:r>
      <w:r>
        <w:rPr>
          <w:rFonts w:hint="eastAsia" w:ascii="宋体" w:hAnsi="宋体"/>
          <w:color w:val="000000"/>
          <w:sz w:val="24"/>
          <w:szCs w:val="24"/>
        </w:rPr>
        <w:t>6</w:t>
      </w:r>
      <w:r>
        <w:rPr>
          <w:rFonts w:hint="eastAsia" w:ascii="宋体" w:hAnsi="宋体"/>
          <w:color w:val="000000"/>
          <w:sz w:val="24"/>
          <w:szCs w:val="24"/>
          <w:lang w:val="en-US" w:eastAsia="zh-CN"/>
        </w:rPr>
        <w:t>个</w:t>
      </w:r>
      <w:r>
        <w:rPr>
          <w:rFonts w:hint="eastAsia" w:ascii="宋体" w:hAnsi="宋体"/>
          <w:color w:val="000000"/>
          <w:sz w:val="24"/>
          <w:szCs w:val="24"/>
        </w:rPr>
        <w:t>专业。其中，工业设计专业本科毕业生有</w:t>
      </w:r>
      <w:r>
        <w:rPr>
          <w:rFonts w:hint="eastAsia" w:ascii="宋体" w:hAnsi="宋体"/>
          <w:bCs/>
          <w:color w:val="000000"/>
          <w:sz w:val="24"/>
          <w:szCs w:val="24"/>
          <w:lang w:val="en-US" w:eastAsia="zh-CN"/>
        </w:rPr>
        <w:t>32</w:t>
      </w:r>
      <w:r>
        <w:rPr>
          <w:rFonts w:hint="eastAsia" w:ascii="宋体" w:hAnsi="宋体"/>
          <w:color w:val="000000"/>
          <w:sz w:val="24"/>
          <w:szCs w:val="24"/>
        </w:rPr>
        <w:t>人，占全体毕业生总数的</w:t>
      </w:r>
      <w:r>
        <w:rPr>
          <w:rFonts w:hint="eastAsia" w:ascii="宋体" w:hAnsi="宋体"/>
          <w:bCs/>
          <w:color w:val="000000"/>
          <w:sz w:val="24"/>
          <w:szCs w:val="24"/>
          <w:lang w:val="en-US" w:eastAsia="zh-CN"/>
        </w:rPr>
        <w:t>12.50</w:t>
      </w:r>
      <w:r>
        <w:rPr>
          <w:rFonts w:hint="eastAsia" w:ascii="宋体" w:hAnsi="宋体"/>
          <w:bCs/>
          <w:color w:val="000000"/>
          <w:sz w:val="24"/>
          <w:szCs w:val="24"/>
        </w:rPr>
        <w:t>%</w:t>
      </w:r>
      <w:r>
        <w:rPr>
          <w:rFonts w:hint="eastAsia" w:ascii="宋体" w:hAnsi="宋体"/>
          <w:color w:val="000000"/>
          <w:sz w:val="24"/>
          <w:szCs w:val="24"/>
        </w:rPr>
        <w:t>；视觉传达设计专业本科毕业生</w:t>
      </w:r>
      <w:r>
        <w:rPr>
          <w:rFonts w:hint="eastAsia" w:ascii="宋体" w:hAnsi="宋体"/>
          <w:color w:val="000000"/>
          <w:sz w:val="24"/>
          <w:szCs w:val="24"/>
          <w:lang w:val="en-US" w:eastAsia="zh-CN"/>
        </w:rPr>
        <w:t>54</w:t>
      </w:r>
      <w:r>
        <w:rPr>
          <w:rFonts w:hint="eastAsia" w:ascii="宋体" w:hAnsi="宋体"/>
          <w:color w:val="000000"/>
          <w:sz w:val="24"/>
          <w:szCs w:val="24"/>
        </w:rPr>
        <w:t>人，占全体毕业生总数的</w:t>
      </w:r>
      <w:r>
        <w:rPr>
          <w:rFonts w:hint="eastAsia" w:ascii="宋体" w:hAnsi="宋体"/>
          <w:bCs/>
          <w:color w:val="000000"/>
          <w:sz w:val="24"/>
          <w:szCs w:val="24"/>
          <w:lang w:val="en-US" w:eastAsia="zh-CN"/>
        </w:rPr>
        <w:t>21.09</w:t>
      </w:r>
      <w:r>
        <w:rPr>
          <w:rFonts w:hint="eastAsia" w:ascii="宋体" w:hAnsi="宋体"/>
          <w:bCs/>
          <w:color w:val="000000"/>
          <w:sz w:val="24"/>
          <w:szCs w:val="24"/>
        </w:rPr>
        <w:t>%</w:t>
      </w:r>
      <w:r>
        <w:rPr>
          <w:rFonts w:hint="eastAsia" w:ascii="宋体" w:hAnsi="宋体"/>
          <w:color w:val="000000"/>
          <w:sz w:val="24"/>
          <w:szCs w:val="24"/>
        </w:rPr>
        <w:t>；环境设计专业本科毕业生</w:t>
      </w:r>
      <w:r>
        <w:rPr>
          <w:rFonts w:hint="eastAsia" w:ascii="宋体" w:hAnsi="宋体"/>
          <w:bCs/>
          <w:color w:val="000000"/>
          <w:sz w:val="24"/>
          <w:szCs w:val="24"/>
          <w:lang w:val="en-US" w:eastAsia="zh-CN"/>
        </w:rPr>
        <w:t>59</w:t>
      </w:r>
      <w:r>
        <w:rPr>
          <w:rFonts w:hint="eastAsia" w:ascii="宋体" w:hAnsi="宋体"/>
          <w:color w:val="000000"/>
          <w:sz w:val="24"/>
          <w:szCs w:val="24"/>
        </w:rPr>
        <w:t>人，占全体毕业生总数的</w:t>
      </w:r>
      <w:r>
        <w:rPr>
          <w:rFonts w:hint="eastAsia" w:ascii="宋体" w:hAnsi="宋体"/>
          <w:bCs/>
          <w:color w:val="000000"/>
          <w:sz w:val="24"/>
          <w:szCs w:val="24"/>
          <w:lang w:val="en-US" w:eastAsia="zh-CN"/>
        </w:rPr>
        <w:t>23.04</w:t>
      </w:r>
      <w:r>
        <w:rPr>
          <w:rFonts w:hint="eastAsia" w:ascii="宋体" w:hAnsi="宋体"/>
          <w:bCs/>
          <w:color w:val="000000"/>
          <w:sz w:val="24"/>
          <w:szCs w:val="24"/>
        </w:rPr>
        <w:t>%</w:t>
      </w:r>
      <w:r>
        <w:rPr>
          <w:rFonts w:hint="eastAsia" w:ascii="宋体" w:hAnsi="宋体"/>
          <w:color w:val="000000"/>
          <w:sz w:val="24"/>
          <w:szCs w:val="24"/>
        </w:rPr>
        <w:t>；产品设计专业本科毕业生</w:t>
      </w:r>
      <w:r>
        <w:rPr>
          <w:rFonts w:hint="eastAsia" w:ascii="宋体" w:hAnsi="宋体"/>
          <w:bCs/>
          <w:color w:val="000000"/>
          <w:sz w:val="24"/>
          <w:szCs w:val="24"/>
          <w:lang w:val="en-US" w:eastAsia="zh-CN"/>
        </w:rPr>
        <w:t>54</w:t>
      </w:r>
      <w:r>
        <w:rPr>
          <w:rFonts w:hint="eastAsia" w:ascii="宋体" w:hAnsi="宋体"/>
          <w:color w:val="000000"/>
          <w:sz w:val="24"/>
          <w:szCs w:val="24"/>
        </w:rPr>
        <w:t>人，占全体毕业生总数的</w:t>
      </w:r>
      <w:r>
        <w:rPr>
          <w:rFonts w:hint="eastAsia" w:ascii="宋体" w:hAnsi="宋体"/>
          <w:bCs/>
          <w:color w:val="000000"/>
          <w:sz w:val="24"/>
          <w:szCs w:val="24"/>
          <w:lang w:val="en-US" w:eastAsia="zh-CN"/>
        </w:rPr>
        <w:t>21.09</w:t>
      </w:r>
      <w:r>
        <w:rPr>
          <w:rFonts w:hint="eastAsia" w:ascii="宋体" w:hAnsi="宋体"/>
          <w:bCs/>
          <w:color w:val="000000"/>
          <w:sz w:val="24"/>
          <w:szCs w:val="24"/>
        </w:rPr>
        <w:t>%</w:t>
      </w:r>
      <w:r>
        <w:rPr>
          <w:rFonts w:hint="eastAsia" w:ascii="宋体" w:hAnsi="宋体"/>
          <w:color w:val="000000"/>
          <w:sz w:val="24"/>
          <w:szCs w:val="24"/>
        </w:rPr>
        <w:t>；动画专业本科毕业生</w:t>
      </w:r>
      <w:r>
        <w:rPr>
          <w:rFonts w:hint="eastAsia" w:ascii="宋体" w:hAnsi="宋体"/>
          <w:bCs/>
          <w:color w:val="000000"/>
          <w:sz w:val="24"/>
          <w:szCs w:val="24"/>
          <w:lang w:val="en-US" w:eastAsia="zh-CN"/>
        </w:rPr>
        <w:t>29</w:t>
      </w:r>
      <w:r>
        <w:rPr>
          <w:rFonts w:hint="eastAsia" w:ascii="宋体" w:hAnsi="宋体"/>
          <w:color w:val="000000"/>
          <w:sz w:val="24"/>
          <w:szCs w:val="24"/>
        </w:rPr>
        <w:t>人，占全体毕业生人数的</w:t>
      </w:r>
      <w:r>
        <w:rPr>
          <w:rFonts w:hint="eastAsia" w:ascii="宋体" w:hAnsi="宋体"/>
          <w:bCs/>
          <w:color w:val="000000"/>
          <w:sz w:val="24"/>
          <w:szCs w:val="24"/>
          <w:lang w:val="en-US" w:eastAsia="zh-CN"/>
        </w:rPr>
        <w:t>11.33</w:t>
      </w:r>
      <w:r>
        <w:rPr>
          <w:rFonts w:hint="eastAsia" w:ascii="宋体" w:hAnsi="宋体"/>
          <w:color w:val="000000"/>
          <w:sz w:val="24"/>
          <w:szCs w:val="24"/>
        </w:rPr>
        <w:t>%；艺术与科技专业本科毕业生有</w:t>
      </w:r>
      <w:r>
        <w:rPr>
          <w:rFonts w:hint="eastAsia" w:ascii="宋体" w:hAnsi="宋体"/>
          <w:bCs/>
          <w:color w:val="000000"/>
          <w:sz w:val="24"/>
          <w:szCs w:val="24"/>
          <w:lang w:val="en-US" w:eastAsia="zh-CN"/>
        </w:rPr>
        <w:t>28</w:t>
      </w:r>
      <w:r>
        <w:rPr>
          <w:rFonts w:hint="eastAsia" w:ascii="宋体" w:hAnsi="宋体"/>
          <w:color w:val="000000"/>
          <w:sz w:val="24"/>
          <w:szCs w:val="24"/>
        </w:rPr>
        <w:t>人，占全体毕业生总数的</w:t>
      </w:r>
      <w:r>
        <w:rPr>
          <w:rFonts w:hint="eastAsia" w:ascii="宋体" w:hAnsi="宋体"/>
          <w:bCs/>
          <w:color w:val="000000"/>
          <w:sz w:val="24"/>
          <w:szCs w:val="24"/>
          <w:lang w:val="en-US" w:eastAsia="zh-CN"/>
        </w:rPr>
        <w:t>10.94</w:t>
      </w:r>
      <w:r>
        <w:rPr>
          <w:rFonts w:hint="eastAsia" w:ascii="宋体" w:hAnsi="宋体"/>
          <w:bCs/>
          <w:color w:val="000000"/>
          <w:sz w:val="24"/>
          <w:szCs w:val="24"/>
        </w:rPr>
        <w:t>%。</w:t>
      </w:r>
      <w:r>
        <w:rPr>
          <w:rFonts w:hint="eastAsia" w:ascii="宋体" w:hAnsi="宋体" w:cs="宋体"/>
          <w:color w:val="000000"/>
          <w:kern w:val="0"/>
          <w:sz w:val="24"/>
          <w:szCs w:val="24"/>
        </w:rPr>
        <w:t>截至</w:t>
      </w:r>
      <w:r>
        <w:rPr>
          <w:rFonts w:hint="eastAsia" w:ascii="宋体" w:hAnsi="宋体" w:cs="宋体"/>
          <w:color w:val="000000"/>
          <w:kern w:val="0"/>
          <w:sz w:val="24"/>
          <w:szCs w:val="24"/>
          <w:lang w:val="en-US" w:eastAsia="zh-CN"/>
        </w:rPr>
        <w:t>目前</w:t>
      </w:r>
      <w:r>
        <w:rPr>
          <w:rFonts w:hint="eastAsia" w:ascii="宋体" w:hAnsi="宋体"/>
          <w:bCs/>
          <w:sz w:val="24"/>
          <w:szCs w:val="24"/>
        </w:rPr>
        <w:t>，我</w:t>
      </w:r>
      <w:r>
        <w:rPr>
          <w:rFonts w:hint="eastAsia" w:ascii="宋体" w:hAnsi="宋体"/>
          <w:bCs/>
          <w:sz w:val="24"/>
          <w:szCs w:val="24"/>
          <w:lang w:val="en-US" w:eastAsia="zh-CN"/>
        </w:rPr>
        <w:t>院</w:t>
      </w:r>
      <w:r>
        <w:rPr>
          <w:rFonts w:hint="eastAsia" w:ascii="宋体" w:hAnsi="宋体"/>
          <w:bCs/>
          <w:sz w:val="24"/>
          <w:szCs w:val="24"/>
          <w:lang w:eastAsia="zh-CN"/>
        </w:rPr>
        <w:t>2022</w:t>
      </w:r>
      <w:r>
        <w:rPr>
          <w:rFonts w:hint="eastAsia" w:ascii="宋体" w:hAnsi="宋体"/>
          <w:bCs/>
          <w:sz w:val="24"/>
          <w:szCs w:val="24"/>
        </w:rPr>
        <w:t>届毕业生</w:t>
      </w:r>
      <w:r>
        <w:rPr>
          <w:rFonts w:hint="eastAsia" w:ascii="宋体" w:hAnsi="宋体" w:cs="宋体"/>
          <w:color w:val="000000"/>
          <w:kern w:val="0"/>
          <w:sz w:val="24"/>
          <w:szCs w:val="24"/>
        </w:rPr>
        <w:t>已就业人数为</w:t>
      </w:r>
      <w:r>
        <w:rPr>
          <w:rFonts w:hint="eastAsia" w:ascii="宋体" w:hAnsi="宋体" w:cs="宋体"/>
          <w:bCs/>
          <w:color w:val="000000"/>
          <w:kern w:val="0"/>
          <w:sz w:val="24"/>
          <w:szCs w:val="24"/>
        </w:rPr>
        <w:t>2</w:t>
      </w:r>
      <w:r>
        <w:rPr>
          <w:rFonts w:hint="eastAsia" w:ascii="宋体" w:hAnsi="宋体" w:cs="宋体"/>
          <w:bCs/>
          <w:color w:val="000000"/>
          <w:kern w:val="0"/>
          <w:sz w:val="24"/>
          <w:szCs w:val="24"/>
          <w:lang w:val="en-US" w:eastAsia="zh-CN"/>
        </w:rPr>
        <w:t>45</w:t>
      </w:r>
      <w:r>
        <w:rPr>
          <w:rFonts w:hint="eastAsia" w:ascii="宋体" w:hAnsi="宋体" w:cs="宋体"/>
          <w:color w:val="000000"/>
          <w:kern w:val="0"/>
          <w:sz w:val="24"/>
          <w:szCs w:val="24"/>
        </w:rPr>
        <w:t>人，</w:t>
      </w:r>
      <w:r>
        <w:rPr>
          <w:rFonts w:hint="eastAsia" w:ascii="宋体" w:hAnsi="宋体"/>
          <w:color w:val="000000"/>
          <w:sz w:val="24"/>
          <w:szCs w:val="24"/>
        </w:rPr>
        <w:t>就业率</w:t>
      </w:r>
      <w:r>
        <w:rPr>
          <w:rFonts w:hint="eastAsia" w:ascii="宋体" w:hAnsi="宋体"/>
          <w:color w:val="000000"/>
          <w:sz w:val="24"/>
          <w:szCs w:val="24"/>
          <w:lang w:val="en-US" w:eastAsia="zh-CN"/>
        </w:rPr>
        <w:t>95.70</w:t>
      </w:r>
      <w:r>
        <w:rPr>
          <w:rFonts w:hint="eastAsia" w:ascii="宋体" w:hAnsi="宋体"/>
          <w:color w:val="000000"/>
          <w:sz w:val="24"/>
          <w:szCs w:val="24"/>
        </w:rPr>
        <w:t>%</w:t>
      </w:r>
      <w:r>
        <w:rPr>
          <w:rFonts w:hint="eastAsia" w:ascii="宋体" w:hAnsi="宋体"/>
          <w:color w:val="000000"/>
          <w:sz w:val="24"/>
          <w:szCs w:val="24"/>
          <w:lang w:eastAsia="zh-CN"/>
        </w:rPr>
        <w:t>。</w:t>
      </w:r>
    </w:p>
    <w:p>
      <w:pPr>
        <w:spacing w:line="360" w:lineRule="auto"/>
        <w:ind w:firstLine="480" w:firstLineChars="200"/>
        <w:jc w:val="center"/>
        <w:rPr>
          <w:rFonts w:hint="default" w:ascii="宋体" w:hAnsi="宋体" w:eastAsia="宋体"/>
          <w:bCs/>
          <w:color w:val="000000"/>
          <w:sz w:val="24"/>
          <w:szCs w:val="24"/>
          <w:lang w:val="en-US" w:eastAsia="zh-CN"/>
        </w:rPr>
      </w:pPr>
      <w:r>
        <w:rPr>
          <w:rFonts w:hint="eastAsia" w:ascii="宋体" w:hAnsi="宋体" w:eastAsia="宋体"/>
          <w:bCs/>
          <w:color w:val="000000"/>
          <w:sz w:val="24"/>
          <w:szCs w:val="24"/>
          <w:lang w:eastAsia="zh-CN"/>
        </w:rPr>
        <w:object>
          <v:shape id="_x0000_i1025" o:spt="75" type="#_x0000_t75" style="height:242.4pt;width:397.2pt;" o:ole="t" filled="f" o:preferrelative="t" stroked="f" coordsize="21600,21600">
            <v:path/>
            <v:fill on="f" focussize="0,0"/>
            <v:stroke on="f"/>
            <v:imagedata r:id="rId44" o:title=""/>
            <o:lock v:ext="edit" aspectratio="t"/>
            <w10:wrap type="none"/>
            <w10:anchorlock/>
          </v:shape>
          <o:OLEObject Type="Embed" ProgID="Excel.Chart.8" ShapeID="_x0000_i1025" DrawAspect="Content" ObjectID="_1468075727" r:id="rId43">
            <o:LockedField>false</o:LockedField>
          </o:OLEObject>
        </w:object>
      </w:r>
      <w:r>
        <w:rPr>
          <w:rFonts w:hint="eastAsia" w:ascii="华文仿宋" w:hAnsi="华文仿宋" w:eastAsia="华文仿宋" w:cs="华文仿宋"/>
          <w:bCs/>
          <w:color w:val="000000"/>
          <w:sz w:val="21"/>
          <w:szCs w:val="21"/>
          <w:lang w:val="en-US" w:eastAsia="zh-CN"/>
        </w:rPr>
        <w:t>图1-1设计学院2022届毕业生就业率统计表</w:t>
      </w:r>
    </w:p>
    <w:p>
      <w:pPr>
        <w:widowControl/>
        <w:numPr>
          <w:ilvl w:val="0"/>
          <w:numId w:val="0"/>
        </w:numPr>
        <w:spacing w:line="360" w:lineRule="auto"/>
        <w:rPr>
          <w:rFonts w:hint="default" w:ascii="宋体" w:hAnsi="宋体" w:eastAsia="宋体" w:cs="宋体"/>
          <w:b/>
          <w:kern w:val="0"/>
          <w:sz w:val="24"/>
          <w:szCs w:val="24"/>
          <w:lang w:val="en-US" w:eastAsia="zh-CN"/>
        </w:rPr>
      </w:pPr>
      <w:r>
        <w:rPr>
          <w:rFonts w:hint="eastAsia" w:ascii="宋体" w:hAnsi="宋体" w:eastAsia="宋体" w:cs="宋体"/>
          <w:b/>
          <w:kern w:val="0"/>
          <w:sz w:val="24"/>
          <w:szCs w:val="24"/>
          <w:lang w:val="en-US" w:eastAsia="zh-CN"/>
        </w:rPr>
        <w:t>1.2毕业生性别与生源地情况</w:t>
      </w:r>
    </w:p>
    <w:p>
      <w:pPr>
        <w:spacing w:line="360" w:lineRule="auto"/>
        <w:ind w:firstLine="480" w:firstLineChars="200"/>
        <w:jc w:val="left"/>
        <w:rPr>
          <w:rFonts w:hint="default" w:ascii="宋体" w:hAnsi="宋体"/>
          <w:bCs/>
          <w:sz w:val="24"/>
          <w:szCs w:val="24"/>
          <w:lang w:val="en-US" w:eastAsia="zh-CN"/>
        </w:rPr>
      </w:pPr>
      <w:r>
        <w:rPr>
          <w:rFonts w:hint="eastAsia" w:ascii="宋体" w:hAnsi="宋体"/>
          <w:bCs/>
          <w:sz w:val="24"/>
          <w:szCs w:val="24"/>
          <w:lang w:eastAsia="zh-CN"/>
        </w:rPr>
        <w:t>2022</w:t>
      </w:r>
      <w:r>
        <w:rPr>
          <w:rFonts w:hint="eastAsia" w:ascii="宋体" w:hAnsi="宋体"/>
          <w:bCs/>
          <w:sz w:val="24"/>
          <w:szCs w:val="24"/>
        </w:rPr>
        <w:t>届毕业生</w:t>
      </w:r>
      <w:r>
        <w:rPr>
          <w:rFonts w:hint="eastAsia" w:ascii="宋体" w:hAnsi="宋体"/>
          <w:bCs/>
          <w:sz w:val="24"/>
          <w:szCs w:val="24"/>
          <w:lang w:val="en-US" w:eastAsia="zh-CN"/>
        </w:rPr>
        <w:t>中男生94人，女生162人。从全国分布情况看，安徽省生源的毕业生最多，共151人，主要生源信息见表1-1。</w:t>
      </w:r>
    </w:p>
    <w:p>
      <w:pPr>
        <w:spacing w:line="360" w:lineRule="auto"/>
        <w:ind w:firstLine="420" w:firstLineChars="200"/>
        <w:jc w:val="center"/>
        <w:rPr>
          <w:rFonts w:hint="default" w:ascii="华文仿宋" w:hAnsi="华文仿宋" w:eastAsia="华文仿宋" w:cs="华文仿宋"/>
          <w:bCs/>
          <w:color w:val="000000"/>
          <w:sz w:val="21"/>
          <w:szCs w:val="21"/>
          <w:lang w:val="en-US" w:eastAsia="zh-CN"/>
        </w:rPr>
      </w:pPr>
      <w:r>
        <w:rPr>
          <w:rFonts w:hint="eastAsia" w:ascii="华文仿宋" w:hAnsi="华文仿宋" w:eastAsia="华文仿宋" w:cs="华文仿宋"/>
          <w:bCs/>
          <w:color w:val="000000"/>
          <w:sz w:val="21"/>
          <w:szCs w:val="21"/>
          <w:lang w:val="en-US" w:eastAsia="zh-CN"/>
        </w:rPr>
        <w:t>表1-1 2022届本科毕业生生源地分布</w:t>
      </w:r>
    </w:p>
    <w:tbl>
      <w:tblPr>
        <w:tblStyle w:val="1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40"/>
        <w:gridCol w:w="2841"/>
        <w:gridCol w:w="28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noWrap w:val="0"/>
            <w:vAlign w:val="top"/>
          </w:tcPr>
          <w:p>
            <w:pPr>
              <w:spacing w:line="360" w:lineRule="auto"/>
              <w:jc w:val="center"/>
              <w:rPr>
                <w:rFonts w:hint="default" w:ascii="宋体" w:hAnsi="宋体"/>
                <w:bCs/>
                <w:sz w:val="24"/>
                <w:szCs w:val="24"/>
                <w:vertAlign w:val="baseline"/>
                <w:lang w:val="en-US" w:eastAsia="zh-CN"/>
              </w:rPr>
            </w:pPr>
            <w:r>
              <w:rPr>
                <w:rFonts w:hint="eastAsia" w:ascii="宋体" w:hAnsi="宋体"/>
                <w:bCs/>
                <w:sz w:val="24"/>
                <w:szCs w:val="24"/>
                <w:vertAlign w:val="baseline"/>
                <w:lang w:val="en-US" w:eastAsia="zh-CN"/>
              </w:rPr>
              <w:t>生源地</w:t>
            </w:r>
          </w:p>
        </w:tc>
        <w:tc>
          <w:tcPr>
            <w:tcW w:w="2841" w:type="dxa"/>
            <w:noWrap w:val="0"/>
            <w:vAlign w:val="top"/>
          </w:tcPr>
          <w:p>
            <w:pPr>
              <w:spacing w:line="360" w:lineRule="auto"/>
              <w:jc w:val="center"/>
              <w:rPr>
                <w:rFonts w:hint="default" w:ascii="宋体" w:hAnsi="宋体"/>
                <w:bCs/>
                <w:sz w:val="24"/>
                <w:szCs w:val="24"/>
                <w:vertAlign w:val="baseline"/>
                <w:lang w:val="en-US" w:eastAsia="zh-CN"/>
              </w:rPr>
            </w:pPr>
            <w:r>
              <w:rPr>
                <w:rFonts w:hint="eastAsia" w:ascii="宋体" w:hAnsi="宋体"/>
                <w:bCs/>
                <w:sz w:val="24"/>
                <w:szCs w:val="24"/>
                <w:vertAlign w:val="baseline"/>
                <w:lang w:val="en-US" w:eastAsia="zh-CN"/>
              </w:rPr>
              <w:t>人数</w:t>
            </w:r>
          </w:p>
        </w:tc>
        <w:tc>
          <w:tcPr>
            <w:tcW w:w="2841" w:type="dxa"/>
            <w:noWrap w:val="0"/>
            <w:vAlign w:val="top"/>
          </w:tcPr>
          <w:p>
            <w:pPr>
              <w:spacing w:line="360" w:lineRule="auto"/>
              <w:jc w:val="center"/>
              <w:rPr>
                <w:rFonts w:hint="default" w:ascii="宋体" w:hAnsi="宋体"/>
                <w:bCs/>
                <w:sz w:val="24"/>
                <w:szCs w:val="24"/>
                <w:vertAlign w:val="baseline"/>
                <w:lang w:val="en-US" w:eastAsia="zh-CN"/>
              </w:rPr>
            </w:pPr>
            <w:r>
              <w:rPr>
                <w:rFonts w:hint="eastAsia" w:ascii="宋体" w:hAnsi="宋体"/>
                <w:bCs/>
                <w:sz w:val="24"/>
                <w:szCs w:val="24"/>
                <w:vertAlign w:val="baseline"/>
                <w:lang w:val="en-US" w:eastAsia="zh-CN"/>
              </w:rPr>
              <w:t>比例（%）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noWrap w:val="0"/>
            <w:vAlign w:val="top"/>
          </w:tcPr>
          <w:p>
            <w:pPr>
              <w:spacing w:line="360" w:lineRule="auto"/>
              <w:jc w:val="center"/>
              <w:rPr>
                <w:rFonts w:hint="default" w:ascii="宋体" w:hAnsi="宋体"/>
                <w:bCs/>
                <w:sz w:val="24"/>
                <w:szCs w:val="24"/>
                <w:vertAlign w:val="baseline"/>
                <w:lang w:val="en-US" w:eastAsia="zh-CN"/>
              </w:rPr>
            </w:pPr>
            <w:r>
              <w:rPr>
                <w:rFonts w:hint="eastAsia" w:ascii="宋体" w:hAnsi="宋体"/>
                <w:bCs/>
                <w:sz w:val="24"/>
                <w:szCs w:val="24"/>
                <w:vertAlign w:val="baseline"/>
                <w:lang w:val="en-US" w:eastAsia="zh-CN"/>
              </w:rPr>
              <w:t>安徽</w:t>
            </w:r>
          </w:p>
        </w:tc>
        <w:tc>
          <w:tcPr>
            <w:tcW w:w="2841" w:type="dxa"/>
            <w:noWrap w:val="0"/>
            <w:vAlign w:val="top"/>
          </w:tcPr>
          <w:p>
            <w:pPr>
              <w:spacing w:line="360" w:lineRule="auto"/>
              <w:jc w:val="center"/>
              <w:rPr>
                <w:rFonts w:hint="default" w:ascii="宋体" w:hAnsi="宋体"/>
                <w:bCs/>
                <w:sz w:val="24"/>
                <w:szCs w:val="24"/>
                <w:vertAlign w:val="baseline"/>
                <w:lang w:val="en-US" w:eastAsia="zh-CN"/>
              </w:rPr>
            </w:pPr>
            <w:r>
              <w:rPr>
                <w:rFonts w:hint="eastAsia" w:ascii="宋体" w:hAnsi="宋体"/>
                <w:bCs/>
                <w:sz w:val="24"/>
                <w:szCs w:val="24"/>
                <w:vertAlign w:val="baseline"/>
                <w:lang w:val="en-US" w:eastAsia="zh-CN"/>
              </w:rPr>
              <w:t>151</w:t>
            </w:r>
          </w:p>
        </w:tc>
        <w:tc>
          <w:tcPr>
            <w:tcW w:w="2841" w:type="dxa"/>
            <w:noWrap w:val="0"/>
            <w:vAlign w:val="top"/>
          </w:tcPr>
          <w:p>
            <w:pPr>
              <w:spacing w:line="360" w:lineRule="auto"/>
              <w:jc w:val="center"/>
              <w:rPr>
                <w:rFonts w:hint="default" w:ascii="宋体" w:hAnsi="宋体"/>
                <w:bCs/>
                <w:sz w:val="24"/>
                <w:szCs w:val="24"/>
                <w:vertAlign w:val="baseline"/>
                <w:lang w:val="en-US" w:eastAsia="zh-CN"/>
              </w:rPr>
            </w:pPr>
            <w:r>
              <w:rPr>
                <w:rFonts w:hint="eastAsia" w:ascii="宋体" w:hAnsi="宋体"/>
                <w:bCs/>
                <w:sz w:val="24"/>
                <w:szCs w:val="24"/>
                <w:vertAlign w:val="baseline"/>
                <w:lang w:val="en-US" w:eastAsia="zh-CN"/>
              </w:rPr>
              <w:t>58.98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noWrap w:val="0"/>
            <w:vAlign w:val="top"/>
          </w:tcPr>
          <w:p>
            <w:pPr>
              <w:spacing w:line="360" w:lineRule="auto"/>
              <w:jc w:val="center"/>
              <w:rPr>
                <w:rFonts w:hint="default" w:ascii="宋体" w:hAnsi="宋体"/>
                <w:bCs/>
                <w:sz w:val="24"/>
                <w:szCs w:val="24"/>
                <w:vertAlign w:val="baseline"/>
                <w:lang w:val="en-US" w:eastAsia="zh-CN"/>
              </w:rPr>
            </w:pPr>
            <w:r>
              <w:rPr>
                <w:rFonts w:hint="eastAsia" w:ascii="宋体" w:hAnsi="宋体"/>
                <w:bCs/>
                <w:sz w:val="24"/>
                <w:szCs w:val="24"/>
                <w:vertAlign w:val="baseline"/>
                <w:lang w:val="en-US" w:eastAsia="zh-CN"/>
              </w:rPr>
              <w:t>河北</w:t>
            </w:r>
          </w:p>
        </w:tc>
        <w:tc>
          <w:tcPr>
            <w:tcW w:w="2841" w:type="dxa"/>
            <w:noWrap w:val="0"/>
            <w:vAlign w:val="top"/>
          </w:tcPr>
          <w:p>
            <w:pPr>
              <w:spacing w:line="360" w:lineRule="auto"/>
              <w:jc w:val="center"/>
              <w:rPr>
                <w:rFonts w:hint="default" w:ascii="宋体" w:hAnsi="宋体"/>
                <w:bCs/>
                <w:sz w:val="24"/>
                <w:szCs w:val="24"/>
                <w:vertAlign w:val="baseline"/>
                <w:lang w:val="en-US" w:eastAsia="zh-CN"/>
              </w:rPr>
            </w:pPr>
            <w:r>
              <w:rPr>
                <w:rFonts w:hint="eastAsia" w:ascii="宋体" w:hAnsi="宋体"/>
                <w:bCs/>
                <w:sz w:val="24"/>
                <w:szCs w:val="24"/>
                <w:vertAlign w:val="baseline"/>
                <w:lang w:val="en-US" w:eastAsia="zh-CN"/>
              </w:rPr>
              <w:t>9</w:t>
            </w:r>
          </w:p>
        </w:tc>
        <w:tc>
          <w:tcPr>
            <w:tcW w:w="2841" w:type="dxa"/>
            <w:noWrap w:val="0"/>
            <w:vAlign w:val="top"/>
          </w:tcPr>
          <w:p>
            <w:pPr>
              <w:spacing w:line="360" w:lineRule="auto"/>
              <w:jc w:val="center"/>
              <w:rPr>
                <w:rFonts w:hint="default" w:ascii="宋体" w:hAnsi="宋体"/>
                <w:bCs/>
                <w:sz w:val="24"/>
                <w:szCs w:val="24"/>
                <w:vertAlign w:val="baseline"/>
                <w:lang w:val="en-US" w:eastAsia="zh-CN"/>
              </w:rPr>
            </w:pPr>
            <w:r>
              <w:rPr>
                <w:rFonts w:hint="eastAsia" w:ascii="宋体" w:hAnsi="宋体"/>
                <w:bCs/>
                <w:sz w:val="24"/>
                <w:szCs w:val="24"/>
                <w:vertAlign w:val="baseline"/>
                <w:lang w:val="en-US" w:eastAsia="zh-CN"/>
              </w:rPr>
              <w:t>3.51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noWrap w:val="0"/>
            <w:vAlign w:val="top"/>
          </w:tcPr>
          <w:p>
            <w:pPr>
              <w:spacing w:line="360" w:lineRule="auto"/>
              <w:jc w:val="center"/>
              <w:rPr>
                <w:rFonts w:hint="default" w:ascii="宋体" w:hAnsi="宋体"/>
                <w:bCs/>
                <w:sz w:val="24"/>
                <w:szCs w:val="24"/>
                <w:vertAlign w:val="baseline"/>
                <w:lang w:val="en-US" w:eastAsia="zh-CN"/>
              </w:rPr>
            </w:pPr>
            <w:r>
              <w:rPr>
                <w:rFonts w:hint="eastAsia" w:ascii="宋体" w:hAnsi="宋体"/>
                <w:bCs/>
                <w:sz w:val="24"/>
                <w:szCs w:val="24"/>
                <w:vertAlign w:val="baseline"/>
                <w:lang w:val="en-US" w:eastAsia="zh-CN"/>
              </w:rPr>
              <w:t>河南</w:t>
            </w:r>
          </w:p>
        </w:tc>
        <w:tc>
          <w:tcPr>
            <w:tcW w:w="2841" w:type="dxa"/>
            <w:noWrap w:val="0"/>
            <w:vAlign w:val="top"/>
          </w:tcPr>
          <w:p>
            <w:pPr>
              <w:spacing w:line="360" w:lineRule="auto"/>
              <w:jc w:val="center"/>
              <w:rPr>
                <w:rFonts w:hint="default" w:ascii="宋体" w:hAnsi="宋体"/>
                <w:bCs/>
                <w:sz w:val="24"/>
                <w:szCs w:val="24"/>
                <w:vertAlign w:val="baseline"/>
                <w:lang w:val="en-US" w:eastAsia="zh-CN"/>
              </w:rPr>
            </w:pPr>
            <w:r>
              <w:rPr>
                <w:rFonts w:hint="eastAsia" w:ascii="宋体" w:hAnsi="宋体"/>
                <w:bCs/>
                <w:sz w:val="24"/>
                <w:szCs w:val="24"/>
                <w:vertAlign w:val="baseline"/>
                <w:lang w:val="en-US" w:eastAsia="zh-CN"/>
              </w:rPr>
              <w:t>12</w:t>
            </w:r>
          </w:p>
        </w:tc>
        <w:tc>
          <w:tcPr>
            <w:tcW w:w="2841" w:type="dxa"/>
            <w:noWrap w:val="0"/>
            <w:vAlign w:val="top"/>
          </w:tcPr>
          <w:p>
            <w:pPr>
              <w:spacing w:line="360" w:lineRule="auto"/>
              <w:jc w:val="center"/>
              <w:rPr>
                <w:rFonts w:hint="default" w:ascii="宋体" w:hAnsi="宋体"/>
                <w:bCs/>
                <w:sz w:val="24"/>
                <w:szCs w:val="24"/>
                <w:vertAlign w:val="baseline"/>
                <w:lang w:val="en-US" w:eastAsia="zh-CN"/>
              </w:rPr>
            </w:pPr>
            <w:r>
              <w:rPr>
                <w:rFonts w:hint="eastAsia" w:ascii="宋体" w:hAnsi="宋体"/>
                <w:bCs/>
                <w:sz w:val="24"/>
                <w:szCs w:val="24"/>
                <w:vertAlign w:val="baseline"/>
                <w:lang w:val="en-US" w:eastAsia="zh-CN"/>
              </w:rPr>
              <w:t>4.68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noWrap w:val="0"/>
            <w:vAlign w:val="top"/>
          </w:tcPr>
          <w:p>
            <w:pPr>
              <w:spacing w:line="360" w:lineRule="auto"/>
              <w:jc w:val="center"/>
              <w:rPr>
                <w:rFonts w:hint="default" w:ascii="宋体" w:hAnsi="宋体"/>
                <w:bCs/>
                <w:sz w:val="24"/>
                <w:szCs w:val="24"/>
                <w:vertAlign w:val="baseline"/>
                <w:lang w:val="en-US" w:eastAsia="zh-CN"/>
              </w:rPr>
            </w:pPr>
            <w:r>
              <w:rPr>
                <w:rFonts w:hint="eastAsia" w:ascii="宋体" w:hAnsi="宋体"/>
                <w:bCs/>
                <w:sz w:val="24"/>
                <w:szCs w:val="24"/>
                <w:vertAlign w:val="baseline"/>
                <w:lang w:val="en-US" w:eastAsia="zh-CN"/>
              </w:rPr>
              <w:t>湖南</w:t>
            </w:r>
          </w:p>
        </w:tc>
        <w:tc>
          <w:tcPr>
            <w:tcW w:w="2841" w:type="dxa"/>
            <w:noWrap w:val="0"/>
            <w:vAlign w:val="top"/>
          </w:tcPr>
          <w:p>
            <w:pPr>
              <w:spacing w:line="360" w:lineRule="auto"/>
              <w:jc w:val="center"/>
              <w:rPr>
                <w:rFonts w:hint="default" w:ascii="宋体" w:hAnsi="宋体"/>
                <w:bCs/>
                <w:sz w:val="24"/>
                <w:szCs w:val="24"/>
                <w:vertAlign w:val="baseline"/>
                <w:lang w:val="en-US" w:eastAsia="zh-CN"/>
              </w:rPr>
            </w:pPr>
            <w:r>
              <w:rPr>
                <w:rFonts w:hint="eastAsia" w:ascii="宋体" w:hAnsi="宋体"/>
                <w:bCs/>
                <w:sz w:val="24"/>
                <w:szCs w:val="24"/>
                <w:vertAlign w:val="baseline"/>
                <w:lang w:val="en-US" w:eastAsia="zh-CN"/>
              </w:rPr>
              <w:t>15</w:t>
            </w:r>
          </w:p>
        </w:tc>
        <w:tc>
          <w:tcPr>
            <w:tcW w:w="2841" w:type="dxa"/>
            <w:noWrap w:val="0"/>
            <w:vAlign w:val="top"/>
          </w:tcPr>
          <w:p>
            <w:pPr>
              <w:spacing w:line="360" w:lineRule="auto"/>
              <w:jc w:val="center"/>
              <w:rPr>
                <w:rFonts w:hint="default" w:ascii="宋体" w:hAnsi="宋体"/>
                <w:bCs/>
                <w:sz w:val="24"/>
                <w:szCs w:val="24"/>
                <w:vertAlign w:val="baseline"/>
                <w:lang w:val="en-US" w:eastAsia="zh-CN"/>
              </w:rPr>
            </w:pPr>
            <w:r>
              <w:rPr>
                <w:rFonts w:hint="eastAsia" w:ascii="宋体" w:hAnsi="宋体"/>
                <w:bCs/>
                <w:sz w:val="24"/>
                <w:szCs w:val="24"/>
                <w:vertAlign w:val="baseline"/>
                <w:lang w:val="en-US" w:eastAsia="zh-CN"/>
              </w:rPr>
              <w:t>5.86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noWrap w:val="0"/>
            <w:vAlign w:val="top"/>
          </w:tcPr>
          <w:p>
            <w:pPr>
              <w:spacing w:line="360" w:lineRule="auto"/>
              <w:jc w:val="center"/>
              <w:rPr>
                <w:rFonts w:hint="default" w:ascii="宋体" w:hAnsi="宋体"/>
                <w:bCs/>
                <w:sz w:val="24"/>
                <w:szCs w:val="24"/>
                <w:vertAlign w:val="baseline"/>
                <w:lang w:val="en-US" w:eastAsia="zh-CN"/>
              </w:rPr>
            </w:pPr>
            <w:r>
              <w:rPr>
                <w:rFonts w:hint="eastAsia" w:ascii="宋体" w:hAnsi="宋体"/>
                <w:bCs/>
                <w:sz w:val="24"/>
                <w:szCs w:val="24"/>
                <w:vertAlign w:val="baseline"/>
                <w:lang w:val="en-US" w:eastAsia="zh-CN"/>
              </w:rPr>
              <w:t>江苏</w:t>
            </w:r>
          </w:p>
        </w:tc>
        <w:tc>
          <w:tcPr>
            <w:tcW w:w="2841" w:type="dxa"/>
            <w:noWrap w:val="0"/>
            <w:vAlign w:val="top"/>
          </w:tcPr>
          <w:p>
            <w:pPr>
              <w:spacing w:line="360" w:lineRule="auto"/>
              <w:jc w:val="center"/>
              <w:rPr>
                <w:rFonts w:hint="default" w:ascii="宋体" w:hAnsi="宋体"/>
                <w:bCs/>
                <w:sz w:val="24"/>
                <w:szCs w:val="24"/>
                <w:vertAlign w:val="baseline"/>
                <w:lang w:val="en-US" w:eastAsia="zh-CN"/>
              </w:rPr>
            </w:pPr>
            <w:r>
              <w:rPr>
                <w:rFonts w:hint="eastAsia" w:ascii="宋体" w:hAnsi="宋体"/>
                <w:bCs/>
                <w:sz w:val="24"/>
                <w:szCs w:val="24"/>
                <w:vertAlign w:val="baseline"/>
                <w:lang w:val="en-US" w:eastAsia="zh-CN"/>
              </w:rPr>
              <w:t>14</w:t>
            </w:r>
          </w:p>
        </w:tc>
        <w:tc>
          <w:tcPr>
            <w:tcW w:w="2841" w:type="dxa"/>
            <w:noWrap w:val="0"/>
            <w:vAlign w:val="top"/>
          </w:tcPr>
          <w:p>
            <w:pPr>
              <w:spacing w:line="360" w:lineRule="auto"/>
              <w:jc w:val="center"/>
              <w:rPr>
                <w:rFonts w:hint="default" w:ascii="宋体" w:hAnsi="宋体"/>
                <w:bCs/>
                <w:sz w:val="24"/>
                <w:szCs w:val="24"/>
                <w:vertAlign w:val="baseline"/>
                <w:lang w:val="en-US" w:eastAsia="zh-CN"/>
              </w:rPr>
            </w:pPr>
            <w:r>
              <w:rPr>
                <w:rFonts w:hint="eastAsia" w:ascii="宋体" w:hAnsi="宋体"/>
                <w:bCs/>
                <w:sz w:val="24"/>
                <w:szCs w:val="24"/>
                <w:vertAlign w:val="baseline"/>
                <w:lang w:val="en-US" w:eastAsia="zh-CN"/>
              </w:rPr>
              <w:t>5.46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noWrap w:val="0"/>
            <w:vAlign w:val="top"/>
          </w:tcPr>
          <w:p>
            <w:pPr>
              <w:spacing w:line="360" w:lineRule="auto"/>
              <w:jc w:val="center"/>
              <w:rPr>
                <w:rFonts w:hint="default" w:ascii="宋体" w:hAnsi="宋体"/>
                <w:bCs/>
                <w:sz w:val="24"/>
                <w:szCs w:val="24"/>
                <w:vertAlign w:val="baseline"/>
                <w:lang w:val="en-US" w:eastAsia="zh-CN"/>
              </w:rPr>
            </w:pPr>
            <w:r>
              <w:rPr>
                <w:rFonts w:hint="eastAsia" w:ascii="宋体" w:hAnsi="宋体"/>
                <w:bCs/>
                <w:sz w:val="24"/>
                <w:szCs w:val="24"/>
                <w:vertAlign w:val="baseline"/>
                <w:lang w:val="en-US" w:eastAsia="zh-CN"/>
              </w:rPr>
              <w:t>江西</w:t>
            </w:r>
          </w:p>
        </w:tc>
        <w:tc>
          <w:tcPr>
            <w:tcW w:w="2841" w:type="dxa"/>
            <w:noWrap w:val="0"/>
            <w:vAlign w:val="top"/>
          </w:tcPr>
          <w:p>
            <w:pPr>
              <w:spacing w:line="360" w:lineRule="auto"/>
              <w:jc w:val="center"/>
              <w:rPr>
                <w:rFonts w:hint="default" w:ascii="宋体" w:hAnsi="宋体"/>
                <w:bCs/>
                <w:sz w:val="24"/>
                <w:szCs w:val="24"/>
                <w:vertAlign w:val="baseline"/>
                <w:lang w:val="en-US" w:eastAsia="zh-CN"/>
              </w:rPr>
            </w:pPr>
            <w:r>
              <w:rPr>
                <w:rFonts w:hint="eastAsia" w:ascii="宋体" w:hAnsi="宋体"/>
                <w:bCs/>
                <w:sz w:val="24"/>
                <w:szCs w:val="24"/>
                <w:vertAlign w:val="baseline"/>
                <w:lang w:val="en-US" w:eastAsia="zh-CN"/>
              </w:rPr>
              <w:t>9</w:t>
            </w:r>
          </w:p>
        </w:tc>
        <w:tc>
          <w:tcPr>
            <w:tcW w:w="2841" w:type="dxa"/>
            <w:noWrap w:val="0"/>
            <w:vAlign w:val="top"/>
          </w:tcPr>
          <w:p>
            <w:pPr>
              <w:spacing w:line="360" w:lineRule="auto"/>
              <w:jc w:val="center"/>
              <w:rPr>
                <w:rFonts w:hint="default" w:ascii="宋体" w:hAnsi="宋体"/>
                <w:bCs/>
                <w:sz w:val="24"/>
                <w:szCs w:val="24"/>
                <w:vertAlign w:val="baseline"/>
                <w:lang w:val="en-US" w:eastAsia="zh-CN"/>
              </w:rPr>
            </w:pPr>
            <w:r>
              <w:rPr>
                <w:rFonts w:hint="eastAsia" w:ascii="宋体" w:hAnsi="宋体"/>
                <w:bCs/>
                <w:sz w:val="24"/>
                <w:szCs w:val="24"/>
                <w:vertAlign w:val="baseline"/>
                <w:lang w:val="en-US" w:eastAsia="zh-CN"/>
              </w:rPr>
              <w:t>3.52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noWrap w:val="0"/>
            <w:vAlign w:val="top"/>
          </w:tcPr>
          <w:p>
            <w:pPr>
              <w:spacing w:line="360" w:lineRule="auto"/>
              <w:jc w:val="center"/>
              <w:rPr>
                <w:rFonts w:hint="default" w:ascii="宋体" w:hAnsi="宋体"/>
                <w:bCs/>
                <w:sz w:val="24"/>
                <w:szCs w:val="24"/>
                <w:vertAlign w:val="baseline"/>
                <w:lang w:val="en-US" w:eastAsia="zh-CN"/>
              </w:rPr>
            </w:pPr>
            <w:r>
              <w:rPr>
                <w:rFonts w:hint="eastAsia" w:ascii="宋体" w:hAnsi="宋体"/>
                <w:bCs/>
                <w:sz w:val="24"/>
                <w:szCs w:val="24"/>
                <w:vertAlign w:val="baseline"/>
                <w:lang w:val="en-US" w:eastAsia="zh-CN"/>
              </w:rPr>
              <w:t>浙江</w:t>
            </w:r>
          </w:p>
        </w:tc>
        <w:tc>
          <w:tcPr>
            <w:tcW w:w="2841" w:type="dxa"/>
            <w:noWrap w:val="0"/>
            <w:vAlign w:val="top"/>
          </w:tcPr>
          <w:p>
            <w:pPr>
              <w:spacing w:line="360" w:lineRule="auto"/>
              <w:jc w:val="center"/>
              <w:rPr>
                <w:rFonts w:hint="default" w:ascii="宋体" w:hAnsi="宋体"/>
                <w:bCs/>
                <w:sz w:val="24"/>
                <w:szCs w:val="24"/>
                <w:vertAlign w:val="baseline"/>
                <w:lang w:val="en-US" w:eastAsia="zh-CN"/>
              </w:rPr>
            </w:pPr>
            <w:r>
              <w:rPr>
                <w:rFonts w:hint="eastAsia" w:ascii="宋体" w:hAnsi="宋体"/>
                <w:bCs/>
                <w:sz w:val="24"/>
                <w:szCs w:val="24"/>
                <w:vertAlign w:val="baseline"/>
                <w:lang w:val="en-US" w:eastAsia="zh-CN"/>
              </w:rPr>
              <w:t>22</w:t>
            </w:r>
          </w:p>
        </w:tc>
        <w:tc>
          <w:tcPr>
            <w:tcW w:w="2841" w:type="dxa"/>
            <w:noWrap w:val="0"/>
            <w:vAlign w:val="top"/>
          </w:tcPr>
          <w:p>
            <w:pPr>
              <w:spacing w:line="360" w:lineRule="auto"/>
              <w:jc w:val="center"/>
              <w:rPr>
                <w:rFonts w:hint="default" w:ascii="宋体" w:hAnsi="宋体"/>
                <w:bCs/>
                <w:sz w:val="24"/>
                <w:szCs w:val="24"/>
                <w:vertAlign w:val="baseline"/>
                <w:lang w:val="en-US" w:eastAsia="zh-CN"/>
              </w:rPr>
            </w:pPr>
            <w:r>
              <w:rPr>
                <w:rFonts w:hint="eastAsia" w:ascii="宋体" w:hAnsi="宋体"/>
                <w:bCs/>
                <w:sz w:val="24"/>
                <w:szCs w:val="24"/>
                <w:vertAlign w:val="baseline"/>
                <w:lang w:val="en-US" w:eastAsia="zh-CN"/>
              </w:rPr>
              <w:t>8.59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noWrap w:val="0"/>
            <w:vAlign w:val="top"/>
          </w:tcPr>
          <w:p>
            <w:pPr>
              <w:spacing w:line="360" w:lineRule="auto"/>
              <w:jc w:val="center"/>
              <w:rPr>
                <w:rFonts w:hint="default" w:ascii="宋体" w:hAnsi="宋体"/>
                <w:bCs/>
                <w:sz w:val="24"/>
                <w:szCs w:val="24"/>
                <w:vertAlign w:val="baseline"/>
                <w:lang w:val="en-US" w:eastAsia="zh-CN"/>
              </w:rPr>
            </w:pPr>
            <w:r>
              <w:rPr>
                <w:rFonts w:hint="eastAsia" w:ascii="宋体" w:hAnsi="宋体"/>
                <w:bCs/>
                <w:sz w:val="24"/>
                <w:szCs w:val="24"/>
                <w:vertAlign w:val="baseline"/>
                <w:lang w:val="en-US" w:eastAsia="zh-CN"/>
              </w:rPr>
              <w:t>山东</w:t>
            </w:r>
          </w:p>
        </w:tc>
        <w:tc>
          <w:tcPr>
            <w:tcW w:w="2841" w:type="dxa"/>
            <w:noWrap w:val="0"/>
            <w:vAlign w:val="top"/>
          </w:tcPr>
          <w:p>
            <w:pPr>
              <w:spacing w:line="360" w:lineRule="auto"/>
              <w:jc w:val="center"/>
              <w:rPr>
                <w:rFonts w:hint="default" w:ascii="宋体" w:hAnsi="宋体"/>
                <w:bCs/>
                <w:sz w:val="24"/>
                <w:szCs w:val="24"/>
                <w:vertAlign w:val="baseline"/>
                <w:lang w:val="en-US" w:eastAsia="zh-CN"/>
              </w:rPr>
            </w:pPr>
            <w:r>
              <w:rPr>
                <w:rFonts w:hint="eastAsia" w:ascii="宋体" w:hAnsi="宋体"/>
                <w:bCs/>
                <w:sz w:val="24"/>
                <w:szCs w:val="24"/>
                <w:vertAlign w:val="baseline"/>
                <w:lang w:val="en-US" w:eastAsia="zh-CN"/>
              </w:rPr>
              <w:t>16</w:t>
            </w:r>
          </w:p>
        </w:tc>
        <w:tc>
          <w:tcPr>
            <w:tcW w:w="2841" w:type="dxa"/>
            <w:noWrap w:val="0"/>
            <w:vAlign w:val="top"/>
          </w:tcPr>
          <w:p>
            <w:pPr>
              <w:spacing w:line="360" w:lineRule="auto"/>
              <w:jc w:val="center"/>
              <w:rPr>
                <w:rFonts w:hint="default" w:ascii="宋体" w:hAnsi="宋体"/>
                <w:bCs/>
                <w:sz w:val="24"/>
                <w:szCs w:val="24"/>
                <w:vertAlign w:val="baseline"/>
                <w:lang w:val="en-US" w:eastAsia="zh-CN"/>
              </w:rPr>
            </w:pPr>
            <w:r>
              <w:rPr>
                <w:rFonts w:hint="eastAsia" w:ascii="宋体" w:hAnsi="宋体"/>
                <w:bCs/>
                <w:sz w:val="24"/>
                <w:szCs w:val="24"/>
                <w:vertAlign w:val="baseline"/>
                <w:lang w:val="en-US" w:eastAsia="zh-CN"/>
              </w:rPr>
              <w:t>6.25</w:t>
            </w:r>
          </w:p>
        </w:tc>
      </w:tr>
    </w:tbl>
    <w:p>
      <w:pPr>
        <w:widowControl/>
        <w:numPr>
          <w:ilvl w:val="0"/>
          <w:numId w:val="0"/>
        </w:numPr>
        <w:spacing w:line="360" w:lineRule="auto"/>
        <w:rPr>
          <w:rFonts w:hint="default" w:ascii="宋体" w:hAnsi="宋体" w:eastAsia="宋体" w:cs="宋体"/>
          <w:b/>
          <w:kern w:val="0"/>
          <w:sz w:val="24"/>
          <w:szCs w:val="24"/>
          <w:lang w:val="en-US" w:eastAsia="zh-CN"/>
        </w:rPr>
      </w:pPr>
      <w:r>
        <w:rPr>
          <w:rFonts w:hint="eastAsia" w:ascii="宋体" w:hAnsi="宋体" w:eastAsia="宋体" w:cs="宋体"/>
          <w:b/>
          <w:kern w:val="0"/>
          <w:sz w:val="24"/>
          <w:szCs w:val="24"/>
          <w:lang w:val="en-US" w:eastAsia="zh-CN"/>
        </w:rPr>
        <w:t>1.3设计学院总体就业率</w:t>
      </w:r>
    </w:p>
    <w:p>
      <w:pPr>
        <w:keepNext w:val="0"/>
        <w:keepLines w:val="0"/>
        <w:pageBreakBefore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bCs/>
          <w:color w:val="000000"/>
          <w:sz w:val="24"/>
          <w:szCs w:val="24"/>
          <w:lang w:val="en-US" w:eastAsia="zh-CN"/>
        </w:rPr>
      </w:pPr>
      <w:r>
        <w:rPr>
          <w:rFonts w:hint="eastAsia" w:ascii="宋体" w:hAnsi="宋体" w:cs="宋体"/>
          <w:color w:val="000000"/>
          <w:kern w:val="0"/>
          <w:sz w:val="24"/>
          <w:szCs w:val="24"/>
        </w:rPr>
        <w:t>截至</w:t>
      </w:r>
      <w:r>
        <w:rPr>
          <w:rFonts w:hint="eastAsia" w:ascii="宋体" w:hAnsi="宋体" w:cs="宋体"/>
          <w:color w:val="000000"/>
          <w:kern w:val="0"/>
          <w:sz w:val="24"/>
          <w:szCs w:val="24"/>
          <w:lang w:eastAsia="zh-CN"/>
        </w:rPr>
        <w:t>2022</w:t>
      </w:r>
      <w:r>
        <w:rPr>
          <w:rFonts w:hint="eastAsia" w:ascii="宋体" w:hAnsi="宋体" w:cs="宋体"/>
          <w:color w:val="000000"/>
          <w:kern w:val="0"/>
          <w:sz w:val="24"/>
          <w:szCs w:val="24"/>
        </w:rPr>
        <w:t>年8月</w:t>
      </w:r>
      <w:r>
        <w:rPr>
          <w:rFonts w:hint="eastAsia" w:ascii="宋体" w:hAnsi="宋体"/>
          <w:bCs/>
          <w:sz w:val="24"/>
          <w:szCs w:val="24"/>
        </w:rPr>
        <w:t>，我</w:t>
      </w:r>
      <w:r>
        <w:rPr>
          <w:rFonts w:hint="eastAsia" w:ascii="宋体" w:hAnsi="宋体"/>
          <w:bCs/>
          <w:sz w:val="24"/>
          <w:szCs w:val="24"/>
          <w:lang w:val="en-US" w:eastAsia="zh-CN"/>
        </w:rPr>
        <w:t>院</w:t>
      </w:r>
      <w:r>
        <w:rPr>
          <w:rFonts w:hint="eastAsia" w:ascii="宋体" w:hAnsi="宋体"/>
          <w:bCs/>
          <w:sz w:val="24"/>
          <w:szCs w:val="24"/>
          <w:lang w:eastAsia="zh-CN"/>
        </w:rPr>
        <w:t>2022</w:t>
      </w:r>
      <w:r>
        <w:rPr>
          <w:rFonts w:hint="eastAsia" w:ascii="宋体" w:hAnsi="宋体"/>
          <w:bCs/>
          <w:sz w:val="24"/>
          <w:szCs w:val="24"/>
        </w:rPr>
        <w:t>届毕业生</w:t>
      </w:r>
      <w:r>
        <w:rPr>
          <w:rFonts w:hint="eastAsia" w:ascii="宋体" w:hAnsi="宋体" w:cs="宋体"/>
          <w:color w:val="000000"/>
          <w:kern w:val="0"/>
          <w:sz w:val="24"/>
          <w:szCs w:val="24"/>
        </w:rPr>
        <w:t>已就业人数为</w:t>
      </w:r>
      <w:r>
        <w:rPr>
          <w:rFonts w:hint="eastAsia" w:ascii="宋体" w:hAnsi="宋体" w:cs="宋体"/>
          <w:bCs/>
          <w:color w:val="000000"/>
          <w:kern w:val="0"/>
          <w:sz w:val="24"/>
          <w:szCs w:val="24"/>
        </w:rPr>
        <w:t>2</w:t>
      </w:r>
      <w:r>
        <w:rPr>
          <w:rFonts w:hint="eastAsia" w:ascii="宋体" w:hAnsi="宋体" w:cs="宋体"/>
          <w:bCs/>
          <w:color w:val="000000"/>
          <w:kern w:val="0"/>
          <w:sz w:val="24"/>
          <w:szCs w:val="24"/>
          <w:lang w:val="en-US" w:eastAsia="zh-CN"/>
        </w:rPr>
        <w:t>34</w:t>
      </w:r>
      <w:r>
        <w:rPr>
          <w:rFonts w:hint="eastAsia" w:ascii="宋体" w:hAnsi="宋体" w:cs="宋体"/>
          <w:color w:val="000000"/>
          <w:kern w:val="0"/>
          <w:sz w:val="24"/>
          <w:szCs w:val="24"/>
        </w:rPr>
        <w:t>人，</w:t>
      </w:r>
      <w:r>
        <w:rPr>
          <w:rFonts w:hint="eastAsia" w:ascii="宋体" w:hAnsi="宋体"/>
          <w:color w:val="000000"/>
          <w:sz w:val="24"/>
          <w:szCs w:val="24"/>
        </w:rPr>
        <w:t>初次就业率</w:t>
      </w:r>
      <w:r>
        <w:rPr>
          <w:rFonts w:hint="eastAsia" w:ascii="宋体" w:hAnsi="宋体"/>
          <w:color w:val="000000"/>
          <w:sz w:val="24"/>
          <w:szCs w:val="24"/>
          <w:lang w:val="en-US" w:eastAsia="zh-CN"/>
        </w:rPr>
        <w:t>91.41</w:t>
      </w:r>
      <w:r>
        <w:rPr>
          <w:rFonts w:hint="eastAsia" w:ascii="宋体" w:hAnsi="宋体"/>
          <w:color w:val="000000"/>
          <w:sz w:val="24"/>
          <w:szCs w:val="24"/>
        </w:rPr>
        <w:t>%</w:t>
      </w:r>
      <w:r>
        <w:rPr>
          <w:rFonts w:hint="eastAsia" w:ascii="宋体" w:hAnsi="宋体"/>
          <w:color w:val="000000"/>
          <w:sz w:val="24"/>
          <w:szCs w:val="24"/>
          <w:lang w:eastAsia="zh-CN"/>
        </w:rPr>
        <w:t>。</w:t>
      </w:r>
      <w:r>
        <w:rPr>
          <w:rFonts w:hint="eastAsia" w:ascii="宋体" w:hAnsi="宋体"/>
          <w:color w:val="000000"/>
          <w:sz w:val="24"/>
          <w:szCs w:val="24"/>
        </w:rPr>
        <w:t>其中</w:t>
      </w:r>
      <w:r>
        <w:rPr>
          <w:rFonts w:hint="eastAsia" w:ascii="宋体" w:hAnsi="宋体"/>
          <w:bCs/>
          <w:color w:val="000000"/>
          <w:sz w:val="24"/>
          <w:szCs w:val="24"/>
        </w:rPr>
        <w:t>工业设计</w:t>
      </w:r>
      <w:r>
        <w:rPr>
          <w:rFonts w:hint="eastAsia" w:ascii="宋体" w:hAnsi="宋体"/>
          <w:color w:val="000000"/>
          <w:sz w:val="24"/>
          <w:szCs w:val="24"/>
        </w:rPr>
        <w:t>专业就业率为</w:t>
      </w:r>
      <w:r>
        <w:rPr>
          <w:rFonts w:hint="eastAsia" w:ascii="宋体" w:hAnsi="宋体"/>
          <w:color w:val="000000"/>
          <w:sz w:val="24"/>
          <w:szCs w:val="24"/>
          <w:lang w:val="en-US" w:eastAsia="zh-CN"/>
        </w:rPr>
        <w:t>84.38</w:t>
      </w:r>
      <w:r>
        <w:rPr>
          <w:rFonts w:hint="eastAsia" w:ascii="宋体" w:hAnsi="宋体"/>
          <w:bCs/>
          <w:color w:val="000000"/>
          <w:sz w:val="24"/>
          <w:szCs w:val="24"/>
        </w:rPr>
        <w:t>%，</w:t>
      </w:r>
      <w:r>
        <w:rPr>
          <w:rFonts w:hint="eastAsia" w:ascii="宋体" w:hAnsi="宋体"/>
          <w:color w:val="000000"/>
          <w:sz w:val="24"/>
          <w:szCs w:val="24"/>
        </w:rPr>
        <w:t>视觉传达设计专业就业率为</w:t>
      </w:r>
      <w:r>
        <w:rPr>
          <w:rFonts w:hint="eastAsia" w:ascii="宋体" w:hAnsi="宋体"/>
          <w:color w:val="000000"/>
          <w:sz w:val="24"/>
          <w:szCs w:val="24"/>
          <w:lang w:val="en-US" w:eastAsia="zh-CN"/>
        </w:rPr>
        <w:t>90.74</w:t>
      </w:r>
      <w:r>
        <w:rPr>
          <w:rFonts w:hint="eastAsia" w:ascii="宋体" w:hAnsi="宋体"/>
          <w:bCs/>
          <w:sz w:val="24"/>
          <w:szCs w:val="24"/>
        </w:rPr>
        <w:t>%，</w:t>
      </w:r>
      <w:r>
        <w:rPr>
          <w:rFonts w:hint="eastAsia" w:ascii="宋体" w:hAnsi="宋体"/>
          <w:color w:val="000000"/>
          <w:sz w:val="24"/>
          <w:szCs w:val="24"/>
        </w:rPr>
        <w:t>环境设计专业就业率为</w:t>
      </w:r>
      <w:r>
        <w:rPr>
          <w:rFonts w:hint="eastAsia" w:ascii="宋体" w:hAnsi="宋体"/>
          <w:bCs/>
          <w:color w:val="000000"/>
          <w:sz w:val="24"/>
          <w:szCs w:val="24"/>
          <w:lang w:val="en-US" w:eastAsia="zh-CN"/>
        </w:rPr>
        <w:t>96.49</w:t>
      </w:r>
      <w:r>
        <w:rPr>
          <w:rFonts w:hint="eastAsia" w:ascii="宋体" w:hAnsi="宋体"/>
          <w:bCs/>
          <w:color w:val="000000"/>
          <w:sz w:val="24"/>
          <w:szCs w:val="24"/>
        </w:rPr>
        <w:t>%，产品设计</w:t>
      </w:r>
      <w:r>
        <w:rPr>
          <w:rFonts w:hint="eastAsia" w:ascii="宋体" w:hAnsi="宋体"/>
          <w:color w:val="000000"/>
          <w:sz w:val="24"/>
          <w:szCs w:val="24"/>
        </w:rPr>
        <w:t>专业就业率为</w:t>
      </w:r>
      <w:r>
        <w:rPr>
          <w:rFonts w:hint="eastAsia" w:ascii="宋体" w:hAnsi="宋体"/>
          <w:bCs/>
          <w:color w:val="000000"/>
          <w:sz w:val="24"/>
          <w:szCs w:val="24"/>
          <w:lang w:val="en-US" w:eastAsia="zh-CN"/>
        </w:rPr>
        <w:t>91.07</w:t>
      </w:r>
      <w:r>
        <w:rPr>
          <w:rFonts w:hint="eastAsia" w:ascii="宋体" w:hAnsi="宋体"/>
          <w:bCs/>
          <w:color w:val="000000"/>
          <w:sz w:val="24"/>
          <w:szCs w:val="24"/>
        </w:rPr>
        <w:t>%，动画</w:t>
      </w:r>
      <w:r>
        <w:rPr>
          <w:rFonts w:hint="eastAsia" w:ascii="宋体" w:hAnsi="宋体"/>
          <w:color w:val="000000"/>
          <w:sz w:val="24"/>
          <w:szCs w:val="24"/>
        </w:rPr>
        <w:t>专业就业率为</w:t>
      </w:r>
      <w:r>
        <w:rPr>
          <w:rFonts w:hint="eastAsia" w:ascii="宋体" w:hAnsi="宋体"/>
          <w:bCs/>
          <w:color w:val="000000"/>
          <w:sz w:val="24"/>
          <w:szCs w:val="24"/>
          <w:lang w:val="en-US" w:eastAsia="zh-CN"/>
        </w:rPr>
        <w:t>96.55</w:t>
      </w:r>
      <w:r>
        <w:rPr>
          <w:rFonts w:hint="eastAsia" w:ascii="宋体" w:hAnsi="宋体"/>
          <w:bCs/>
          <w:color w:val="000000"/>
          <w:sz w:val="24"/>
          <w:szCs w:val="24"/>
        </w:rPr>
        <w:t>%，艺术与科技</w:t>
      </w:r>
      <w:r>
        <w:rPr>
          <w:rFonts w:hint="eastAsia" w:ascii="宋体" w:hAnsi="宋体"/>
          <w:color w:val="000000"/>
          <w:sz w:val="24"/>
          <w:szCs w:val="24"/>
        </w:rPr>
        <w:t>专业就业率为</w:t>
      </w:r>
      <w:r>
        <w:rPr>
          <w:rFonts w:hint="eastAsia" w:ascii="宋体" w:hAnsi="宋体"/>
          <w:bCs/>
          <w:color w:val="000000"/>
          <w:sz w:val="24"/>
          <w:szCs w:val="24"/>
          <w:lang w:val="en-US" w:eastAsia="zh-CN"/>
        </w:rPr>
        <w:t>96.43</w:t>
      </w:r>
      <w:r>
        <w:rPr>
          <w:rFonts w:hint="eastAsia" w:ascii="宋体" w:hAnsi="宋体"/>
          <w:bCs/>
          <w:color w:val="000000"/>
          <w:sz w:val="24"/>
          <w:szCs w:val="24"/>
        </w:rPr>
        <w:t>%。</w:t>
      </w:r>
      <w:r>
        <w:rPr>
          <w:rFonts w:hint="eastAsia" w:ascii="宋体" w:hAnsi="宋体"/>
          <w:bCs/>
          <w:color w:val="000000"/>
          <w:sz w:val="24"/>
          <w:szCs w:val="24"/>
          <w:lang w:val="en-US" w:eastAsia="zh-CN"/>
        </w:rPr>
        <w:t>较2020届、2021届毕业生，总体就业率有一定增高，设计行业人才需求量有一定幅度增长。具体对比数据见表1-2。</w:t>
      </w:r>
    </w:p>
    <w:p>
      <w:pPr>
        <w:spacing w:line="360" w:lineRule="auto"/>
        <w:ind w:firstLine="420" w:firstLineChars="200"/>
        <w:jc w:val="center"/>
        <w:rPr>
          <w:rFonts w:hint="eastAsia" w:ascii="华文仿宋" w:hAnsi="华文仿宋" w:eastAsia="华文仿宋" w:cs="华文仿宋"/>
          <w:bCs/>
          <w:color w:val="000000"/>
          <w:sz w:val="21"/>
          <w:szCs w:val="21"/>
          <w:lang w:val="en-US" w:eastAsia="zh-CN"/>
        </w:rPr>
      </w:pPr>
      <w:r>
        <w:rPr>
          <w:rFonts w:hint="eastAsia" w:ascii="华文仿宋" w:hAnsi="华文仿宋" w:eastAsia="华文仿宋" w:cs="华文仿宋"/>
          <w:bCs/>
          <w:color w:val="000000"/>
          <w:sz w:val="21"/>
          <w:szCs w:val="21"/>
          <w:lang w:val="en-US" w:eastAsia="zh-CN"/>
        </w:rPr>
        <w:t>表1-2 近3年毕业生就业率对比</w:t>
      </w:r>
    </w:p>
    <w:tbl>
      <w:tblPr>
        <w:tblStyle w:val="1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29"/>
        <w:gridCol w:w="2130"/>
        <w:gridCol w:w="2130"/>
        <w:gridCol w:w="21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9" w:type="dxa"/>
            <w:noWrap w:val="0"/>
            <w:vAlign w:val="top"/>
          </w:tcPr>
          <w:p>
            <w:pPr>
              <w:spacing w:line="360" w:lineRule="auto"/>
              <w:jc w:val="center"/>
              <w:rPr>
                <w:rFonts w:hint="default" w:ascii="宋体" w:hAnsi="宋体"/>
                <w:bCs/>
                <w:sz w:val="24"/>
                <w:szCs w:val="24"/>
                <w:vertAlign w:val="baseline"/>
                <w:lang w:val="en-US" w:eastAsia="zh-CN"/>
              </w:rPr>
            </w:pPr>
          </w:p>
        </w:tc>
        <w:tc>
          <w:tcPr>
            <w:tcW w:w="2130" w:type="dxa"/>
            <w:noWrap w:val="0"/>
            <w:vAlign w:val="top"/>
          </w:tcPr>
          <w:p>
            <w:pPr>
              <w:spacing w:line="360" w:lineRule="auto"/>
              <w:jc w:val="center"/>
              <w:rPr>
                <w:rFonts w:hint="default" w:ascii="宋体" w:hAnsi="宋体"/>
                <w:bCs/>
                <w:sz w:val="24"/>
                <w:szCs w:val="24"/>
                <w:vertAlign w:val="baseline"/>
                <w:lang w:val="en-US" w:eastAsia="zh-CN"/>
              </w:rPr>
            </w:pPr>
            <w:r>
              <w:rPr>
                <w:rFonts w:hint="eastAsia" w:ascii="宋体" w:hAnsi="宋体"/>
                <w:bCs/>
                <w:sz w:val="24"/>
                <w:szCs w:val="24"/>
                <w:vertAlign w:val="baseline"/>
                <w:lang w:val="en-US" w:eastAsia="zh-CN"/>
              </w:rPr>
              <w:t>2020届初次就业率（%）</w:t>
            </w:r>
          </w:p>
        </w:tc>
        <w:tc>
          <w:tcPr>
            <w:tcW w:w="2130" w:type="dxa"/>
            <w:noWrap w:val="0"/>
            <w:vAlign w:val="top"/>
          </w:tcPr>
          <w:p>
            <w:pPr>
              <w:spacing w:line="360" w:lineRule="auto"/>
              <w:jc w:val="center"/>
              <w:rPr>
                <w:rFonts w:hint="default" w:ascii="宋体" w:hAnsi="宋体"/>
                <w:bCs/>
                <w:sz w:val="24"/>
                <w:szCs w:val="24"/>
                <w:vertAlign w:val="baseline"/>
                <w:lang w:val="en-US" w:eastAsia="zh-CN"/>
              </w:rPr>
            </w:pPr>
            <w:r>
              <w:rPr>
                <w:rFonts w:hint="eastAsia" w:ascii="宋体" w:hAnsi="宋体"/>
                <w:bCs/>
                <w:sz w:val="24"/>
                <w:szCs w:val="24"/>
                <w:vertAlign w:val="baseline"/>
                <w:lang w:val="en-US" w:eastAsia="zh-CN"/>
              </w:rPr>
              <w:t>2021届初次就业率（%）</w:t>
            </w:r>
          </w:p>
        </w:tc>
        <w:tc>
          <w:tcPr>
            <w:tcW w:w="2130" w:type="dxa"/>
            <w:noWrap w:val="0"/>
            <w:vAlign w:val="top"/>
          </w:tcPr>
          <w:p>
            <w:pPr>
              <w:spacing w:line="360" w:lineRule="auto"/>
              <w:jc w:val="center"/>
              <w:rPr>
                <w:rFonts w:hint="eastAsia" w:ascii="宋体" w:hAnsi="宋体"/>
                <w:bCs/>
                <w:sz w:val="24"/>
                <w:szCs w:val="24"/>
                <w:vertAlign w:val="baseline"/>
                <w:lang w:val="en-US" w:eastAsia="zh-CN"/>
              </w:rPr>
            </w:pPr>
            <w:r>
              <w:rPr>
                <w:rFonts w:hint="eastAsia" w:ascii="宋体" w:hAnsi="宋体"/>
                <w:bCs/>
                <w:sz w:val="24"/>
                <w:szCs w:val="24"/>
                <w:vertAlign w:val="baseline"/>
                <w:lang w:val="en-US" w:eastAsia="zh-CN"/>
              </w:rPr>
              <w:t>2022届初次就业率（%）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9" w:type="dxa"/>
            <w:noWrap w:val="0"/>
            <w:vAlign w:val="top"/>
          </w:tcPr>
          <w:p>
            <w:pPr>
              <w:spacing w:line="360" w:lineRule="auto"/>
              <w:jc w:val="center"/>
              <w:rPr>
                <w:rFonts w:hint="default" w:ascii="宋体" w:hAnsi="宋体"/>
                <w:bCs/>
                <w:sz w:val="24"/>
                <w:szCs w:val="24"/>
                <w:vertAlign w:val="baseline"/>
                <w:lang w:val="en-US" w:eastAsia="zh-CN"/>
              </w:rPr>
            </w:pPr>
            <w:r>
              <w:rPr>
                <w:rFonts w:hint="eastAsia" w:ascii="宋体" w:hAnsi="宋体"/>
                <w:bCs/>
                <w:sz w:val="24"/>
                <w:szCs w:val="24"/>
                <w:vertAlign w:val="baseline"/>
                <w:lang w:val="en-US" w:eastAsia="zh-CN"/>
              </w:rPr>
              <w:t>工业设计</w:t>
            </w:r>
          </w:p>
        </w:tc>
        <w:tc>
          <w:tcPr>
            <w:tcW w:w="2130" w:type="dxa"/>
            <w:noWrap w:val="0"/>
            <w:vAlign w:val="top"/>
          </w:tcPr>
          <w:p>
            <w:pPr>
              <w:spacing w:line="360" w:lineRule="auto"/>
              <w:jc w:val="center"/>
              <w:rPr>
                <w:rFonts w:hint="default" w:ascii="宋体" w:hAnsi="宋体"/>
                <w:bCs/>
                <w:sz w:val="24"/>
                <w:szCs w:val="24"/>
                <w:vertAlign w:val="baseline"/>
                <w:lang w:val="en-US" w:eastAsia="zh-CN"/>
              </w:rPr>
            </w:pPr>
            <w:r>
              <w:rPr>
                <w:rFonts w:hint="eastAsia" w:ascii="宋体" w:hAnsi="宋体"/>
                <w:bCs/>
                <w:sz w:val="24"/>
                <w:szCs w:val="24"/>
                <w:vertAlign w:val="baseline"/>
                <w:lang w:val="en-US" w:eastAsia="zh-CN"/>
              </w:rPr>
              <w:t>78.26</w:t>
            </w:r>
          </w:p>
        </w:tc>
        <w:tc>
          <w:tcPr>
            <w:tcW w:w="2130" w:type="dxa"/>
            <w:noWrap w:val="0"/>
            <w:vAlign w:val="top"/>
          </w:tcPr>
          <w:p>
            <w:pPr>
              <w:spacing w:line="360" w:lineRule="auto"/>
              <w:jc w:val="center"/>
              <w:rPr>
                <w:rFonts w:hint="default" w:ascii="宋体" w:hAnsi="宋体"/>
                <w:bCs/>
                <w:sz w:val="24"/>
                <w:szCs w:val="24"/>
                <w:vertAlign w:val="baseline"/>
                <w:lang w:val="en-US" w:eastAsia="zh-CN"/>
              </w:rPr>
            </w:pPr>
            <w:r>
              <w:rPr>
                <w:rFonts w:hint="eastAsia" w:ascii="宋体" w:hAnsi="宋体"/>
                <w:bCs/>
                <w:sz w:val="24"/>
                <w:szCs w:val="24"/>
                <w:vertAlign w:val="baseline"/>
                <w:lang w:val="en-US" w:eastAsia="zh-CN"/>
              </w:rPr>
              <w:t>80.95</w:t>
            </w:r>
          </w:p>
        </w:tc>
        <w:tc>
          <w:tcPr>
            <w:tcW w:w="2130" w:type="dxa"/>
            <w:noWrap w:val="0"/>
            <w:vAlign w:val="top"/>
          </w:tcPr>
          <w:p>
            <w:pPr>
              <w:spacing w:line="360" w:lineRule="auto"/>
              <w:jc w:val="center"/>
              <w:rPr>
                <w:rFonts w:hint="default" w:ascii="宋体" w:hAnsi="宋体"/>
                <w:bCs/>
                <w:sz w:val="24"/>
                <w:szCs w:val="24"/>
                <w:vertAlign w:val="baseline"/>
                <w:lang w:val="en-US" w:eastAsia="zh-CN"/>
              </w:rPr>
            </w:pPr>
            <w:r>
              <w:rPr>
                <w:rFonts w:hint="eastAsia" w:ascii="宋体" w:hAnsi="宋体"/>
                <w:bCs/>
                <w:sz w:val="24"/>
                <w:szCs w:val="24"/>
                <w:vertAlign w:val="baseline"/>
                <w:lang w:val="en-US" w:eastAsia="zh-CN"/>
              </w:rPr>
              <w:t>84.38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9" w:type="dxa"/>
            <w:noWrap w:val="0"/>
            <w:vAlign w:val="top"/>
          </w:tcPr>
          <w:p>
            <w:pPr>
              <w:spacing w:line="360" w:lineRule="auto"/>
              <w:jc w:val="center"/>
              <w:rPr>
                <w:rFonts w:hint="default" w:ascii="宋体" w:hAnsi="宋体"/>
                <w:bCs/>
                <w:sz w:val="24"/>
                <w:szCs w:val="24"/>
                <w:vertAlign w:val="baseline"/>
                <w:lang w:val="en-US" w:eastAsia="zh-CN"/>
              </w:rPr>
            </w:pPr>
            <w:r>
              <w:rPr>
                <w:rFonts w:hint="eastAsia" w:ascii="宋体" w:hAnsi="宋体"/>
                <w:bCs/>
                <w:sz w:val="24"/>
                <w:szCs w:val="24"/>
                <w:vertAlign w:val="baseline"/>
                <w:lang w:val="en-US" w:eastAsia="zh-CN"/>
              </w:rPr>
              <w:t>产品设计</w:t>
            </w:r>
          </w:p>
        </w:tc>
        <w:tc>
          <w:tcPr>
            <w:tcW w:w="2130" w:type="dxa"/>
            <w:noWrap w:val="0"/>
            <w:vAlign w:val="top"/>
          </w:tcPr>
          <w:p>
            <w:pPr>
              <w:spacing w:line="360" w:lineRule="auto"/>
              <w:jc w:val="center"/>
              <w:rPr>
                <w:rFonts w:hint="default" w:ascii="宋体" w:hAnsi="宋体"/>
                <w:bCs/>
                <w:sz w:val="24"/>
                <w:szCs w:val="24"/>
                <w:vertAlign w:val="baseline"/>
                <w:lang w:val="en-US" w:eastAsia="zh-CN"/>
              </w:rPr>
            </w:pPr>
            <w:r>
              <w:rPr>
                <w:rFonts w:hint="eastAsia" w:ascii="宋体" w:hAnsi="宋体"/>
                <w:bCs/>
                <w:sz w:val="24"/>
                <w:szCs w:val="24"/>
                <w:vertAlign w:val="baseline"/>
                <w:lang w:val="en-US" w:eastAsia="zh-CN"/>
              </w:rPr>
              <w:t>66.10</w:t>
            </w:r>
          </w:p>
        </w:tc>
        <w:tc>
          <w:tcPr>
            <w:tcW w:w="2130" w:type="dxa"/>
            <w:noWrap w:val="0"/>
            <w:vAlign w:val="top"/>
          </w:tcPr>
          <w:p>
            <w:pPr>
              <w:spacing w:line="360" w:lineRule="auto"/>
              <w:jc w:val="center"/>
              <w:rPr>
                <w:rFonts w:hint="default" w:ascii="宋体" w:hAnsi="宋体"/>
                <w:bCs/>
                <w:sz w:val="24"/>
                <w:szCs w:val="24"/>
                <w:vertAlign w:val="baseline"/>
                <w:lang w:val="en-US" w:eastAsia="zh-CN"/>
              </w:rPr>
            </w:pPr>
            <w:r>
              <w:rPr>
                <w:rFonts w:hint="eastAsia" w:ascii="宋体" w:hAnsi="宋体"/>
                <w:bCs/>
                <w:sz w:val="24"/>
                <w:szCs w:val="24"/>
                <w:vertAlign w:val="baseline"/>
                <w:lang w:val="en-US" w:eastAsia="zh-CN"/>
              </w:rPr>
              <w:t>94.82</w:t>
            </w:r>
          </w:p>
        </w:tc>
        <w:tc>
          <w:tcPr>
            <w:tcW w:w="2130" w:type="dxa"/>
            <w:noWrap w:val="0"/>
            <w:vAlign w:val="top"/>
          </w:tcPr>
          <w:p>
            <w:pPr>
              <w:spacing w:line="360" w:lineRule="auto"/>
              <w:jc w:val="center"/>
              <w:rPr>
                <w:rFonts w:hint="default" w:ascii="宋体" w:hAnsi="宋体"/>
                <w:bCs/>
                <w:sz w:val="24"/>
                <w:szCs w:val="24"/>
                <w:vertAlign w:val="baseline"/>
                <w:lang w:val="en-US" w:eastAsia="zh-CN"/>
              </w:rPr>
            </w:pPr>
            <w:r>
              <w:rPr>
                <w:rFonts w:hint="eastAsia" w:ascii="宋体" w:hAnsi="宋体"/>
                <w:bCs/>
                <w:sz w:val="24"/>
                <w:szCs w:val="24"/>
                <w:vertAlign w:val="baseline"/>
                <w:lang w:val="en-US" w:eastAsia="zh-CN"/>
              </w:rPr>
              <w:t>91.07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9" w:type="dxa"/>
            <w:noWrap w:val="0"/>
            <w:vAlign w:val="top"/>
          </w:tcPr>
          <w:p>
            <w:pPr>
              <w:spacing w:line="360" w:lineRule="auto"/>
              <w:jc w:val="center"/>
              <w:rPr>
                <w:rFonts w:hint="default" w:ascii="宋体" w:hAnsi="宋体"/>
                <w:bCs/>
                <w:sz w:val="24"/>
                <w:szCs w:val="24"/>
                <w:vertAlign w:val="baseline"/>
                <w:lang w:val="en-US" w:eastAsia="zh-CN"/>
              </w:rPr>
            </w:pPr>
            <w:r>
              <w:rPr>
                <w:rFonts w:hint="eastAsia" w:ascii="宋体" w:hAnsi="宋体"/>
                <w:bCs/>
                <w:sz w:val="24"/>
                <w:szCs w:val="24"/>
                <w:vertAlign w:val="baseline"/>
                <w:lang w:val="en-US" w:eastAsia="zh-CN"/>
              </w:rPr>
              <w:t>视觉传达设计</w:t>
            </w:r>
          </w:p>
        </w:tc>
        <w:tc>
          <w:tcPr>
            <w:tcW w:w="2130" w:type="dxa"/>
            <w:noWrap w:val="0"/>
            <w:vAlign w:val="top"/>
          </w:tcPr>
          <w:p>
            <w:pPr>
              <w:spacing w:line="360" w:lineRule="auto"/>
              <w:jc w:val="center"/>
              <w:rPr>
                <w:rFonts w:hint="default" w:ascii="宋体" w:hAnsi="宋体"/>
                <w:bCs/>
                <w:sz w:val="24"/>
                <w:szCs w:val="24"/>
                <w:vertAlign w:val="baseline"/>
                <w:lang w:val="en-US" w:eastAsia="zh-CN"/>
              </w:rPr>
            </w:pPr>
            <w:r>
              <w:rPr>
                <w:rFonts w:hint="eastAsia" w:ascii="宋体" w:hAnsi="宋体"/>
                <w:bCs/>
                <w:sz w:val="24"/>
                <w:szCs w:val="24"/>
                <w:vertAlign w:val="baseline"/>
                <w:lang w:val="en-US" w:eastAsia="zh-CN"/>
              </w:rPr>
              <w:t>85.94</w:t>
            </w:r>
          </w:p>
        </w:tc>
        <w:tc>
          <w:tcPr>
            <w:tcW w:w="2130" w:type="dxa"/>
            <w:noWrap w:val="0"/>
            <w:vAlign w:val="top"/>
          </w:tcPr>
          <w:p>
            <w:pPr>
              <w:spacing w:line="360" w:lineRule="auto"/>
              <w:jc w:val="center"/>
              <w:rPr>
                <w:rFonts w:hint="default" w:ascii="宋体" w:hAnsi="宋体"/>
                <w:bCs/>
                <w:sz w:val="24"/>
                <w:szCs w:val="24"/>
                <w:vertAlign w:val="baseline"/>
                <w:lang w:val="en-US" w:eastAsia="zh-CN"/>
              </w:rPr>
            </w:pPr>
            <w:r>
              <w:rPr>
                <w:rFonts w:hint="eastAsia" w:ascii="宋体" w:hAnsi="宋体"/>
                <w:bCs/>
                <w:sz w:val="24"/>
                <w:szCs w:val="24"/>
                <w:vertAlign w:val="baseline"/>
                <w:lang w:val="en-US" w:eastAsia="zh-CN"/>
              </w:rPr>
              <w:t>89.28</w:t>
            </w:r>
          </w:p>
        </w:tc>
        <w:tc>
          <w:tcPr>
            <w:tcW w:w="2130" w:type="dxa"/>
            <w:noWrap w:val="0"/>
            <w:vAlign w:val="top"/>
          </w:tcPr>
          <w:p>
            <w:pPr>
              <w:spacing w:line="360" w:lineRule="auto"/>
              <w:jc w:val="center"/>
              <w:rPr>
                <w:rFonts w:hint="default" w:ascii="宋体" w:hAnsi="宋体"/>
                <w:bCs/>
                <w:sz w:val="24"/>
                <w:szCs w:val="24"/>
                <w:vertAlign w:val="baseline"/>
                <w:lang w:val="en-US" w:eastAsia="zh-CN"/>
              </w:rPr>
            </w:pPr>
            <w:r>
              <w:rPr>
                <w:rFonts w:hint="eastAsia" w:ascii="宋体" w:hAnsi="宋体"/>
                <w:bCs/>
                <w:sz w:val="24"/>
                <w:szCs w:val="24"/>
                <w:vertAlign w:val="baseline"/>
                <w:lang w:val="en-US" w:eastAsia="zh-CN"/>
              </w:rPr>
              <w:t>90.74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9" w:type="dxa"/>
            <w:noWrap w:val="0"/>
            <w:vAlign w:val="top"/>
          </w:tcPr>
          <w:p>
            <w:pPr>
              <w:spacing w:line="360" w:lineRule="auto"/>
              <w:jc w:val="center"/>
              <w:rPr>
                <w:rFonts w:hint="default" w:ascii="宋体" w:hAnsi="宋体"/>
                <w:bCs/>
                <w:sz w:val="24"/>
                <w:szCs w:val="24"/>
                <w:vertAlign w:val="baseline"/>
                <w:lang w:val="en-US" w:eastAsia="zh-CN"/>
              </w:rPr>
            </w:pPr>
            <w:r>
              <w:rPr>
                <w:rFonts w:hint="eastAsia" w:ascii="宋体" w:hAnsi="宋体"/>
                <w:bCs/>
                <w:sz w:val="24"/>
                <w:szCs w:val="24"/>
                <w:vertAlign w:val="baseline"/>
                <w:lang w:val="en-US" w:eastAsia="zh-CN"/>
              </w:rPr>
              <w:t>环境设计</w:t>
            </w:r>
          </w:p>
        </w:tc>
        <w:tc>
          <w:tcPr>
            <w:tcW w:w="2130" w:type="dxa"/>
            <w:noWrap w:val="0"/>
            <w:vAlign w:val="top"/>
          </w:tcPr>
          <w:p>
            <w:pPr>
              <w:spacing w:line="360" w:lineRule="auto"/>
              <w:jc w:val="center"/>
              <w:rPr>
                <w:rFonts w:hint="default" w:ascii="宋体" w:hAnsi="宋体"/>
                <w:bCs/>
                <w:sz w:val="24"/>
                <w:szCs w:val="24"/>
                <w:vertAlign w:val="baseline"/>
                <w:lang w:val="en-US" w:eastAsia="zh-CN"/>
              </w:rPr>
            </w:pPr>
            <w:r>
              <w:rPr>
                <w:rFonts w:hint="eastAsia" w:ascii="宋体" w:hAnsi="宋体"/>
                <w:bCs/>
                <w:sz w:val="24"/>
                <w:szCs w:val="24"/>
                <w:vertAlign w:val="baseline"/>
                <w:lang w:val="en-US" w:eastAsia="zh-CN"/>
              </w:rPr>
              <w:t>87.50</w:t>
            </w:r>
          </w:p>
        </w:tc>
        <w:tc>
          <w:tcPr>
            <w:tcW w:w="2130" w:type="dxa"/>
            <w:noWrap w:val="0"/>
            <w:vAlign w:val="top"/>
          </w:tcPr>
          <w:p>
            <w:pPr>
              <w:spacing w:line="360" w:lineRule="auto"/>
              <w:jc w:val="center"/>
              <w:rPr>
                <w:rFonts w:hint="default" w:ascii="宋体" w:hAnsi="宋体"/>
                <w:bCs/>
                <w:sz w:val="24"/>
                <w:szCs w:val="24"/>
                <w:vertAlign w:val="baseline"/>
                <w:lang w:val="en-US" w:eastAsia="zh-CN"/>
              </w:rPr>
            </w:pPr>
            <w:r>
              <w:rPr>
                <w:rFonts w:hint="eastAsia" w:ascii="宋体" w:hAnsi="宋体"/>
                <w:bCs/>
                <w:sz w:val="24"/>
                <w:szCs w:val="24"/>
                <w:vertAlign w:val="baseline"/>
                <w:lang w:val="en-US" w:eastAsia="zh-CN"/>
              </w:rPr>
              <w:t>98.24</w:t>
            </w:r>
          </w:p>
        </w:tc>
        <w:tc>
          <w:tcPr>
            <w:tcW w:w="2130" w:type="dxa"/>
            <w:noWrap w:val="0"/>
            <w:vAlign w:val="top"/>
          </w:tcPr>
          <w:p>
            <w:pPr>
              <w:spacing w:line="360" w:lineRule="auto"/>
              <w:jc w:val="center"/>
              <w:rPr>
                <w:rFonts w:hint="default" w:ascii="宋体" w:hAnsi="宋体"/>
                <w:bCs/>
                <w:sz w:val="24"/>
                <w:szCs w:val="24"/>
                <w:vertAlign w:val="baseline"/>
                <w:lang w:val="en-US" w:eastAsia="zh-CN"/>
              </w:rPr>
            </w:pPr>
            <w:r>
              <w:rPr>
                <w:rFonts w:hint="eastAsia" w:ascii="宋体" w:hAnsi="宋体"/>
                <w:bCs/>
                <w:sz w:val="24"/>
                <w:szCs w:val="24"/>
                <w:vertAlign w:val="baseline"/>
                <w:lang w:val="en-US" w:eastAsia="zh-CN"/>
              </w:rPr>
              <w:t>96.49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9" w:type="dxa"/>
            <w:noWrap w:val="0"/>
            <w:vAlign w:val="top"/>
          </w:tcPr>
          <w:p>
            <w:pPr>
              <w:spacing w:line="360" w:lineRule="auto"/>
              <w:jc w:val="center"/>
              <w:rPr>
                <w:rFonts w:hint="default" w:ascii="宋体" w:hAnsi="宋体"/>
                <w:bCs/>
                <w:sz w:val="24"/>
                <w:szCs w:val="24"/>
                <w:vertAlign w:val="baseline"/>
                <w:lang w:val="en-US" w:eastAsia="zh-CN"/>
              </w:rPr>
            </w:pPr>
            <w:r>
              <w:rPr>
                <w:rFonts w:hint="eastAsia" w:ascii="宋体" w:hAnsi="宋体"/>
                <w:bCs/>
                <w:sz w:val="24"/>
                <w:szCs w:val="24"/>
                <w:vertAlign w:val="baseline"/>
                <w:lang w:val="en-US" w:eastAsia="zh-CN"/>
              </w:rPr>
              <w:t>动画</w:t>
            </w:r>
          </w:p>
        </w:tc>
        <w:tc>
          <w:tcPr>
            <w:tcW w:w="2130" w:type="dxa"/>
            <w:noWrap w:val="0"/>
            <w:vAlign w:val="top"/>
          </w:tcPr>
          <w:p>
            <w:pPr>
              <w:spacing w:line="360" w:lineRule="auto"/>
              <w:jc w:val="center"/>
              <w:rPr>
                <w:rFonts w:hint="default" w:ascii="宋体" w:hAnsi="宋体"/>
                <w:bCs/>
                <w:sz w:val="24"/>
                <w:szCs w:val="24"/>
                <w:vertAlign w:val="baseline"/>
                <w:lang w:val="en-US" w:eastAsia="zh-CN"/>
              </w:rPr>
            </w:pPr>
            <w:r>
              <w:rPr>
                <w:rFonts w:hint="eastAsia" w:ascii="宋体" w:hAnsi="宋体"/>
                <w:bCs/>
                <w:sz w:val="24"/>
                <w:szCs w:val="24"/>
                <w:vertAlign w:val="baseline"/>
                <w:lang w:val="en-US" w:eastAsia="zh-CN"/>
              </w:rPr>
              <w:t>78.13</w:t>
            </w:r>
          </w:p>
        </w:tc>
        <w:tc>
          <w:tcPr>
            <w:tcW w:w="2130" w:type="dxa"/>
            <w:noWrap w:val="0"/>
            <w:vAlign w:val="top"/>
          </w:tcPr>
          <w:p>
            <w:pPr>
              <w:spacing w:line="360" w:lineRule="auto"/>
              <w:jc w:val="center"/>
              <w:rPr>
                <w:rFonts w:hint="default" w:ascii="宋体" w:hAnsi="宋体"/>
                <w:bCs/>
                <w:sz w:val="24"/>
                <w:szCs w:val="24"/>
                <w:vertAlign w:val="baseline"/>
                <w:lang w:val="en-US" w:eastAsia="zh-CN"/>
              </w:rPr>
            </w:pPr>
            <w:r>
              <w:rPr>
                <w:rFonts w:hint="eastAsia" w:ascii="宋体" w:hAnsi="宋体"/>
                <w:bCs/>
                <w:sz w:val="24"/>
                <w:szCs w:val="24"/>
                <w:vertAlign w:val="baseline"/>
                <w:lang w:val="en-US" w:eastAsia="zh-CN"/>
              </w:rPr>
              <w:t>100</w:t>
            </w:r>
          </w:p>
        </w:tc>
        <w:tc>
          <w:tcPr>
            <w:tcW w:w="2130" w:type="dxa"/>
            <w:noWrap w:val="0"/>
            <w:vAlign w:val="top"/>
          </w:tcPr>
          <w:p>
            <w:pPr>
              <w:spacing w:line="360" w:lineRule="auto"/>
              <w:jc w:val="center"/>
              <w:rPr>
                <w:rFonts w:hint="default" w:ascii="宋体" w:hAnsi="宋体"/>
                <w:bCs/>
                <w:sz w:val="24"/>
                <w:szCs w:val="24"/>
                <w:vertAlign w:val="baseline"/>
                <w:lang w:val="en-US" w:eastAsia="zh-CN"/>
              </w:rPr>
            </w:pPr>
            <w:r>
              <w:rPr>
                <w:rFonts w:hint="eastAsia" w:ascii="宋体" w:hAnsi="宋体"/>
                <w:bCs/>
                <w:sz w:val="24"/>
                <w:szCs w:val="24"/>
                <w:vertAlign w:val="baseline"/>
                <w:lang w:val="en-US" w:eastAsia="zh-CN"/>
              </w:rPr>
              <w:t>96.55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9" w:type="dxa"/>
            <w:noWrap w:val="0"/>
            <w:vAlign w:val="top"/>
          </w:tcPr>
          <w:p>
            <w:pPr>
              <w:spacing w:line="360" w:lineRule="auto"/>
              <w:jc w:val="center"/>
              <w:rPr>
                <w:rFonts w:hint="default" w:ascii="宋体" w:hAnsi="宋体"/>
                <w:bCs/>
                <w:sz w:val="24"/>
                <w:szCs w:val="24"/>
                <w:vertAlign w:val="baseline"/>
                <w:lang w:val="en-US" w:eastAsia="zh-CN"/>
              </w:rPr>
            </w:pPr>
            <w:r>
              <w:rPr>
                <w:rFonts w:hint="eastAsia" w:ascii="宋体" w:hAnsi="宋体"/>
                <w:bCs/>
                <w:sz w:val="24"/>
                <w:szCs w:val="24"/>
                <w:vertAlign w:val="baseline"/>
                <w:lang w:val="en-US" w:eastAsia="zh-CN"/>
              </w:rPr>
              <w:t>艺术与科技</w:t>
            </w:r>
          </w:p>
        </w:tc>
        <w:tc>
          <w:tcPr>
            <w:tcW w:w="2130" w:type="dxa"/>
            <w:noWrap w:val="0"/>
            <w:vAlign w:val="top"/>
          </w:tcPr>
          <w:p>
            <w:pPr>
              <w:spacing w:line="360" w:lineRule="auto"/>
              <w:jc w:val="center"/>
              <w:rPr>
                <w:rFonts w:hint="default" w:ascii="宋体" w:hAnsi="宋体"/>
                <w:bCs/>
                <w:sz w:val="24"/>
                <w:szCs w:val="24"/>
                <w:vertAlign w:val="baseline"/>
                <w:lang w:val="en-US" w:eastAsia="zh-CN"/>
              </w:rPr>
            </w:pPr>
            <w:r>
              <w:rPr>
                <w:rFonts w:hint="eastAsia" w:ascii="宋体" w:hAnsi="宋体"/>
                <w:bCs/>
                <w:sz w:val="24"/>
                <w:szCs w:val="24"/>
                <w:vertAlign w:val="baseline"/>
                <w:lang w:val="en-US" w:eastAsia="zh-CN"/>
              </w:rPr>
              <w:t>87.50</w:t>
            </w:r>
          </w:p>
        </w:tc>
        <w:tc>
          <w:tcPr>
            <w:tcW w:w="2130" w:type="dxa"/>
            <w:noWrap w:val="0"/>
            <w:vAlign w:val="top"/>
          </w:tcPr>
          <w:p>
            <w:pPr>
              <w:spacing w:line="360" w:lineRule="auto"/>
              <w:jc w:val="center"/>
              <w:rPr>
                <w:rFonts w:hint="default" w:ascii="宋体" w:hAnsi="宋体"/>
                <w:bCs/>
                <w:sz w:val="24"/>
                <w:szCs w:val="24"/>
                <w:vertAlign w:val="baseline"/>
                <w:lang w:val="en-US" w:eastAsia="zh-CN"/>
              </w:rPr>
            </w:pPr>
            <w:r>
              <w:rPr>
                <w:rFonts w:hint="eastAsia" w:ascii="宋体" w:hAnsi="宋体"/>
                <w:bCs/>
                <w:sz w:val="24"/>
                <w:szCs w:val="24"/>
                <w:vertAlign w:val="baseline"/>
                <w:lang w:val="en-US" w:eastAsia="zh-CN"/>
              </w:rPr>
              <w:t>92.59</w:t>
            </w:r>
          </w:p>
        </w:tc>
        <w:tc>
          <w:tcPr>
            <w:tcW w:w="2130" w:type="dxa"/>
            <w:noWrap w:val="0"/>
            <w:vAlign w:val="top"/>
          </w:tcPr>
          <w:p>
            <w:pPr>
              <w:spacing w:line="360" w:lineRule="auto"/>
              <w:jc w:val="center"/>
              <w:rPr>
                <w:rFonts w:hint="default" w:ascii="宋体" w:hAnsi="宋体"/>
                <w:bCs/>
                <w:sz w:val="24"/>
                <w:szCs w:val="24"/>
                <w:vertAlign w:val="baseline"/>
                <w:lang w:val="en-US" w:eastAsia="zh-CN"/>
              </w:rPr>
            </w:pPr>
            <w:r>
              <w:rPr>
                <w:rFonts w:hint="eastAsia" w:ascii="宋体" w:hAnsi="宋体"/>
                <w:bCs/>
                <w:sz w:val="24"/>
                <w:szCs w:val="24"/>
                <w:vertAlign w:val="baseline"/>
                <w:lang w:val="en-US" w:eastAsia="zh-CN"/>
              </w:rPr>
              <w:t>96.43</w:t>
            </w:r>
          </w:p>
        </w:tc>
      </w:tr>
    </w:tbl>
    <w:p>
      <w:pPr>
        <w:widowControl/>
        <w:numPr>
          <w:ilvl w:val="0"/>
          <w:numId w:val="0"/>
        </w:numPr>
        <w:spacing w:line="360" w:lineRule="auto"/>
        <w:rPr>
          <w:rFonts w:hint="default" w:ascii="宋体" w:hAnsi="宋体" w:eastAsia="宋体" w:cs="宋体"/>
          <w:b/>
          <w:kern w:val="0"/>
          <w:sz w:val="24"/>
          <w:szCs w:val="24"/>
          <w:lang w:val="en-US" w:eastAsia="zh-CN"/>
        </w:rPr>
      </w:pPr>
      <w:r>
        <w:rPr>
          <w:rFonts w:hint="eastAsia" w:ascii="宋体" w:hAnsi="宋体" w:eastAsia="宋体" w:cs="宋体"/>
          <w:b/>
          <w:kern w:val="0"/>
          <w:sz w:val="24"/>
          <w:szCs w:val="24"/>
          <w:lang w:val="en-US" w:eastAsia="zh-CN"/>
        </w:rPr>
        <w:t>1.4男女生就业率</w:t>
      </w:r>
    </w:p>
    <w:p>
      <w:pPr>
        <w:spacing w:line="360" w:lineRule="auto"/>
        <w:ind w:firstLine="480" w:firstLineChars="200"/>
        <w:jc w:val="both"/>
        <w:rPr>
          <w:rFonts w:hint="eastAsia" w:ascii="宋体" w:hAnsi="宋体"/>
          <w:bCs/>
          <w:sz w:val="24"/>
          <w:szCs w:val="24"/>
          <w:lang w:val="en-US" w:eastAsia="zh-CN"/>
        </w:rPr>
      </w:pPr>
      <w:r>
        <w:rPr>
          <w:rFonts w:hint="eastAsia" w:ascii="宋体" w:hAnsi="宋体"/>
          <w:bCs/>
          <w:sz w:val="24"/>
          <w:szCs w:val="24"/>
          <w:lang w:val="en-US" w:eastAsia="zh-CN"/>
        </w:rPr>
        <w:t>2022届毕业生男生与女生就业率相差3个百分点，男生就业92人，就业率97.87%，女生就业153人，就业率94.44%。</w:t>
      </w:r>
    </w:p>
    <w:p>
      <w:pPr>
        <w:widowControl/>
        <w:numPr>
          <w:ilvl w:val="0"/>
          <w:numId w:val="0"/>
        </w:numPr>
        <w:spacing w:line="360" w:lineRule="auto"/>
        <w:rPr>
          <w:rFonts w:hint="default" w:ascii="宋体" w:hAnsi="宋体" w:eastAsia="宋体" w:cs="宋体"/>
          <w:b/>
          <w:kern w:val="0"/>
          <w:sz w:val="24"/>
          <w:szCs w:val="24"/>
          <w:lang w:val="en-US" w:eastAsia="zh-CN"/>
        </w:rPr>
      </w:pPr>
      <w:r>
        <w:rPr>
          <w:rFonts w:hint="eastAsia" w:ascii="宋体" w:hAnsi="宋体" w:eastAsia="宋体" w:cs="宋体"/>
          <w:b/>
          <w:kern w:val="0"/>
          <w:sz w:val="24"/>
          <w:szCs w:val="24"/>
          <w:lang w:val="en-US" w:eastAsia="zh-CN"/>
        </w:rPr>
        <w:t>1.5各专业就业具体情况</w:t>
      </w:r>
    </w:p>
    <w:p>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color w:val="000000"/>
          <w:sz w:val="24"/>
          <w:szCs w:val="24"/>
        </w:rPr>
      </w:pPr>
      <w:r>
        <w:rPr>
          <w:rFonts w:hint="eastAsia" w:ascii="宋体" w:hAnsi="宋体"/>
          <w:sz w:val="24"/>
          <w:szCs w:val="24"/>
          <w:lang w:val="en-US" w:eastAsia="zh-CN"/>
        </w:rPr>
        <w:t>工业</w:t>
      </w:r>
      <w:r>
        <w:rPr>
          <w:rFonts w:hint="eastAsia" w:ascii="宋体" w:hAnsi="宋体"/>
          <w:sz w:val="24"/>
          <w:szCs w:val="24"/>
        </w:rPr>
        <w:t>设计专业本科毕业生有</w:t>
      </w:r>
      <w:r>
        <w:rPr>
          <w:rFonts w:hint="eastAsia" w:ascii="宋体" w:hAnsi="宋体"/>
          <w:bCs/>
          <w:sz w:val="24"/>
          <w:szCs w:val="24"/>
          <w:lang w:val="en-US" w:eastAsia="zh-CN"/>
        </w:rPr>
        <w:t>32</w:t>
      </w:r>
      <w:r>
        <w:rPr>
          <w:rFonts w:hint="eastAsia" w:ascii="宋体" w:hAnsi="宋体"/>
          <w:sz w:val="24"/>
          <w:szCs w:val="24"/>
        </w:rPr>
        <w:t>人，签订有效就业协议</w:t>
      </w:r>
      <w:r>
        <w:rPr>
          <w:rFonts w:hint="eastAsia" w:ascii="宋体" w:hAnsi="宋体"/>
          <w:sz w:val="24"/>
          <w:szCs w:val="24"/>
          <w:lang w:val="en-US" w:eastAsia="zh-CN"/>
        </w:rPr>
        <w:t>与</w:t>
      </w:r>
      <w:r>
        <w:rPr>
          <w:rFonts w:hint="eastAsia" w:ascii="宋体" w:hAnsi="宋体"/>
          <w:color w:val="000000"/>
          <w:sz w:val="24"/>
          <w:szCs w:val="24"/>
        </w:rPr>
        <w:t>劳动合同</w:t>
      </w:r>
      <w:r>
        <w:rPr>
          <w:rFonts w:hint="eastAsia" w:ascii="宋体" w:hAnsi="宋体"/>
          <w:bCs/>
          <w:sz w:val="24"/>
          <w:szCs w:val="24"/>
          <w:lang w:val="en-US" w:eastAsia="zh-CN"/>
        </w:rPr>
        <w:t>24</w:t>
      </w:r>
      <w:r>
        <w:rPr>
          <w:rFonts w:hint="eastAsia" w:ascii="宋体" w:hAnsi="宋体"/>
          <w:sz w:val="24"/>
          <w:szCs w:val="24"/>
        </w:rPr>
        <w:t>人，</w:t>
      </w:r>
      <w:r>
        <w:rPr>
          <w:rFonts w:hint="eastAsia" w:ascii="宋体" w:hAnsi="宋体"/>
          <w:sz w:val="24"/>
          <w:szCs w:val="24"/>
          <w:lang w:val="en-US" w:eastAsia="zh-CN"/>
        </w:rPr>
        <w:t>升学4</w:t>
      </w:r>
      <w:r>
        <w:rPr>
          <w:rFonts w:hint="eastAsia" w:ascii="宋体" w:hAnsi="宋体"/>
          <w:sz w:val="24"/>
          <w:szCs w:val="24"/>
        </w:rPr>
        <w:t>人</w:t>
      </w:r>
      <w:r>
        <w:rPr>
          <w:rFonts w:hint="eastAsia" w:ascii="宋体" w:hAnsi="宋体"/>
          <w:sz w:val="24"/>
          <w:szCs w:val="24"/>
          <w:lang w:eastAsia="zh-CN"/>
        </w:rPr>
        <w:t>，</w:t>
      </w:r>
      <w:r>
        <w:rPr>
          <w:rFonts w:hint="eastAsia" w:ascii="宋体" w:hAnsi="宋体"/>
          <w:sz w:val="24"/>
          <w:szCs w:val="24"/>
          <w:lang w:val="en-US" w:eastAsia="zh-CN"/>
        </w:rPr>
        <w:t>1人考取选调生，1人三支一扶，</w:t>
      </w:r>
      <w:r>
        <w:rPr>
          <w:rFonts w:hint="eastAsia" w:ascii="宋体" w:hAnsi="宋体"/>
          <w:sz w:val="24"/>
          <w:szCs w:val="24"/>
        </w:rPr>
        <w:t>就业率为</w:t>
      </w:r>
      <w:r>
        <w:rPr>
          <w:rFonts w:hint="eastAsia" w:ascii="宋体" w:hAnsi="宋体"/>
          <w:color w:val="000000"/>
          <w:sz w:val="24"/>
          <w:szCs w:val="24"/>
          <w:lang w:val="en-US" w:eastAsia="zh-CN"/>
        </w:rPr>
        <w:t>93.75</w:t>
      </w:r>
      <w:r>
        <w:rPr>
          <w:rFonts w:hint="eastAsia" w:ascii="宋体" w:hAnsi="宋体"/>
          <w:bCs/>
          <w:sz w:val="24"/>
          <w:szCs w:val="24"/>
        </w:rPr>
        <w:t>%</w:t>
      </w:r>
      <w:r>
        <w:rPr>
          <w:rFonts w:hint="eastAsia" w:ascii="宋体" w:hAnsi="宋体"/>
          <w:sz w:val="24"/>
          <w:szCs w:val="24"/>
        </w:rPr>
        <w:t>。在签订有效就业协议的毕业生中，有</w:t>
      </w:r>
      <w:r>
        <w:rPr>
          <w:rFonts w:hint="eastAsia" w:ascii="宋体" w:hAnsi="宋体"/>
          <w:bCs/>
          <w:color w:val="000000"/>
          <w:sz w:val="24"/>
          <w:szCs w:val="24"/>
          <w:lang w:val="en-US" w:eastAsia="zh-CN"/>
        </w:rPr>
        <w:t>16</w:t>
      </w:r>
      <w:r>
        <w:rPr>
          <w:rFonts w:hint="eastAsia" w:ascii="宋体" w:hAnsi="宋体"/>
          <w:color w:val="000000"/>
          <w:sz w:val="24"/>
          <w:szCs w:val="24"/>
        </w:rPr>
        <w:t>人</w:t>
      </w:r>
      <w:r>
        <w:rPr>
          <w:rFonts w:hint="eastAsia" w:ascii="宋体" w:hAnsi="宋体"/>
          <w:sz w:val="24"/>
          <w:szCs w:val="24"/>
        </w:rPr>
        <w:t>在安徽省内就业</w:t>
      </w:r>
      <w:r>
        <w:rPr>
          <w:rFonts w:hint="eastAsia" w:ascii="宋体" w:hAnsi="宋体"/>
          <w:color w:val="000000"/>
          <w:sz w:val="24"/>
          <w:szCs w:val="24"/>
        </w:rPr>
        <w:t>，其中</w:t>
      </w:r>
      <w:r>
        <w:rPr>
          <w:rFonts w:hint="eastAsia" w:ascii="宋体" w:hAnsi="宋体"/>
          <w:bCs/>
          <w:color w:val="000000"/>
          <w:sz w:val="24"/>
          <w:szCs w:val="24"/>
          <w:lang w:val="en-US" w:eastAsia="zh-CN"/>
        </w:rPr>
        <w:t>8</w:t>
      </w:r>
      <w:r>
        <w:rPr>
          <w:rFonts w:hint="eastAsia" w:ascii="宋体" w:hAnsi="宋体"/>
          <w:color w:val="000000"/>
          <w:sz w:val="24"/>
          <w:szCs w:val="24"/>
        </w:rPr>
        <w:t>人在合肥市工作</w:t>
      </w:r>
      <w:r>
        <w:rPr>
          <w:rFonts w:hint="eastAsia" w:ascii="宋体" w:hAnsi="宋体"/>
          <w:color w:val="000000"/>
          <w:sz w:val="24"/>
          <w:szCs w:val="24"/>
          <w:lang w:eastAsia="zh-CN"/>
        </w:rPr>
        <w:t>，</w:t>
      </w:r>
      <w:r>
        <w:rPr>
          <w:rFonts w:hint="eastAsia" w:ascii="宋体" w:hAnsi="宋体"/>
          <w:color w:val="000000"/>
          <w:sz w:val="24"/>
          <w:szCs w:val="24"/>
          <w:lang w:val="en-US" w:eastAsia="zh-CN"/>
        </w:rPr>
        <w:t>省内就业占比66.67%</w:t>
      </w:r>
      <w:r>
        <w:rPr>
          <w:rFonts w:hint="eastAsia" w:ascii="宋体" w:hAnsi="宋体"/>
          <w:color w:val="000000"/>
          <w:sz w:val="24"/>
          <w:szCs w:val="24"/>
        </w:rPr>
        <w:t>；另外</w:t>
      </w:r>
      <w:r>
        <w:rPr>
          <w:rFonts w:hint="eastAsia" w:ascii="宋体" w:hAnsi="宋体"/>
          <w:bCs/>
          <w:color w:val="000000"/>
          <w:sz w:val="24"/>
          <w:szCs w:val="24"/>
          <w:lang w:val="en-US" w:eastAsia="zh-CN"/>
        </w:rPr>
        <w:t>8</w:t>
      </w:r>
      <w:r>
        <w:rPr>
          <w:rFonts w:hint="eastAsia" w:ascii="宋体" w:hAnsi="宋体"/>
          <w:color w:val="000000"/>
          <w:sz w:val="24"/>
          <w:szCs w:val="24"/>
        </w:rPr>
        <w:t>人在外省就业，其中</w:t>
      </w:r>
      <w:r>
        <w:rPr>
          <w:rFonts w:hint="eastAsia" w:ascii="宋体" w:hAnsi="宋体"/>
          <w:color w:val="000000"/>
          <w:sz w:val="24"/>
          <w:szCs w:val="24"/>
          <w:lang w:val="en-US" w:eastAsia="zh-CN"/>
        </w:rPr>
        <w:t>北京2人，浙江3人</w:t>
      </w:r>
      <w:r>
        <w:rPr>
          <w:rFonts w:hint="eastAsia" w:ascii="宋体" w:hAnsi="宋体"/>
          <w:color w:val="000000"/>
          <w:sz w:val="24"/>
          <w:szCs w:val="24"/>
        </w:rPr>
        <w:t>，</w:t>
      </w:r>
      <w:r>
        <w:rPr>
          <w:rFonts w:hint="eastAsia" w:ascii="宋体" w:hAnsi="宋体"/>
          <w:color w:val="000000"/>
          <w:sz w:val="24"/>
          <w:szCs w:val="24"/>
          <w:lang w:val="en-US" w:eastAsia="zh-CN"/>
        </w:rPr>
        <w:t>重庆、江西、福建各1人</w:t>
      </w:r>
      <w:r>
        <w:rPr>
          <w:rFonts w:hint="eastAsia" w:ascii="宋体" w:hAnsi="宋体"/>
          <w:color w:val="000000"/>
          <w:sz w:val="24"/>
          <w:szCs w:val="24"/>
        </w:rPr>
        <w:t>。</w:t>
      </w:r>
    </w:p>
    <w:p>
      <w:pPr>
        <w:spacing w:line="360" w:lineRule="auto"/>
        <w:ind w:firstLine="480" w:firstLineChars="200"/>
        <w:jc w:val="center"/>
        <w:rPr>
          <w:rFonts w:hint="eastAsia" w:ascii="华文仿宋" w:hAnsi="华文仿宋" w:eastAsia="华文仿宋" w:cs="华文仿宋"/>
          <w:bCs/>
          <w:color w:val="000000"/>
          <w:sz w:val="21"/>
          <w:szCs w:val="21"/>
          <w:lang w:val="en-US" w:eastAsia="zh-CN"/>
        </w:rPr>
      </w:pPr>
      <w:r>
        <w:rPr>
          <w:rFonts w:hint="eastAsia" w:ascii="宋体" w:hAnsi="宋体"/>
          <w:color w:val="000000"/>
          <w:sz w:val="24"/>
          <w:szCs w:val="24"/>
        </w:rPr>
        <w:object>
          <v:shape id="_x0000_i1026" o:spt="75" type="#_x0000_t75" style="height:213.25pt;width:367.1pt;" o:ole="t" filled="f" o:preferrelative="t" stroked="f" coordsize="21600,21600">
            <v:path/>
            <v:fill on="f" focussize="0,0"/>
            <v:stroke on="f"/>
            <v:imagedata r:id="rId46" o:title=""/>
            <o:lock v:ext="edit" aspectratio="t"/>
            <w10:wrap type="none"/>
            <w10:anchorlock/>
          </v:shape>
          <o:OLEObject Type="Embed" ProgID="Excel.Chart.8" ShapeID="_x0000_i1026" DrawAspect="Content" ObjectID="_1468075728" r:id="rId45">
            <o:LockedField>false</o:LockedField>
          </o:OLEObject>
        </w:object>
      </w:r>
      <w:r>
        <w:rPr>
          <w:rFonts w:hint="eastAsia" w:ascii="华文仿宋" w:hAnsi="华文仿宋" w:eastAsia="华文仿宋" w:cs="华文仿宋"/>
          <w:bCs/>
          <w:color w:val="000000"/>
          <w:sz w:val="21"/>
          <w:szCs w:val="21"/>
          <w:lang w:val="en-US" w:eastAsia="zh-CN"/>
        </w:rPr>
        <w:t>图1-2设计学院工业设计专业2022届毕业生就业分布情况统计表</w:t>
      </w:r>
    </w:p>
    <w:p>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color w:val="000000"/>
          <w:sz w:val="24"/>
          <w:szCs w:val="24"/>
        </w:rPr>
      </w:pPr>
      <w:r>
        <w:rPr>
          <w:rFonts w:hint="eastAsia" w:ascii="宋体" w:hAnsi="宋体"/>
          <w:color w:val="000000"/>
          <w:sz w:val="24"/>
          <w:szCs w:val="24"/>
          <w:lang w:val="en-US" w:eastAsia="zh-CN"/>
        </w:rPr>
        <w:t>视觉传达</w:t>
      </w:r>
      <w:r>
        <w:rPr>
          <w:rFonts w:hint="eastAsia" w:ascii="宋体" w:hAnsi="宋体"/>
          <w:color w:val="000000"/>
          <w:sz w:val="24"/>
          <w:szCs w:val="24"/>
        </w:rPr>
        <w:t>设计专业本科毕业生有</w:t>
      </w:r>
      <w:r>
        <w:rPr>
          <w:rFonts w:hint="eastAsia" w:ascii="宋体" w:hAnsi="宋体"/>
          <w:bCs/>
          <w:color w:val="000000"/>
          <w:sz w:val="24"/>
          <w:szCs w:val="24"/>
          <w:lang w:val="en-US" w:eastAsia="zh-CN"/>
        </w:rPr>
        <w:t>54</w:t>
      </w:r>
      <w:r>
        <w:rPr>
          <w:rFonts w:hint="eastAsia" w:ascii="宋体" w:hAnsi="宋体"/>
          <w:color w:val="000000"/>
          <w:sz w:val="24"/>
          <w:szCs w:val="24"/>
        </w:rPr>
        <w:t>人，签订有效就业协议</w:t>
      </w:r>
      <w:r>
        <w:rPr>
          <w:rFonts w:hint="eastAsia" w:ascii="宋体" w:hAnsi="宋体"/>
          <w:color w:val="000000"/>
          <w:sz w:val="24"/>
          <w:szCs w:val="24"/>
          <w:lang w:val="en-US" w:eastAsia="zh-CN"/>
        </w:rPr>
        <w:t>与</w:t>
      </w:r>
      <w:r>
        <w:rPr>
          <w:rFonts w:hint="eastAsia" w:ascii="宋体" w:hAnsi="宋体"/>
          <w:color w:val="000000"/>
          <w:sz w:val="24"/>
          <w:szCs w:val="24"/>
        </w:rPr>
        <w:t>劳动合同</w:t>
      </w:r>
      <w:r>
        <w:rPr>
          <w:rFonts w:hint="eastAsia" w:ascii="宋体" w:hAnsi="宋体"/>
          <w:bCs/>
          <w:color w:val="000000"/>
          <w:sz w:val="24"/>
          <w:szCs w:val="24"/>
          <w:lang w:val="en-US" w:eastAsia="zh-CN"/>
        </w:rPr>
        <w:t>47</w:t>
      </w:r>
      <w:r>
        <w:rPr>
          <w:rFonts w:hint="eastAsia" w:ascii="宋体" w:hAnsi="宋体"/>
          <w:color w:val="000000"/>
          <w:sz w:val="24"/>
          <w:szCs w:val="24"/>
        </w:rPr>
        <w:t>人，</w:t>
      </w:r>
      <w:r>
        <w:rPr>
          <w:rFonts w:hint="eastAsia" w:ascii="宋体" w:hAnsi="宋体"/>
          <w:sz w:val="24"/>
          <w:szCs w:val="24"/>
          <w:lang w:val="en-US" w:eastAsia="zh-CN"/>
        </w:rPr>
        <w:t>升学</w:t>
      </w:r>
      <w:r>
        <w:rPr>
          <w:rFonts w:hint="eastAsia" w:ascii="宋体" w:hAnsi="宋体"/>
          <w:color w:val="000000"/>
          <w:sz w:val="24"/>
          <w:szCs w:val="24"/>
          <w:lang w:val="en-US" w:eastAsia="zh-CN"/>
        </w:rPr>
        <w:t>3</w:t>
      </w:r>
      <w:r>
        <w:rPr>
          <w:rFonts w:hint="eastAsia" w:ascii="宋体" w:hAnsi="宋体"/>
          <w:color w:val="000000"/>
          <w:sz w:val="24"/>
          <w:szCs w:val="24"/>
        </w:rPr>
        <w:t>人，</w:t>
      </w:r>
      <w:r>
        <w:rPr>
          <w:rFonts w:hint="eastAsia" w:ascii="宋体" w:hAnsi="宋体"/>
          <w:color w:val="000000"/>
          <w:sz w:val="24"/>
          <w:szCs w:val="24"/>
          <w:lang w:val="en-US" w:eastAsia="zh-CN"/>
        </w:rPr>
        <w:t>参军2人，</w:t>
      </w:r>
      <w:r>
        <w:rPr>
          <w:rFonts w:hint="eastAsia" w:ascii="宋体" w:hAnsi="宋体"/>
          <w:color w:val="000000"/>
          <w:sz w:val="24"/>
          <w:szCs w:val="24"/>
        </w:rPr>
        <w:t>就业率为</w:t>
      </w:r>
      <w:r>
        <w:rPr>
          <w:rFonts w:hint="eastAsia" w:ascii="宋体" w:hAnsi="宋体"/>
          <w:bCs/>
          <w:sz w:val="24"/>
          <w:szCs w:val="24"/>
          <w:lang w:val="en-US" w:eastAsia="zh-CN"/>
        </w:rPr>
        <w:t>96.30</w:t>
      </w:r>
      <w:r>
        <w:rPr>
          <w:rFonts w:hint="eastAsia" w:ascii="宋体" w:hAnsi="宋体"/>
          <w:bCs/>
          <w:color w:val="000000"/>
          <w:sz w:val="24"/>
          <w:szCs w:val="24"/>
        </w:rPr>
        <w:t>%。</w:t>
      </w:r>
      <w:r>
        <w:rPr>
          <w:rFonts w:hint="eastAsia" w:ascii="宋体" w:hAnsi="宋体"/>
          <w:sz w:val="24"/>
          <w:szCs w:val="24"/>
        </w:rPr>
        <w:t>在签订有效就业协议的毕业生中，</w:t>
      </w:r>
      <w:r>
        <w:rPr>
          <w:rFonts w:hint="eastAsia" w:ascii="宋体" w:hAnsi="宋体"/>
          <w:color w:val="000000"/>
          <w:sz w:val="24"/>
          <w:szCs w:val="24"/>
        </w:rPr>
        <w:t>有</w:t>
      </w:r>
      <w:r>
        <w:rPr>
          <w:rFonts w:hint="eastAsia" w:ascii="宋体" w:hAnsi="宋体"/>
          <w:color w:val="000000"/>
          <w:sz w:val="24"/>
          <w:szCs w:val="24"/>
          <w:lang w:val="en-US" w:eastAsia="zh-CN"/>
        </w:rPr>
        <w:t>25</w:t>
      </w:r>
      <w:r>
        <w:rPr>
          <w:rFonts w:hint="eastAsia" w:ascii="宋体" w:hAnsi="宋体"/>
          <w:color w:val="000000"/>
          <w:sz w:val="24"/>
          <w:szCs w:val="24"/>
        </w:rPr>
        <w:t>人在安徽省内就业，其中</w:t>
      </w:r>
      <w:r>
        <w:rPr>
          <w:rFonts w:hint="eastAsia" w:ascii="宋体" w:hAnsi="宋体"/>
          <w:color w:val="000000"/>
          <w:sz w:val="24"/>
          <w:szCs w:val="24"/>
          <w:lang w:val="en-US" w:eastAsia="zh-CN"/>
        </w:rPr>
        <w:t>22</w:t>
      </w:r>
      <w:r>
        <w:rPr>
          <w:rFonts w:hint="eastAsia" w:ascii="宋体" w:hAnsi="宋体"/>
          <w:color w:val="000000"/>
          <w:sz w:val="24"/>
          <w:szCs w:val="24"/>
        </w:rPr>
        <w:t>人在合肥市工作</w:t>
      </w:r>
      <w:r>
        <w:rPr>
          <w:rFonts w:hint="eastAsia" w:ascii="宋体" w:hAnsi="宋体"/>
          <w:color w:val="000000"/>
          <w:sz w:val="24"/>
          <w:szCs w:val="24"/>
          <w:lang w:eastAsia="zh-CN"/>
        </w:rPr>
        <w:t>，</w:t>
      </w:r>
      <w:r>
        <w:rPr>
          <w:rFonts w:hint="eastAsia" w:ascii="宋体" w:hAnsi="宋体"/>
          <w:color w:val="000000"/>
          <w:sz w:val="24"/>
          <w:szCs w:val="24"/>
          <w:lang w:val="en-US" w:eastAsia="zh-CN"/>
        </w:rPr>
        <w:t>省内就业占比53.19%</w:t>
      </w:r>
      <w:r>
        <w:rPr>
          <w:rFonts w:hint="eastAsia" w:ascii="宋体" w:hAnsi="宋体"/>
          <w:color w:val="000000"/>
          <w:sz w:val="24"/>
          <w:szCs w:val="24"/>
        </w:rPr>
        <w:t>；外省就业的有</w:t>
      </w:r>
      <w:r>
        <w:rPr>
          <w:rFonts w:hint="eastAsia" w:ascii="宋体" w:hAnsi="宋体"/>
          <w:color w:val="000000"/>
          <w:sz w:val="24"/>
          <w:szCs w:val="24"/>
          <w:lang w:val="en-US" w:eastAsia="zh-CN"/>
        </w:rPr>
        <w:t>22</w:t>
      </w:r>
      <w:r>
        <w:rPr>
          <w:rFonts w:hint="eastAsia" w:ascii="宋体" w:hAnsi="宋体"/>
          <w:color w:val="000000"/>
          <w:sz w:val="24"/>
          <w:szCs w:val="24"/>
        </w:rPr>
        <w:t>人，其中在</w:t>
      </w:r>
      <w:r>
        <w:rPr>
          <w:rFonts w:hint="eastAsia" w:ascii="宋体" w:hAnsi="宋体"/>
          <w:color w:val="000000"/>
          <w:sz w:val="24"/>
          <w:szCs w:val="24"/>
          <w:lang w:val="en-US" w:eastAsia="zh-CN"/>
        </w:rPr>
        <w:t>湖南2人，江苏4人，山东2人，浙江9</w:t>
      </w:r>
      <w:r>
        <w:rPr>
          <w:rFonts w:hint="eastAsia" w:ascii="宋体" w:hAnsi="宋体"/>
          <w:color w:val="000000"/>
          <w:sz w:val="24"/>
          <w:szCs w:val="24"/>
        </w:rPr>
        <w:t>人</w:t>
      </w:r>
      <w:r>
        <w:rPr>
          <w:rFonts w:hint="eastAsia" w:ascii="宋体" w:hAnsi="宋体"/>
          <w:color w:val="000000"/>
          <w:sz w:val="24"/>
          <w:szCs w:val="24"/>
          <w:lang w:eastAsia="zh-CN"/>
        </w:rPr>
        <w:t>，</w:t>
      </w:r>
      <w:r>
        <w:rPr>
          <w:rFonts w:hint="eastAsia" w:ascii="宋体" w:hAnsi="宋体"/>
          <w:color w:val="000000"/>
          <w:sz w:val="24"/>
          <w:szCs w:val="24"/>
          <w:lang w:val="en-US" w:eastAsia="zh-CN"/>
        </w:rPr>
        <w:t>北京、福建、广州、上海、河南各1</w:t>
      </w:r>
      <w:r>
        <w:rPr>
          <w:rFonts w:hint="eastAsia" w:ascii="宋体" w:hAnsi="宋体"/>
          <w:color w:val="000000"/>
          <w:sz w:val="24"/>
          <w:szCs w:val="24"/>
        </w:rPr>
        <w:t>人</w:t>
      </w:r>
      <w:r>
        <w:rPr>
          <w:rFonts w:hint="eastAsia" w:ascii="宋体" w:hAnsi="宋体"/>
          <w:color w:val="000000"/>
          <w:sz w:val="24"/>
          <w:szCs w:val="24"/>
          <w:lang w:eastAsia="zh-CN"/>
        </w:rPr>
        <w:t>。</w:t>
      </w:r>
    </w:p>
    <w:p>
      <w:pPr>
        <w:spacing w:line="360" w:lineRule="auto"/>
        <w:ind w:firstLine="480" w:firstLineChars="200"/>
        <w:jc w:val="center"/>
        <w:rPr>
          <w:rFonts w:hint="eastAsia" w:ascii="宋体" w:hAnsi="宋体"/>
          <w:color w:val="000000"/>
          <w:sz w:val="24"/>
          <w:szCs w:val="24"/>
        </w:rPr>
      </w:pPr>
      <w:r>
        <w:rPr>
          <w:rFonts w:hint="eastAsia" w:ascii="宋体" w:hAnsi="宋体"/>
          <w:color w:val="000000"/>
          <w:sz w:val="24"/>
          <w:szCs w:val="24"/>
        </w:rPr>
        <w:object>
          <v:shape id="_x0000_i1027" o:spt="75" type="#_x0000_t75" style="height:233.8pt;width:367.1pt;" o:ole="t" filled="f" o:preferrelative="t" stroked="f" coordsize="21600,21600">
            <v:path/>
            <v:fill on="f" focussize="0,0"/>
            <v:stroke on="f"/>
            <v:imagedata r:id="rId48" o:title=""/>
            <o:lock v:ext="edit" aspectratio="t"/>
            <w10:wrap type="none"/>
            <w10:anchorlock/>
          </v:shape>
          <o:OLEObject Type="Embed" ProgID="Excel.Chart.8" ShapeID="_x0000_i1027" DrawAspect="Content" ObjectID="_1468075729" r:id="rId47">
            <o:LockedField>false</o:LockedField>
          </o:OLEObject>
        </w:object>
      </w:r>
    </w:p>
    <w:p>
      <w:pPr>
        <w:spacing w:line="360" w:lineRule="auto"/>
        <w:jc w:val="center"/>
        <w:rPr>
          <w:rFonts w:hint="eastAsia" w:ascii="宋体" w:hAnsi="宋体"/>
          <w:b/>
          <w:bCs/>
          <w:color w:val="000000"/>
          <w:sz w:val="24"/>
          <w:szCs w:val="24"/>
        </w:rPr>
      </w:pPr>
      <w:r>
        <w:rPr>
          <w:rFonts w:hint="eastAsia" w:ascii="华文仿宋" w:hAnsi="华文仿宋" w:eastAsia="华文仿宋" w:cs="华文仿宋"/>
          <w:bCs/>
          <w:color w:val="000000"/>
          <w:sz w:val="21"/>
          <w:szCs w:val="21"/>
          <w:lang w:val="en-US" w:eastAsia="zh-CN"/>
        </w:rPr>
        <w:t>图1-3设计学院视觉传达设计专业2022届毕业生就业分布情况统计表</w:t>
      </w:r>
    </w:p>
    <w:p>
      <w:pPr>
        <w:keepNext w:val="0"/>
        <w:keepLines w:val="0"/>
        <w:pageBreakBefore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olor w:val="000000"/>
          <w:sz w:val="24"/>
          <w:szCs w:val="24"/>
          <w:lang w:eastAsia="zh-CN"/>
        </w:rPr>
      </w:pPr>
      <w:r>
        <w:rPr>
          <w:rFonts w:hint="eastAsia" w:ascii="宋体" w:hAnsi="宋体"/>
          <w:bCs/>
          <w:color w:val="000000"/>
          <w:sz w:val="24"/>
          <w:szCs w:val="24"/>
          <w:lang w:val="en-US" w:eastAsia="zh-CN"/>
        </w:rPr>
        <w:t>环境</w:t>
      </w:r>
      <w:r>
        <w:rPr>
          <w:rFonts w:hint="eastAsia" w:ascii="宋体" w:hAnsi="宋体"/>
          <w:bCs/>
          <w:color w:val="000000"/>
          <w:sz w:val="24"/>
          <w:szCs w:val="24"/>
        </w:rPr>
        <w:t>设计</w:t>
      </w:r>
      <w:r>
        <w:rPr>
          <w:rFonts w:hint="eastAsia" w:ascii="宋体" w:hAnsi="宋体"/>
          <w:color w:val="000000"/>
          <w:sz w:val="24"/>
          <w:szCs w:val="24"/>
        </w:rPr>
        <w:t>专业本科毕业生有</w:t>
      </w:r>
      <w:r>
        <w:rPr>
          <w:rFonts w:hint="eastAsia" w:ascii="宋体" w:hAnsi="宋体"/>
          <w:bCs/>
          <w:color w:val="000000"/>
          <w:sz w:val="24"/>
          <w:szCs w:val="24"/>
          <w:lang w:val="en-US" w:eastAsia="zh-CN"/>
        </w:rPr>
        <w:t>57</w:t>
      </w:r>
      <w:r>
        <w:rPr>
          <w:rFonts w:hint="eastAsia" w:ascii="宋体" w:hAnsi="宋体"/>
          <w:color w:val="000000"/>
          <w:sz w:val="24"/>
          <w:szCs w:val="24"/>
        </w:rPr>
        <w:t>人，签订有效就业协议</w:t>
      </w:r>
      <w:r>
        <w:rPr>
          <w:rFonts w:hint="eastAsia" w:ascii="宋体" w:hAnsi="宋体"/>
          <w:bCs/>
          <w:color w:val="000000"/>
          <w:sz w:val="24"/>
          <w:szCs w:val="24"/>
        </w:rPr>
        <w:t>5</w:t>
      </w:r>
      <w:r>
        <w:rPr>
          <w:rFonts w:hint="eastAsia" w:ascii="宋体" w:hAnsi="宋体"/>
          <w:bCs/>
          <w:color w:val="000000"/>
          <w:sz w:val="24"/>
          <w:szCs w:val="24"/>
          <w:lang w:val="en-US" w:eastAsia="zh-CN"/>
        </w:rPr>
        <w:t>2</w:t>
      </w:r>
      <w:r>
        <w:rPr>
          <w:rFonts w:hint="eastAsia" w:ascii="宋体" w:hAnsi="宋体"/>
          <w:color w:val="000000"/>
          <w:sz w:val="24"/>
          <w:szCs w:val="24"/>
        </w:rPr>
        <w:t>人，</w:t>
      </w:r>
      <w:r>
        <w:rPr>
          <w:rFonts w:hint="eastAsia" w:ascii="宋体" w:hAnsi="宋体"/>
          <w:sz w:val="24"/>
          <w:szCs w:val="24"/>
          <w:lang w:val="en-US" w:eastAsia="zh-CN"/>
        </w:rPr>
        <w:t>升学</w:t>
      </w:r>
      <w:r>
        <w:rPr>
          <w:rFonts w:hint="eastAsia" w:ascii="宋体" w:hAnsi="宋体"/>
          <w:color w:val="000000"/>
          <w:sz w:val="24"/>
          <w:szCs w:val="24"/>
          <w:lang w:val="en-US" w:eastAsia="zh-CN"/>
        </w:rPr>
        <w:t>1</w:t>
      </w:r>
      <w:r>
        <w:rPr>
          <w:rFonts w:hint="eastAsia" w:ascii="宋体" w:hAnsi="宋体"/>
          <w:color w:val="000000"/>
          <w:sz w:val="24"/>
          <w:szCs w:val="24"/>
        </w:rPr>
        <w:t>人，</w:t>
      </w:r>
      <w:r>
        <w:rPr>
          <w:rFonts w:hint="eastAsia" w:ascii="宋体" w:hAnsi="宋体" w:cs="宋体"/>
          <w:color w:val="000000"/>
          <w:kern w:val="0"/>
          <w:sz w:val="24"/>
          <w:szCs w:val="24"/>
          <w:lang w:val="en-US" w:eastAsia="zh-CN"/>
        </w:rPr>
        <w:t>应征入伍1</w:t>
      </w:r>
      <w:r>
        <w:rPr>
          <w:rFonts w:hint="eastAsia" w:ascii="宋体" w:hAnsi="宋体" w:cs="宋体"/>
          <w:color w:val="000000"/>
          <w:kern w:val="0"/>
          <w:sz w:val="24"/>
          <w:szCs w:val="24"/>
        </w:rPr>
        <w:t>人，</w:t>
      </w:r>
      <w:r>
        <w:rPr>
          <w:rFonts w:hint="eastAsia" w:ascii="宋体" w:hAnsi="宋体" w:cs="宋体"/>
          <w:color w:val="000000"/>
          <w:kern w:val="0"/>
          <w:sz w:val="24"/>
          <w:szCs w:val="24"/>
          <w:lang w:val="en-US" w:eastAsia="zh-CN"/>
        </w:rPr>
        <w:t>创业1人，考取公务员</w:t>
      </w:r>
      <w:r>
        <w:rPr>
          <w:rFonts w:hint="eastAsia" w:ascii="宋体" w:hAnsi="宋体"/>
          <w:color w:val="000000"/>
          <w:sz w:val="24"/>
          <w:szCs w:val="24"/>
          <w:lang w:val="en-US" w:eastAsia="zh-CN"/>
        </w:rPr>
        <w:t>1人，</w:t>
      </w:r>
      <w:r>
        <w:rPr>
          <w:rFonts w:hint="eastAsia" w:ascii="宋体" w:hAnsi="宋体"/>
          <w:color w:val="000000"/>
          <w:sz w:val="24"/>
          <w:szCs w:val="24"/>
        </w:rPr>
        <w:t>就业率为</w:t>
      </w:r>
      <w:r>
        <w:rPr>
          <w:rFonts w:hint="eastAsia" w:ascii="宋体" w:hAnsi="宋体"/>
          <w:bCs/>
          <w:color w:val="000000"/>
          <w:sz w:val="24"/>
          <w:szCs w:val="24"/>
          <w:lang w:val="en-US" w:eastAsia="zh-CN"/>
        </w:rPr>
        <w:t>98.25</w:t>
      </w:r>
      <w:r>
        <w:rPr>
          <w:rFonts w:hint="eastAsia" w:ascii="宋体" w:hAnsi="宋体"/>
          <w:bCs/>
          <w:color w:val="000000"/>
          <w:sz w:val="24"/>
          <w:szCs w:val="24"/>
        </w:rPr>
        <w:t>%</w:t>
      </w:r>
      <w:r>
        <w:rPr>
          <w:rFonts w:hint="eastAsia" w:ascii="宋体" w:hAnsi="宋体"/>
          <w:color w:val="000000"/>
          <w:sz w:val="24"/>
          <w:szCs w:val="24"/>
        </w:rPr>
        <w:t>。</w:t>
      </w:r>
      <w:r>
        <w:rPr>
          <w:rFonts w:hint="eastAsia" w:ascii="宋体" w:hAnsi="宋体"/>
          <w:sz w:val="24"/>
          <w:szCs w:val="24"/>
        </w:rPr>
        <w:t>在签订有效就业协议的毕业生中，</w:t>
      </w:r>
      <w:r>
        <w:rPr>
          <w:rFonts w:hint="eastAsia" w:ascii="宋体" w:hAnsi="宋体"/>
          <w:color w:val="000000"/>
          <w:sz w:val="24"/>
          <w:szCs w:val="24"/>
        </w:rPr>
        <w:t>有3</w:t>
      </w:r>
      <w:r>
        <w:rPr>
          <w:rFonts w:hint="eastAsia" w:ascii="宋体" w:hAnsi="宋体"/>
          <w:color w:val="000000"/>
          <w:sz w:val="24"/>
          <w:szCs w:val="24"/>
          <w:lang w:val="en-US" w:eastAsia="zh-CN"/>
        </w:rPr>
        <w:t>3</w:t>
      </w:r>
      <w:r>
        <w:rPr>
          <w:rFonts w:hint="eastAsia" w:ascii="宋体" w:hAnsi="宋体"/>
          <w:color w:val="000000"/>
          <w:sz w:val="24"/>
          <w:szCs w:val="24"/>
        </w:rPr>
        <w:t>人在安徽省内就业，其中</w:t>
      </w:r>
      <w:r>
        <w:rPr>
          <w:rFonts w:hint="eastAsia" w:ascii="宋体" w:hAnsi="宋体"/>
          <w:color w:val="000000"/>
          <w:sz w:val="24"/>
          <w:szCs w:val="24"/>
          <w:lang w:val="en-US" w:eastAsia="zh-CN"/>
        </w:rPr>
        <w:t>26</w:t>
      </w:r>
      <w:r>
        <w:rPr>
          <w:rFonts w:hint="eastAsia" w:ascii="宋体" w:hAnsi="宋体"/>
          <w:color w:val="000000"/>
          <w:sz w:val="24"/>
          <w:szCs w:val="24"/>
        </w:rPr>
        <w:t>人在合肥市工作</w:t>
      </w:r>
      <w:r>
        <w:rPr>
          <w:rFonts w:hint="eastAsia" w:ascii="宋体" w:hAnsi="宋体"/>
          <w:color w:val="000000"/>
          <w:sz w:val="24"/>
          <w:szCs w:val="24"/>
          <w:lang w:eastAsia="zh-CN"/>
        </w:rPr>
        <w:t>，</w:t>
      </w:r>
      <w:r>
        <w:rPr>
          <w:rFonts w:hint="eastAsia" w:ascii="宋体" w:hAnsi="宋体"/>
          <w:color w:val="000000"/>
          <w:sz w:val="24"/>
          <w:szCs w:val="24"/>
          <w:lang w:val="en-US" w:eastAsia="zh-CN"/>
        </w:rPr>
        <w:t>省内就业占比63.46%</w:t>
      </w:r>
      <w:r>
        <w:rPr>
          <w:rFonts w:hint="eastAsia" w:ascii="宋体" w:hAnsi="宋体"/>
          <w:color w:val="000000"/>
          <w:sz w:val="24"/>
          <w:szCs w:val="24"/>
        </w:rPr>
        <w:t>；</w:t>
      </w:r>
      <w:r>
        <w:rPr>
          <w:rFonts w:hint="eastAsia" w:ascii="宋体" w:hAnsi="宋体"/>
          <w:color w:val="000000"/>
          <w:sz w:val="24"/>
          <w:szCs w:val="24"/>
          <w:lang w:val="en-US" w:eastAsia="zh-CN"/>
        </w:rPr>
        <w:t>19</w:t>
      </w:r>
      <w:r>
        <w:rPr>
          <w:rFonts w:hint="eastAsia" w:ascii="宋体" w:hAnsi="宋体"/>
          <w:color w:val="000000"/>
          <w:sz w:val="24"/>
          <w:szCs w:val="24"/>
        </w:rPr>
        <w:t>人在外省就业，其中</w:t>
      </w:r>
      <w:r>
        <w:rPr>
          <w:rFonts w:hint="eastAsia" w:ascii="宋体" w:hAnsi="宋体"/>
          <w:color w:val="000000"/>
          <w:sz w:val="24"/>
          <w:szCs w:val="24"/>
          <w:lang w:val="en-US" w:eastAsia="zh-CN"/>
        </w:rPr>
        <w:t>北京2人，江苏2人，山东4人，浙江7</w:t>
      </w:r>
      <w:r>
        <w:rPr>
          <w:rFonts w:hint="eastAsia" w:ascii="宋体" w:hAnsi="宋体"/>
          <w:color w:val="000000"/>
          <w:sz w:val="24"/>
          <w:szCs w:val="24"/>
        </w:rPr>
        <w:t>人</w:t>
      </w:r>
      <w:r>
        <w:rPr>
          <w:rFonts w:hint="eastAsia" w:ascii="宋体" w:hAnsi="宋体"/>
          <w:color w:val="000000"/>
          <w:sz w:val="24"/>
          <w:szCs w:val="24"/>
          <w:lang w:eastAsia="zh-CN"/>
        </w:rPr>
        <w:t>，</w:t>
      </w:r>
      <w:r>
        <w:rPr>
          <w:rFonts w:hint="eastAsia" w:ascii="宋体" w:hAnsi="宋体"/>
          <w:color w:val="000000"/>
          <w:sz w:val="24"/>
          <w:szCs w:val="24"/>
          <w:lang w:val="en-US" w:eastAsia="zh-CN"/>
        </w:rPr>
        <w:t>广州、上海、江西、河北各1</w:t>
      </w:r>
      <w:r>
        <w:rPr>
          <w:rFonts w:hint="eastAsia" w:ascii="宋体" w:hAnsi="宋体"/>
          <w:color w:val="000000"/>
          <w:sz w:val="24"/>
          <w:szCs w:val="24"/>
        </w:rPr>
        <w:t>人</w:t>
      </w:r>
      <w:r>
        <w:rPr>
          <w:rFonts w:hint="eastAsia" w:ascii="宋体" w:hAnsi="宋体"/>
          <w:color w:val="000000"/>
          <w:sz w:val="24"/>
          <w:szCs w:val="24"/>
          <w:lang w:eastAsia="zh-CN"/>
        </w:rPr>
        <w:t>。</w:t>
      </w:r>
    </w:p>
    <w:p>
      <w:pPr>
        <w:spacing w:line="360" w:lineRule="auto"/>
        <w:ind w:firstLine="480" w:firstLineChars="200"/>
        <w:jc w:val="left"/>
        <w:rPr>
          <w:rFonts w:hint="eastAsia" w:ascii="宋体" w:hAnsi="宋体" w:eastAsia="宋体"/>
          <w:color w:val="000000"/>
          <w:sz w:val="24"/>
          <w:szCs w:val="24"/>
          <w:lang w:eastAsia="zh-CN"/>
        </w:rPr>
      </w:pPr>
      <w:r>
        <w:rPr>
          <w:rFonts w:hint="eastAsia" w:ascii="宋体" w:hAnsi="宋体" w:eastAsia="宋体"/>
          <w:color w:val="000000"/>
          <w:sz w:val="24"/>
          <w:szCs w:val="24"/>
          <w:lang w:eastAsia="zh-CN"/>
        </w:rPr>
        <w:object>
          <v:shape id="_x0000_i1028" o:spt="75" type="#_x0000_t75" style="height:242.4pt;width:367.2pt;" o:ole="t" filled="f" o:preferrelative="t" stroked="f" coordsize="21600,21600">
            <v:path/>
            <v:fill on="f" focussize="0,0"/>
            <v:stroke on="f"/>
            <v:imagedata r:id="rId50" o:title=""/>
            <o:lock v:ext="edit" aspectratio="t"/>
            <w10:wrap type="none"/>
            <w10:anchorlock/>
          </v:shape>
          <o:OLEObject Type="Embed" ProgID="Excel.Chart.8" ShapeID="_x0000_i1028" DrawAspect="Content" ObjectID="_1468075730" r:id="rId49">
            <o:LockedField>false</o:LockedField>
          </o:OLEObject>
        </w:object>
      </w:r>
    </w:p>
    <w:p>
      <w:pPr>
        <w:spacing w:line="360" w:lineRule="auto"/>
        <w:jc w:val="center"/>
        <w:rPr>
          <w:rFonts w:hint="eastAsia" w:ascii="宋体" w:hAnsi="宋体"/>
          <w:bCs/>
          <w:color w:val="000000"/>
          <w:sz w:val="24"/>
          <w:szCs w:val="24"/>
          <w:lang w:val="en-US" w:eastAsia="zh-CN"/>
        </w:rPr>
      </w:pPr>
      <w:r>
        <w:rPr>
          <w:rFonts w:hint="eastAsia" w:ascii="华文仿宋" w:hAnsi="华文仿宋" w:eastAsia="华文仿宋" w:cs="华文仿宋"/>
          <w:bCs/>
          <w:color w:val="000000"/>
          <w:sz w:val="21"/>
          <w:szCs w:val="21"/>
          <w:lang w:val="en-US" w:eastAsia="zh-CN"/>
        </w:rPr>
        <w:t>图1-4设计学院环境设计专业2022届毕业生就业分布情况统计表</w:t>
      </w:r>
    </w:p>
    <w:p>
      <w:pPr>
        <w:keepNext w:val="0"/>
        <w:keepLines w:val="0"/>
        <w:pageBreakBefore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color w:val="000000"/>
          <w:sz w:val="24"/>
          <w:szCs w:val="24"/>
        </w:rPr>
      </w:pPr>
      <w:r>
        <w:rPr>
          <w:rFonts w:hint="eastAsia" w:ascii="宋体" w:hAnsi="宋体"/>
          <w:bCs/>
          <w:color w:val="000000"/>
          <w:sz w:val="24"/>
          <w:szCs w:val="24"/>
          <w:lang w:val="en-US" w:eastAsia="zh-CN"/>
        </w:rPr>
        <w:t>产品设计专业</w:t>
      </w:r>
      <w:r>
        <w:rPr>
          <w:rFonts w:hint="eastAsia" w:ascii="宋体" w:hAnsi="宋体"/>
          <w:color w:val="000000"/>
          <w:sz w:val="24"/>
          <w:szCs w:val="24"/>
        </w:rPr>
        <w:t>本科毕业生</w:t>
      </w:r>
      <w:r>
        <w:rPr>
          <w:rFonts w:hint="eastAsia" w:ascii="宋体" w:hAnsi="宋体"/>
          <w:bCs/>
          <w:color w:val="000000"/>
          <w:sz w:val="24"/>
          <w:szCs w:val="24"/>
          <w:lang w:val="en-US" w:eastAsia="zh-CN"/>
        </w:rPr>
        <w:t>56</w:t>
      </w:r>
      <w:r>
        <w:rPr>
          <w:rFonts w:hint="eastAsia" w:ascii="宋体" w:hAnsi="宋体"/>
          <w:color w:val="000000"/>
          <w:sz w:val="24"/>
          <w:szCs w:val="24"/>
        </w:rPr>
        <w:t>人，签订有效就业协议</w:t>
      </w:r>
      <w:r>
        <w:rPr>
          <w:rFonts w:hint="eastAsia" w:ascii="宋体" w:hAnsi="宋体"/>
          <w:bCs/>
          <w:color w:val="000000"/>
          <w:sz w:val="24"/>
          <w:szCs w:val="24"/>
          <w:lang w:val="en-US" w:eastAsia="zh-CN"/>
        </w:rPr>
        <w:t>46</w:t>
      </w:r>
      <w:r>
        <w:rPr>
          <w:rFonts w:hint="eastAsia" w:ascii="宋体" w:hAnsi="宋体"/>
          <w:color w:val="000000"/>
          <w:sz w:val="24"/>
          <w:szCs w:val="24"/>
        </w:rPr>
        <w:t>人，</w:t>
      </w:r>
      <w:r>
        <w:rPr>
          <w:rFonts w:hint="eastAsia" w:ascii="宋体" w:hAnsi="宋体"/>
          <w:color w:val="000000"/>
          <w:sz w:val="24"/>
          <w:szCs w:val="24"/>
          <w:lang w:val="en-US" w:eastAsia="zh-CN"/>
        </w:rPr>
        <w:t>考取研究生4人，参军1人，</w:t>
      </w:r>
      <w:r>
        <w:rPr>
          <w:rFonts w:hint="eastAsia" w:ascii="宋体" w:hAnsi="宋体"/>
          <w:color w:val="000000"/>
          <w:sz w:val="24"/>
          <w:szCs w:val="24"/>
        </w:rPr>
        <w:t>就业率为</w:t>
      </w:r>
      <w:r>
        <w:rPr>
          <w:rFonts w:hint="eastAsia" w:ascii="宋体" w:hAnsi="宋体"/>
          <w:bCs/>
          <w:color w:val="000000"/>
          <w:sz w:val="24"/>
          <w:szCs w:val="24"/>
          <w:lang w:val="en-US" w:eastAsia="zh-CN"/>
        </w:rPr>
        <w:t>91.07%</w:t>
      </w:r>
      <w:r>
        <w:rPr>
          <w:rFonts w:hint="eastAsia" w:ascii="宋体" w:hAnsi="宋体"/>
          <w:bCs/>
          <w:color w:val="000000"/>
          <w:sz w:val="24"/>
          <w:szCs w:val="24"/>
        </w:rPr>
        <w:t>。</w:t>
      </w:r>
      <w:r>
        <w:rPr>
          <w:rFonts w:hint="eastAsia" w:ascii="宋体" w:hAnsi="宋体"/>
          <w:sz w:val="24"/>
          <w:szCs w:val="24"/>
        </w:rPr>
        <w:t>在签订有效就业协议的毕业生中，</w:t>
      </w:r>
      <w:r>
        <w:rPr>
          <w:rFonts w:hint="eastAsia" w:ascii="宋体" w:hAnsi="宋体"/>
          <w:color w:val="000000"/>
          <w:sz w:val="24"/>
          <w:szCs w:val="24"/>
        </w:rPr>
        <w:t>有</w:t>
      </w:r>
      <w:r>
        <w:rPr>
          <w:rFonts w:hint="eastAsia" w:ascii="宋体" w:hAnsi="宋体"/>
          <w:bCs/>
          <w:color w:val="000000"/>
          <w:sz w:val="24"/>
          <w:szCs w:val="24"/>
          <w:lang w:val="en-US" w:eastAsia="zh-CN"/>
        </w:rPr>
        <w:t>16</w:t>
      </w:r>
      <w:r>
        <w:rPr>
          <w:rFonts w:hint="eastAsia" w:ascii="宋体" w:hAnsi="宋体"/>
          <w:color w:val="000000"/>
          <w:sz w:val="24"/>
          <w:szCs w:val="24"/>
        </w:rPr>
        <w:t>人留在安徽省内就业，</w:t>
      </w:r>
      <w:r>
        <w:rPr>
          <w:rFonts w:hint="eastAsia" w:ascii="宋体" w:hAnsi="宋体"/>
          <w:color w:val="000000"/>
          <w:sz w:val="24"/>
          <w:szCs w:val="24"/>
          <w:lang w:val="en-US" w:eastAsia="zh-CN"/>
        </w:rPr>
        <w:t>其中13人在</w:t>
      </w:r>
      <w:r>
        <w:rPr>
          <w:rFonts w:hint="eastAsia" w:ascii="宋体" w:hAnsi="宋体"/>
          <w:color w:val="000000"/>
          <w:sz w:val="24"/>
          <w:szCs w:val="24"/>
        </w:rPr>
        <w:t>合肥市</w:t>
      </w:r>
      <w:r>
        <w:rPr>
          <w:rFonts w:hint="eastAsia" w:ascii="宋体" w:hAnsi="宋体"/>
          <w:color w:val="000000"/>
          <w:sz w:val="24"/>
          <w:szCs w:val="24"/>
          <w:lang w:val="en-US" w:eastAsia="zh-CN"/>
        </w:rPr>
        <w:t>就业，省内就业占比31.37%</w:t>
      </w:r>
      <w:r>
        <w:rPr>
          <w:rFonts w:hint="eastAsia" w:ascii="宋体" w:hAnsi="宋体"/>
          <w:color w:val="000000"/>
          <w:sz w:val="24"/>
          <w:szCs w:val="24"/>
        </w:rPr>
        <w:t>；其他</w:t>
      </w:r>
      <w:r>
        <w:rPr>
          <w:rFonts w:hint="eastAsia" w:ascii="宋体" w:hAnsi="宋体"/>
          <w:color w:val="000000"/>
          <w:sz w:val="24"/>
          <w:szCs w:val="24"/>
          <w:lang w:val="en-US" w:eastAsia="zh-CN"/>
        </w:rPr>
        <w:t>30</w:t>
      </w:r>
      <w:r>
        <w:rPr>
          <w:rFonts w:hint="eastAsia" w:ascii="宋体" w:hAnsi="宋体"/>
          <w:color w:val="000000"/>
          <w:sz w:val="24"/>
          <w:szCs w:val="24"/>
        </w:rPr>
        <w:t>人在外省就业，其中</w:t>
      </w:r>
      <w:r>
        <w:rPr>
          <w:rFonts w:hint="eastAsia" w:ascii="宋体" w:hAnsi="宋体"/>
          <w:color w:val="000000"/>
          <w:sz w:val="24"/>
          <w:szCs w:val="24"/>
          <w:lang w:val="en-US" w:eastAsia="zh-CN"/>
        </w:rPr>
        <w:t>北京4人，广东</w:t>
      </w:r>
      <w:r>
        <w:rPr>
          <w:rFonts w:hint="eastAsia" w:ascii="宋体" w:hAnsi="宋体"/>
          <w:bCs/>
          <w:color w:val="000000"/>
          <w:sz w:val="24"/>
          <w:szCs w:val="24"/>
          <w:lang w:val="en-US" w:eastAsia="zh-CN"/>
        </w:rPr>
        <w:t>3</w:t>
      </w:r>
      <w:r>
        <w:rPr>
          <w:rFonts w:hint="eastAsia" w:ascii="宋体" w:hAnsi="宋体"/>
          <w:color w:val="000000"/>
          <w:sz w:val="24"/>
          <w:szCs w:val="24"/>
        </w:rPr>
        <w:t>人，</w:t>
      </w:r>
      <w:r>
        <w:rPr>
          <w:rFonts w:hint="eastAsia" w:ascii="宋体" w:hAnsi="宋体"/>
          <w:color w:val="000000"/>
          <w:sz w:val="24"/>
          <w:szCs w:val="24"/>
          <w:lang w:val="en-US" w:eastAsia="zh-CN"/>
        </w:rPr>
        <w:t>江苏5人，山东2人，上海3人，</w:t>
      </w:r>
      <w:r>
        <w:rPr>
          <w:rFonts w:hint="eastAsia" w:ascii="宋体" w:hAnsi="宋体"/>
          <w:color w:val="000000"/>
          <w:sz w:val="24"/>
          <w:szCs w:val="24"/>
        </w:rPr>
        <w:t>浙江</w:t>
      </w:r>
      <w:r>
        <w:rPr>
          <w:rFonts w:hint="eastAsia" w:ascii="宋体" w:hAnsi="宋体"/>
          <w:color w:val="000000"/>
          <w:sz w:val="24"/>
          <w:szCs w:val="24"/>
          <w:lang w:val="en-US" w:eastAsia="zh-CN"/>
        </w:rPr>
        <w:t>10</w:t>
      </w:r>
      <w:r>
        <w:rPr>
          <w:rFonts w:hint="eastAsia" w:ascii="宋体" w:hAnsi="宋体"/>
          <w:color w:val="000000"/>
          <w:sz w:val="24"/>
          <w:szCs w:val="24"/>
        </w:rPr>
        <w:t>人</w:t>
      </w:r>
      <w:r>
        <w:rPr>
          <w:rFonts w:hint="eastAsia" w:ascii="宋体" w:hAnsi="宋体"/>
          <w:color w:val="000000"/>
          <w:sz w:val="24"/>
          <w:szCs w:val="24"/>
          <w:lang w:eastAsia="zh-CN"/>
        </w:rPr>
        <w:t>，</w:t>
      </w:r>
      <w:r>
        <w:rPr>
          <w:rFonts w:hint="eastAsia" w:ascii="宋体" w:hAnsi="宋体"/>
          <w:color w:val="000000"/>
          <w:sz w:val="24"/>
          <w:szCs w:val="24"/>
          <w:lang w:val="en-US" w:eastAsia="zh-CN"/>
        </w:rPr>
        <w:t>广西、河北、江西各1</w:t>
      </w:r>
      <w:r>
        <w:rPr>
          <w:rFonts w:hint="eastAsia" w:ascii="宋体" w:hAnsi="宋体"/>
          <w:color w:val="000000"/>
          <w:sz w:val="24"/>
          <w:szCs w:val="24"/>
        </w:rPr>
        <w:t>人。</w:t>
      </w:r>
    </w:p>
    <w:p>
      <w:pPr>
        <w:spacing w:line="360" w:lineRule="auto"/>
        <w:ind w:firstLine="480" w:firstLineChars="200"/>
        <w:jc w:val="left"/>
        <w:rPr>
          <w:rFonts w:hint="eastAsia" w:ascii="宋体" w:hAnsi="宋体" w:eastAsia="宋体"/>
          <w:color w:val="000000"/>
          <w:sz w:val="24"/>
          <w:szCs w:val="24"/>
          <w:lang w:eastAsia="zh-CN"/>
        </w:rPr>
      </w:pPr>
      <w:r>
        <w:rPr>
          <w:rFonts w:hint="eastAsia" w:ascii="宋体" w:hAnsi="宋体" w:eastAsia="宋体"/>
          <w:color w:val="000000"/>
          <w:sz w:val="24"/>
          <w:szCs w:val="24"/>
          <w:lang w:eastAsia="zh-CN"/>
        </w:rPr>
        <w:object>
          <v:shape id="_x0000_i1029" o:spt="75" type="#_x0000_t75" style="height:250.4pt;width:367.2pt;" o:ole="t" filled="f" o:preferrelative="t" stroked="f" coordsize="21600,21600">
            <v:path/>
            <v:fill on="f" focussize="0,0"/>
            <v:stroke on="f"/>
            <v:imagedata r:id="rId52" o:title=""/>
            <o:lock v:ext="edit" aspectratio="t"/>
            <w10:wrap type="none"/>
            <w10:anchorlock/>
          </v:shape>
          <o:OLEObject Type="Embed" ProgID="Excel.Chart.8" ShapeID="_x0000_i1029" DrawAspect="Content" ObjectID="_1468075731" r:id="rId51">
            <o:LockedField>false</o:LockedField>
          </o:OLEObject>
        </w:object>
      </w:r>
    </w:p>
    <w:p>
      <w:pPr>
        <w:spacing w:line="360" w:lineRule="auto"/>
        <w:jc w:val="center"/>
        <w:rPr>
          <w:rFonts w:hint="eastAsia" w:ascii="宋体" w:hAnsi="宋体" w:eastAsia="宋体"/>
          <w:color w:val="000000"/>
          <w:sz w:val="24"/>
          <w:szCs w:val="24"/>
          <w:lang w:eastAsia="zh-CN"/>
        </w:rPr>
      </w:pPr>
      <w:r>
        <w:rPr>
          <w:rFonts w:hint="eastAsia" w:ascii="华文仿宋" w:hAnsi="华文仿宋" w:eastAsia="华文仿宋" w:cs="华文仿宋"/>
          <w:bCs/>
          <w:color w:val="000000"/>
          <w:sz w:val="21"/>
          <w:szCs w:val="21"/>
          <w:lang w:val="en-US" w:eastAsia="zh-CN"/>
        </w:rPr>
        <w:t>图1-5设计学院产品设计专业2022届毕业生就业分布情况统计表</w:t>
      </w:r>
    </w:p>
    <w:p>
      <w:pPr>
        <w:keepNext w:val="0"/>
        <w:keepLines w:val="0"/>
        <w:pageBreakBefore w:val="0"/>
        <w:kinsoku/>
        <w:wordWrap/>
        <w:overflowPunct/>
        <w:topLinePunct w:val="0"/>
        <w:autoSpaceDE/>
        <w:autoSpaceDN/>
        <w:bidi w:val="0"/>
        <w:adjustRightInd/>
        <w:snapToGrid/>
        <w:spacing w:line="360" w:lineRule="auto"/>
        <w:ind w:firstLine="480" w:firstLineChars="200"/>
        <w:jc w:val="left"/>
        <w:textAlignment w:val="auto"/>
        <w:rPr>
          <w:rFonts w:hint="default" w:ascii="宋体" w:hAnsi="宋体" w:eastAsia="宋体"/>
          <w:color w:val="000000"/>
          <w:sz w:val="24"/>
          <w:szCs w:val="24"/>
          <w:lang w:val="en-US" w:eastAsia="zh-CN"/>
        </w:rPr>
      </w:pPr>
      <w:r>
        <w:rPr>
          <w:rFonts w:hint="eastAsia" w:ascii="宋体" w:hAnsi="宋体"/>
          <w:bCs/>
          <w:color w:val="000000"/>
          <w:sz w:val="24"/>
          <w:szCs w:val="24"/>
          <w:lang w:val="en-US" w:eastAsia="zh-CN"/>
        </w:rPr>
        <w:t>动画</w:t>
      </w:r>
      <w:r>
        <w:rPr>
          <w:rFonts w:hint="eastAsia" w:ascii="宋体" w:hAnsi="宋体"/>
          <w:color w:val="000000"/>
          <w:sz w:val="24"/>
          <w:szCs w:val="24"/>
        </w:rPr>
        <w:t>专业本科毕业生有</w:t>
      </w:r>
      <w:r>
        <w:rPr>
          <w:rFonts w:hint="eastAsia" w:ascii="宋体" w:hAnsi="宋体"/>
          <w:bCs/>
          <w:color w:val="000000"/>
          <w:sz w:val="24"/>
          <w:szCs w:val="24"/>
          <w:lang w:val="en-US" w:eastAsia="zh-CN"/>
        </w:rPr>
        <w:t>29</w:t>
      </w:r>
      <w:r>
        <w:rPr>
          <w:rFonts w:hint="eastAsia" w:ascii="宋体" w:hAnsi="宋体"/>
          <w:color w:val="000000"/>
          <w:sz w:val="24"/>
          <w:szCs w:val="24"/>
        </w:rPr>
        <w:t>人，签订有效就业协议</w:t>
      </w:r>
      <w:r>
        <w:rPr>
          <w:rFonts w:hint="eastAsia" w:ascii="宋体" w:hAnsi="宋体"/>
          <w:bCs/>
          <w:color w:val="000000"/>
          <w:sz w:val="24"/>
          <w:szCs w:val="24"/>
          <w:lang w:val="en-US" w:eastAsia="zh-CN"/>
        </w:rPr>
        <w:t>27</w:t>
      </w:r>
      <w:r>
        <w:rPr>
          <w:rFonts w:hint="eastAsia" w:ascii="宋体" w:hAnsi="宋体"/>
          <w:color w:val="000000"/>
          <w:sz w:val="24"/>
          <w:szCs w:val="24"/>
        </w:rPr>
        <w:t>人，</w:t>
      </w:r>
      <w:r>
        <w:rPr>
          <w:rFonts w:hint="eastAsia" w:ascii="宋体" w:hAnsi="宋体" w:cs="宋体"/>
          <w:color w:val="000000"/>
          <w:kern w:val="0"/>
          <w:sz w:val="24"/>
          <w:szCs w:val="24"/>
          <w:lang w:val="en-US" w:eastAsia="zh-CN"/>
        </w:rPr>
        <w:t>参军1人，</w:t>
      </w:r>
      <w:r>
        <w:rPr>
          <w:rFonts w:hint="eastAsia" w:ascii="宋体" w:hAnsi="宋体"/>
          <w:color w:val="000000"/>
          <w:sz w:val="24"/>
          <w:szCs w:val="24"/>
        </w:rPr>
        <w:t>就业率为</w:t>
      </w:r>
      <w:r>
        <w:rPr>
          <w:rFonts w:hint="eastAsia" w:ascii="宋体" w:hAnsi="宋体"/>
          <w:color w:val="000000"/>
          <w:sz w:val="24"/>
          <w:szCs w:val="24"/>
          <w:lang w:val="en-US" w:eastAsia="zh-CN"/>
        </w:rPr>
        <w:t>96.55</w:t>
      </w:r>
      <w:r>
        <w:rPr>
          <w:rFonts w:hint="eastAsia" w:ascii="宋体" w:hAnsi="宋体"/>
          <w:bCs/>
          <w:color w:val="000000"/>
          <w:sz w:val="24"/>
          <w:szCs w:val="24"/>
          <w:lang w:val="en-US" w:eastAsia="zh-CN"/>
        </w:rPr>
        <w:t>%</w:t>
      </w:r>
      <w:r>
        <w:rPr>
          <w:rFonts w:hint="eastAsia" w:ascii="宋体" w:hAnsi="宋体"/>
          <w:color w:val="000000"/>
          <w:sz w:val="24"/>
          <w:szCs w:val="24"/>
        </w:rPr>
        <w:t>。</w:t>
      </w:r>
      <w:r>
        <w:rPr>
          <w:rFonts w:hint="eastAsia" w:ascii="宋体" w:hAnsi="宋体"/>
          <w:sz w:val="24"/>
          <w:szCs w:val="24"/>
        </w:rPr>
        <w:t>在签订有效就业协议的毕业生中，</w:t>
      </w:r>
      <w:r>
        <w:rPr>
          <w:rFonts w:hint="eastAsia" w:ascii="宋体" w:hAnsi="宋体"/>
          <w:color w:val="000000"/>
          <w:sz w:val="24"/>
          <w:szCs w:val="24"/>
        </w:rPr>
        <w:t>有</w:t>
      </w:r>
      <w:r>
        <w:rPr>
          <w:rFonts w:hint="eastAsia" w:ascii="宋体" w:hAnsi="宋体"/>
          <w:color w:val="000000"/>
          <w:sz w:val="24"/>
          <w:szCs w:val="24"/>
          <w:lang w:val="en-US" w:eastAsia="zh-CN"/>
        </w:rPr>
        <w:t>16</w:t>
      </w:r>
      <w:r>
        <w:rPr>
          <w:rFonts w:hint="eastAsia" w:ascii="宋体" w:hAnsi="宋体"/>
          <w:color w:val="000000"/>
          <w:sz w:val="24"/>
          <w:szCs w:val="24"/>
        </w:rPr>
        <w:t>人在安徽省内就业，其中</w:t>
      </w:r>
      <w:r>
        <w:rPr>
          <w:rFonts w:hint="eastAsia" w:ascii="宋体" w:hAnsi="宋体"/>
          <w:color w:val="000000"/>
          <w:sz w:val="24"/>
          <w:szCs w:val="24"/>
          <w:lang w:val="en-US" w:eastAsia="zh-CN"/>
        </w:rPr>
        <w:t>15</w:t>
      </w:r>
      <w:r>
        <w:rPr>
          <w:rFonts w:hint="eastAsia" w:ascii="宋体" w:hAnsi="宋体"/>
          <w:color w:val="000000"/>
          <w:sz w:val="24"/>
          <w:szCs w:val="24"/>
        </w:rPr>
        <w:t>人在合肥市工作</w:t>
      </w:r>
      <w:r>
        <w:rPr>
          <w:rFonts w:hint="eastAsia" w:ascii="宋体" w:hAnsi="宋体"/>
          <w:color w:val="000000"/>
          <w:sz w:val="24"/>
          <w:szCs w:val="24"/>
          <w:lang w:eastAsia="zh-CN"/>
        </w:rPr>
        <w:t>，</w:t>
      </w:r>
      <w:r>
        <w:rPr>
          <w:rFonts w:hint="eastAsia" w:ascii="宋体" w:hAnsi="宋体"/>
          <w:color w:val="000000"/>
          <w:sz w:val="24"/>
          <w:szCs w:val="24"/>
          <w:lang w:val="en-US" w:eastAsia="zh-CN"/>
        </w:rPr>
        <w:t>省内就业占比59.26%</w:t>
      </w:r>
      <w:r>
        <w:rPr>
          <w:rFonts w:hint="eastAsia" w:ascii="宋体" w:hAnsi="宋体"/>
          <w:color w:val="000000"/>
          <w:sz w:val="24"/>
          <w:szCs w:val="24"/>
        </w:rPr>
        <w:t>；</w:t>
      </w:r>
      <w:r>
        <w:rPr>
          <w:rFonts w:hint="eastAsia" w:ascii="宋体" w:hAnsi="宋体"/>
          <w:color w:val="000000"/>
          <w:sz w:val="24"/>
          <w:szCs w:val="24"/>
          <w:lang w:val="en-US" w:eastAsia="zh-CN"/>
        </w:rPr>
        <w:t>11</w:t>
      </w:r>
      <w:r>
        <w:rPr>
          <w:rFonts w:hint="eastAsia" w:ascii="宋体" w:hAnsi="宋体"/>
          <w:color w:val="000000"/>
          <w:sz w:val="24"/>
          <w:szCs w:val="24"/>
        </w:rPr>
        <w:t>人在外省就业，其中</w:t>
      </w:r>
      <w:r>
        <w:rPr>
          <w:rFonts w:hint="eastAsia" w:ascii="宋体" w:hAnsi="宋体"/>
          <w:color w:val="000000"/>
          <w:sz w:val="24"/>
          <w:szCs w:val="24"/>
          <w:lang w:val="en-US" w:eastAsia="zh-CN"/>
        </w:rPr>
        <w:t>上海2人，</w:t>
      </w:r>
      <w:r>
        <w:rPr>
          <w:rFonts w:hint="eastAsia" w:ascii="宋体" w:hAnsi="宋体"/>
          <w:color w:val="000000"/>
          <w:sz w:val="24"/>
          <w:szCs w:val="24"/>
        </w:rPr>
        <w:t>浙江</w:t>
      </w:r>
      <w:r>
        <w:rPr>
          <w:rFonts w:hint="eastAsia" w:ascii="宋体" w:hAnsi="宋体"/>
          <w:color w:val="000000"/>
          <w:sz w:val="24"/>
          <w:szCs w:val="24"/>
          <w:lang w:val="en-US" w:eastAsia="zh-CN"/>
        </w:rPr>
        <w:t>5</w:t>
      </w:r>
      <w:r>
        <w:rPr>
          <w:rFonts w:hint="eastAsia" w:ascii="宋体" w:hAnsi="宋体"/>
          <w:color w:val="000000"/>
          <w:sz w:val="24"/>
          <w:szCs w:val="24"/>
        </w:rPr>
        <w:t>人。</w:t>
      </w:r>
      <w:r>
        <w:rPr>
          <w:rFonts w:hint="eastAsia" w:ascii="宋体" w:hAnsi="宋体"/>
          <w:color w:val="000000"/>
          <w:sz w:val="24"/>
          <w:szCs w:val="24"/>
          <w:lang w:val="en-US" w:eastAsia="zh-CN"/>
        </w:rPr>
        <w:t>湖南、江苏、山东、四川各1人。</w:t>
      </w:r>
    </w:p>
    <w:p>
      <w:pPr>
        <w:spacing w:line="360" w:lineRule="auto"/>
        <w:ind w:firstLine="480" w:firstLineChars="200"/>
        <w:jc w:val="left"/>
        <w:rPr>
          <w:rFonts w:hint="eastAsia" w:ascii="宋体" w:hAnsi="宋体" w:eastAsia="宋体"/>
          <w:color w:val="000000"/>
          <w:sz w:val="24"/>
          <w:szCs w:val="24"/>
          <w:lang w:eastAsia="zh-CN"/>
        </w:rPr>
      </w:pPr>
      <w:r>
        <w:rPr>
          <w:rFonts w:hint="eastAsia" w:ascii="宋体" w:hAnsi="宋体" w:eastAsia="宋体"/>
          <w:color w:val="000000"/>
          <w:sz w:val="24"/>
          <w:szCs w:val="24"/>
          <w:lang w:eastAsia="zh-CN"/>
        </w:rPr>
        <w:object>
          <v:shape id="_x0000_i1030" o:spt="75" type="#_x0000_t75" style="height:242.4pt;width:367.2pt;" o:ole="t" filled="f" o:preferrelative="t" stroked="f" coordsize="21600,21600">
            <v:path/>
            <v:fill on="f" focussize="0,0"/>
            <v:stroke on="f"/>
            <v:imagedata r:id="rId54" o:title=""/>
            <o:lock v:ext="edit" aspectratio="t"/>
            <w10:wrap type="none"/>
            <w10:anchorlock/>
          </v:shape>
          <o:OLEObject Type="Embed" ProgID="Excel.Chart.8" ShapeID="_x0000_i1030" DrawAspect="Content" ObjectID="_1468075732" r:id="rId53">
            <o:LockedField>false</o:LockedField>
          </o:OLEObject>
        </w:object>
      </w:r>
    </w:p>
    <w:p>
      <w:pPr>
        <w:spacing w:line="360" w:lineRule="auto"/>
        <w:jc w:val="center"/>
        <w:rPr>
          <w:rFonts w:hint="eastAsia" w:ascii="华文仿宋" w:hAnsi="华文仿宋" w:eastAsia="华文仿宋" w:cs="华文仿宋"/>
          <w:bCs/>
          <w:color w:val="000000"/>
          <w:sz w:val="21"/>
          <w:szCs w:val="21"/>
          <w:lang w:val="en-US" w:eastAsia="zh-CN"/>
        </w:rPr>
      </w:pPr>
      <w:r>
        <w:rPr>
          <w:rFonts w:hint="eastAsia" w:ascii="华文仿宋" w:hAnsi="华文仿宋" w:eastAsia="华文仿宋" w:cs="华文仿宋"/>
          <w:bCs/>
          <w:color w:val="000000"/>
          <w:sz w:val="21"/>
          <w:szCs w:val="21"/>
          <w:lang w:val="en-US" w:eastAsia="zh-CN"/>
        </w:rPr>
        <w:t>图1-6设计学院动画专业2022届毕业生就业分布情况统计表</w:t>
      </w:r>
    </w:p>
    <w:p>
      <w:pPr>
        <w:spacing w:line="360" w:lineRule="auto"/>
        <w:ind w:firstLine="480" w:firstLineChars="200"/>
        <w:jc w:val="left"/>
        <w:rPr>
          <w:rFonts w:hint="eastAsia" w:ascii="宋体" w:hAnsi="宋体"/>
          <w:sz w:val="24"/>
          <w:szCs w:val="24"/>
        </w:rPr>
      </w:pPr>
      <w:r>
        <w:rPr>
          <w:rFonts w:hint="eastAsia" w:ascii="宋体" w:hAnsi="宋体"/>
          <w:bCs/>
          <w:color w:val="000000"/>
          <w:sz w:val="24"/>
          <w:szCs w:val="24"/>
        </w:rPr>
        <w:t>艺术与科技</w:t>
      </w:r>
      <w:r>
        <w:rPr>
          <w:rFonts w:hint="eastAsia" w:ascii="宋体" w:hAnsi="宋体"/>
          <w:color w:val="000000"/>
          <w:sz w:val="24"/>
          <w:szCs w:val="24"/>
        </w:rPr>
        <w:t>专业本科毕业生有</w:t>
      </w:r>
      <w:r>
        <w:rPr>
          <w:rFonts w:hint="eastAsia" w:ascii="宋体" w:hAnsi="宋体"/>
          <w:bCs/>
          <w:color w:val="000000"/>
          <w:sz w:val="24"/>
          <w:szCs w:val="24"/>
          <w:lang w:val="en-US" w:eastAsia="zh-CN"/>
        </w:rPr>
        <w:t>28</w:t>
      </w:r>
      <w:r>
        <w:rPr>
          <w:rFonts w:hint="eastAsia" w:ascii="宋体" w:hAnsi="宋体"/>
          <w:color w:val="000000"/>
          <w:sz w:val="24"/>
          <w:szCs w:val="24"/>
        </w:rPr>
        <w:t>人，签订有效就业协议或劳动合同</w:t>
      </w:r>
      <w:r>
        <w:rPr>
          <w:rFonts w:hint="eastAsia" w:ascii="宋体" w:hAnsi="宋体"/>
          <w:color w:val="000000"/>
          <w:sz w:val="24"/>
          <w:szCs w:val="24"/>
          <w:lang w:val="en-US" w:eastAsia="zh-CN"/>
        </w:rPr>
        <w:t>25</w:t>
      </w:r>
      <w:r>
        <w:rPr>
          <w:rFonts w:hint="eastAsia" w:ascii="宋体" w:hAnsi="宋体"/>
          <w:color w:val="000000"/>
          <w:sz w:val="24"/>
          <w:szCs w:val="24"/>
        </w:rPr>
        <w:t>人，</w:t>
      </w:r>
      <w:r>
        <w:rPr>
          <w:rFonts w:hint="eastAsia" w:ascii="宋体" w:hAnsi="宋体"/>
          <w:color w:val="000000"/>
          <w:sz w:val="24"/>
          <w:szCs w:val="24"/>
          <w:lang w:val="en-US" w:eastAsia="zh-CN"/>
        </w:rPr>
        <w:t>参军1人，升学2人，</w:t>
      </w:r>
      <w:r>
        <w:rPr>
          <w:rFonts w:hint="eastAsia" w:ascii="宋体" w:hAnsi="宋体"/>
          <w:color w:val="000000"/>
          <w:sz w:val="24"/>
          <w:szCs w:val="24"/>
        </w:rPr>
        <w:t>就业率为</w:t>
      </w:r>
      <w:r>
        <w:rPr>
          <w:rFonts w:hint="eastAsia" w:ascii="宋体" w:hAnsi="宋体"/>
          <w:bCs/>
          <w:color w:val="000000"/>
          <w:sz w:val="24"/>
          <w:szCs w:val="24"/>
          <w:lang w:val="en-US" w:eastAsia="zh-CN"/>
        </w:rPr>
        <w:t>100</w:t>
      </w:r>
      <w:r>
        <w:rPr>
          <w:rFonts w:hint="eastAsia" w:ascii="宋体" w:hAnsi="宋体"/>
          <w:bCs/>
          <w:color w:val="000000"/>
          <w:sz w:val="24"/>
          <w:szCs w:val="24"/>
        </w:rPr>
        <w:t>%</w:t>
      </w:r>
      <w:r>
        <w:rPr>
          <w:rFonts w:hint="eastAsia" w:ascii="宋体" w:hAnsi="宋体"/>
          <w:color w:val="000000"/>
          <w:sz w:val="24"/>
          <w:szCs w:val="24"/>
        </w:rPr>
        <w:t>。</w:t>
      </w:r>
      <w:r>
        <w:rPr>
          <w:rFonts w:hint="eastAsia" w:ascii="宋体" w:hAnsi="宋体"/>
          <w:sz w:val="24"/>
          <w:szCs w:val="24"/>
        </w:rPr>
        <w:t>在签订有效就业协议的毕业生中，</w:t>
      </w:r>
      <w:r>
        <w:rPr>
          <w:rFonts w:hint="eastAsia" w:ascii="宋体" w:hAnsi="宋体"/>
          <w:color w:val="000000"/>
          <w:sz w:val="24"/>
          <w:szCs w:val="24"/>
        </w:rPr>
        <w:t>毕业生有</w:t>
      </w:r>
      <w:r>
        <w:rPr>
          <w:rFonts w:hint="eastAsia" w:ascii="宋体" w:hAnsi="宋体"/>
          <w:bCs/>
          <w:color w:val="000000"/>
          <w:sz w:val="24"/>
          <w:szCs w:val="24"/>
          <w:lang w:val="en-US" w:eastAsia="zh-CN"/>
        </w:rPr>
        <w:t>16</w:t>
      </w:r>
      <w:r>
        <w:rPr>
          <w:rFonts w:hint="eastAsia" w:ascii="宋体" w:hAnsi="宋体"/>
          <w:color w:val="000000"/>
          <w:sz w:val="24"/>
          <w:szCs w:val="24"/>
        </w:rPr>
        <w:t>人在安徽省内就业，其中</w:t>
      </w:r>
      <w:r>
        <w:rPr>
          <w:rFonts w:hint="eastAsia" w:ascii="宋体" w:hAnsi="宋体"/>
          <w:bCs/>
          <w:color w:val="000000"/>
          <w:sz w:val="24"/>
          <w:szCs w:val="24"/>
          <w:lang w:val="en-US" w:eastAsia="zh-CN"/>
        </w:rPr>
        <w:t>12</w:t>
      </w:r>
      <w:r>
        <w:rPr>
          <w:rFonts w:hint="eastAsia" w:ascii="宋体" w:hAnsi="宋体"/>
          <w:color w:val="000000"/>
          <w:sz w:val="24"/>
          <w:szCs w:val="24"/>
        </w:rPr>
        <w:t>人在合肥</w:t>
      </w:r>
      <w:r>
        <w:rPr>
          <w:rFonts w:hint="eastAsia" w:ascii="宋体" w:hAnsi="宋体"/>
          <w:color w:val="000000"/>
          <w:sz w:val="24"/>
          <w:szCs w:val="24"/>
          <w:lang w:eastAsia="zh-CN"/>
        </w:rPr>
        <w:t>，</w:t>
      </w:r>
      <w:r>
        <w:rPr>
          <w:rFonts w:hint="eastAsia" w:ascii="宋体" w:hAnsi="宋体"/>
          <w:color w:val="000000"/>
          <w:sz w:val="24"/>
          <w:szCs w:val="24"/>
          <w:lang w:val="en-US" w:eastAsia="zh-CN"/>
        </w:rPr>
        <w:t>省内就业占比64.00%</w:t>
      </w:r>
      <w:r>
        <w:rPr>
          <w:rFonts w:hint="eastAsia" w:ascii="宋体" w:hAnsi="宋体"/>
          <w:color w:val="000000"/>
          <w:sz w:val="24"/>
          <w:szCs w:val="24"/>
        </w:rPr>
        <w:t>；另外</w:t>
      </w:r>
      <w:r>
        <w:rPr>
          <w:rFonts w:hint="eastAsia" w:ascii="宋体" w:hAnsi="宋体"/>
          <w:bCs/>
          <w:color w:val="000000"/>
          <w:sz w:val="24"/>
          <w:szCs w:val="24"/>
          <w:lang w:val="en-US" w:eastAsia="zh-CN"/>
        </w:rPr>
        <w:t>9</w:t>
      </w:r>
      <w:r>
        <w:rPr>
          <w:rFonts w:hint="eastAsia" w:ascii="宋体" w:hAnsi="宋体"/>
          <w:color w:val="000000"/>
          <w:sz w:val="24"/>
          <w:szCs w:val="24"/>
        </w:rPr>
        <w:t>人外省就业，其中</w:t>
      </w:r>
      <w:r>
        <w:rPr>
          <w:rFonts w:hint="eastAsia" w:ascii="宋体" w:hAnsi="宋体"/>
          <w:color w:val="000000"/>
          <w:sz w:val="24"/>
          <w:szCs w:val="24"/>
          <w:lang w:val="en-US" w:eastAsia="zh-CN"/>
        </w:rPr>
        <w:t>浙江4</w:t>
      </w:r>
      <w:r>
        <w:rPr>
          <w:rFonts w:hint="eastAsia" w:ascii="宋体" w:hAnsi="宋体"/>
          <w:color w:val="000000"/>
          <w:sz w:val="24"/>
          <w:szCs w:val="24"/>
        </w:rPr>
        <w:t>人</w:t>
      </w:r>
      <w:r>
        <w:rPr>
          <w:rFonts w:hint="eastAsia" w:ascii="宋体" w:hAnsi="宋体"/>
          <w:color w:val="000000"/>
          <w:sz w:val="24"/>
          <w:szCs w:val="24"/>
          <w:lang w:eastAsia="zh-CN"/>
        </w:rPr>
        <w:t>，</w:t>
      </w:r>
      <w:r>
        <w:rPr>
          <w:rFonts w:hint="eastAsia" w:ascii="宋体" w:hAnsi="宋体"/>
          <w:color w:val="000000"/>
          <w:sz w:val="24"/>
          <w:szCs w:val="24"/>
          <w:lang w:val="en-US" w:eastAsia="zh-CN"/>
        </w:rPr>
        <w:t>山西2人，河北、湖</w:t>
      </w:r>
      <w:r>
        <w:rPr>
          <w:rFonts w:hint="eastAsia" w:ascii="宋体" w:hAnsi="宋体"/>
          <w:color w:val="000000"/>
          <w:sz w:val="24"/>
          <w:szCs w:val="24"/>
        </w:rPr>
        <w:t>南</w:t>
      </w:r>
      <w:r>
        <w:rPr>
          <w:rFonts w:hint="eastAsia" w:ascii="宋体" w:hAnsi="宋体"/>
          <w:color w:val="000000"/>
          <w:sz w:val="24"/>
          <w:szCs w:val="24"/>
          <w:lang w:eastAsia="zh-CN"/>
        </w:rPr>
        <w:t>、</w:t>
      </w:r>
      <w:r>
        <w:rPr>
          <w:rFonts w:hint="eastAsia" w:ascii="宋体" w:hAnsi="宋体"/>
          <w:color w:val="000000"/>
          <w:sz w:val="24"/>
          <w:szCs w:val="24"/>
          <w:lang w:val="en-US" w:eastAsia="zh-CN"/>
        </w:rPr>
        <w:t>江苏各1</w:t>
      </w:r>
      <w:r>
        <w:rPr>
          <w:rFonts w:hint="eastAsia" w:ascii="宋体" w:hAnsi="宋体"/>
          <w:color w:val="000000"/>
          <w:sz w:val="24"/>
          <w:szCs w:val="24"/>
        </w:rPr>
        <w:t>人</w:t>
      </w:r>
      <w:r>
        <w:rPr>
          <w:rFonts w:hint="eastAsia" w:ascii="宋体" w:hAnsi="宋体"/>
          <w:color w:val="000000"/>
          <w:sz w:val="24"/>
          <w:szCs w:val="24"/>
          <w:lang w:eastAsia="zh-CN"/>
        </w:rPr>
        <w:t>。</w:t>
      </w:r>
    </w:p>
    <w:p>
      <w:pPr>
        <w:rPr>
          <w:rFonts w:hint="eastAsia" w:ascii="宋体" w:hAnsi="宋体"/>
          <w:sz w:val="24"/>
          <w:szCs w:val="24"/>
        </w:rPr>
      </w:pPr>
      <w:r>
        <w:rPr>
          <w:rFonts w:hint="eastAsia" w:ascii="宋体" w:hAnsi="宋体"/>
          <w:sz w:val="24"/>
          <w:szCs w:val="24"/>
        </w:rPr>
        <w:t xml:space="preserve">    </w:t>
      </w:r>
      <w:r>
        <w:rPr>
          <w:rFonts w:hint="eastAsia" w:ascii="宋体" w:hAnsi="宋体"/>
          <w:sz w:val="24"/>
          <w:szCs w:val="24"/>
        </w:rPr>
        <w:object>
          <v:shape id="_x0000_i1031" o:spt="75" type="#_x0000_t75" style="height:242.4pt;width:367.2pt;" o:ole="t" filled="f" o:preferrelative="t" stroked="f" coordsize="21600,21600">
            <v:path/>
            <v:fill on="f" focussize="0,0"/>
            <v:stroke on="f"/>
            <v:imagedata r:id="rId56" o:title=""/>
            <o:lock v:ext="edit" aspectratio="t"/>
            <w10:wrap type="none"/>
            <w10:anchorlock/>
          </v:shape>
          <o:OLEObject Type="Embed" ProgID="Excel.Chart.8" ShapeID="_x0000_i1031" DrawAspect="Content" ObjectID="_1468075733" r:id="rId55">
            <o:LockedField>false</o:LockedField>
          </o:OLEObject>
        </w:object>
      </w:r>
    </w:p>
    <w:p>
      <w:pPr>
        <w:spacing w:line="360" w:lineRule="auto"/>
        <w:jc w:val="center"/>
        <w:rPr>
          <w:rFonts w:hint="eastAsia" w:ascii="华文仿宋" w:hAnsi="华文仿宋" w:eastAsia="华文仿宋" w:cs="华文仿宋"/>
          <w:bCs/>
          <w:color w:val="000000"/>
          <w:sz w:val="21"/>
          <w:szCs w:val="21"/>
          <w:lang w:val="en-US" w:eastAsia="zh-CN"/>
        </w:rPr>
      </w:pPr>
      <w:r>
        <w:rPr>
          <w:rFonts w:hint="eastAsia" w:ascii="华文仿宋" w:hAnsi="华文仿宋" w:eastAsia="华文仿宋" w:cs="华文仿宋"/>
          <w:bCs/>
          <w:color w:val="000000"/>
          <w:sz w:val="21"/>
          <w:szCs w:val="21"/>
          <w:lang w:val="en-US" w:eastAsia="zh-CN"/>
        </w:rPr>
        <w:t>图1-7设计学院艺术与科技专业2022届毕业生就业分布情况统计表</w:t>
      </w:r>
    </w:p>
    <w:p>
      <w:pPr>
        <w:keepNext w:val="0"/>
        <w:keepLines w:val="0"/>
        <w:pageBreakBefore w:val="0"/>
        <w:widowControl/>
        <w:numPr>
          <w:ilvl w:val="0"/>
          <w:numId w:val="6"/>
        </w:numPr>
        <w:kinsoku/>
        <w:wordWrap/>
        <w:overflowPunct/>
        <w:topLinePunct w:val="0"/>
        <w:autoSpaceDE/>
        <w:autoSpaceDN/>
        <w:bidi w:val="0"/>
        <w:adjustRightInd/>
        <w:snapToGrid/>
        <w:spacing w:line="360" w:lineRule="auto"/>
        <w:ind w:left="0" w:leftChars="0" w:firstLine="0" w:firstLineChars="0"/>
        <w:textAlignment w:val="auto"/>
        <w:rPr>
          <w:rFonts w:hint="eastAsia" w:ascii="宋体" w:hAnsi="宋体" w:cs="宋体"/>
          <w:b/>
          <w:kern w:val="0"/>
          <w:sz w:val="24"/>
          <w:szCs w:val="24"/>
        </w:rPr>
      </w:pPr>
      <w:r>
        <w:rPr>
          <w:rFonts w:hint="eastAsia" w:ascii="宋体" w:hAnsi="宋体" w:cs="宋体"/>
          <w:b/>
          <w:kern w:val="0"/>
          <w:sz w:val="24"/>
          <w:szCs w:val="24"/>
          <w:lang w:eastAsia="zh-CN"/>
        </w:rPr>
        <w:t>设计学院</w:t>
      </w:r>
      <w:r>
        <w:rPr>
          <w:rFonts w:hint="eastAsia" w:ascii="宋体" w:hAnsi="宋体" w:cs="宋体"/>
          <w:b/>
          <w:kern w:val="0"/>
          <w:sz w:val="24"/>
          <w:szCs w:val="24"/>
        </w:rPr>
        <w:t>就业结构分析情况</w:t>
      </w:r>
    </w:p>
    <w:p>
      <w:pPr>
        <w:keepNext w:val="0"/>
        <w:keepLines w:val="0"/>
        <w:pageBreakBefore w:val="0"/>
        <w:widowControl/>
        <w:numPr>
          <w:ilvl w:val="0"/>
          <w:numId w:val="0"/>
        </w:numPr>
        <w:kinsoku/>
        <w:wordWrap/>
        <w:overflowPunct/>
        <w:topLinePunct w:val="0"/>
        <w:autoSpaceDE/>
        <w:autoSpaceDN/>
        <w:bidi w:val="0"/>
        <w:adjustRightInd/>
        <w:snapToGrid/>
        <w:spacing w:line="360" w:lineRule="auto"/>
        <w:ind w:leftChars="0"/>
        <w:textAlignment w:val="auto"/>
        <w:rPr>
          <w:rFonts w:hint="default" w:ascii="宋体" w:hAnsi="宋体" w:eastAsia="宋体" w:cs="宋体"/>
          <w:b/>
          <w:kern w:val="0"/>
          <w:sz w:val="24"/>
          <w:szCs w:val="24"/>
          <w:lang w:val="en-US" w:eastAsia="zh-CN"/>
        </w:rPr>
      </w:pPr>
      <w:r>
        <w:rPr>
          <w:rFonts w:hint="eastAsia" w:ascii="宋体" w:hAnsi="宋体" w:cs="宋体"/>
          <w:b/>
          <w:kern w:val="0"/>
          <w:sz w:val="24"/>
          <w:szCs w:val="24"/>
          <w:lang w:val="en-US" w:eastAsia="zh-CN"/>
        </w:rPr>
        <w:t>2.1就业情况简介</w:t>
      </w:r>
    </w:p>
    <w:p>
      <w:pPr>
        <w:keepNext w:val="0"/>
        <w:keepLines w:val="0"/>
        <w:pageBreakBefore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color w:val="000000"/>
          <w:sz w:val="24"/>
          <w:szCs w:val="24"/>
          <w:lang w:val="en-US" w:eastAsia="zh-CN"/>
        </w:rPr>
      </w:pPr>
      <w:r>
        <w:rPr>
          <w:rFonts w:hint="eastAsia" w:ascii="宋体" w:hAnsi="宋体"/>
          <w:sz w:val="24"/>
          <w:szCs w:val="24"/>
          <w:lang w:val="en-US" w:eastAsia="zh-CN"/>
        </w:rPr>
        <w:t>2022届毕业生中</w:t>
      </w:r>
      <w:r>
        <w:rPr>
          <w:rFonts w:hint="eastAsia" w:ascii="宋体" w:hAnsi="宋体"/>
          <w:sz w:val="24"/>
          <w:szCs w:val="24"/>
        </w:rPr>
        <w:t>，</w:t>
      </w:r>
      <w:r>
        <w:rPr>
          <w:rFonts w:hint="eastAsia" w:ascii="宋体" w:hAnsi="宋体" w:cs="宋体"/>
          <w:color w:val="000000"/>
          <w:kern w:val="0"/>
          <w:sz w:val="24"/>
          <w:szCs w:val="24"/>
        </w:rPr>
        <w:t>我</w:t>
      </w:r>
      <w:r>
        <w:rPr>
          <w:rFonts w:hint="eastAsia" w:ascii="宋体" w:hAnsi="宋体" w:cs="宋体"/>
          <w:color w:val="000000"/>
          <w:kern w:val="0"/>
          <w:sz w:val="24"/>
          <w:szCs w:val="24"/>
          <w:lang w:val="en-US" w:eastAsia="zh-CN"/>
        </w:rPr>
        <w:t>院</w:t>
      </w:r>
      <w:r>
        <w:rPr>
          <w:rFonts w:hint="eastAsia" w:ascii="宋体" w:hAnsi="宋体" w:cs="宋体"/>
          <w:color w:val="000000"/>
          <w:kern w:val="0"/>
          <w:sz w:val="24"/>
          <w:szCs w:val="24"/>
        </w:rPr>
        <w:t>毕业生</w:t>
      </w:r>
      <w:r>
        <w:rPr>
          <w:rFonts w:hint="eastAsia" w:ascii="宋体" w:hAnsi="宋体"/>
          <w:sz w:val="24"/>
          <w:szCs w:val="24"/>
        </w:rPr>
        <w:t>以签订就业协议或劳动合同的方式为主，其他就业形式所占比例</w:t>
      </w:r>
      <w:r>
        <w:rPr>
          <w:rFonts w:hint="eastAsia" w:ascii="宋体" w:hAnsi="宋体"/>
          <w:sz w:val="24"/>
          <w:szCs w:val="24"/>
          <w:lang w:val="en-US" w:eastAsia="zh-CN"/>
        </w:rPr>
        <w:t>较</w:t>
      </w:r>
      <w:r>
        <w:rPr>
          <w:rFonts w:hint="eastAsia" w:ascii="宋体" w:hAnsi="宋体"/>
          <w:sz w:val="24"/>
          <w:szCs w:val="24"/>
        </w:rPr>
        <w:t>小。在</w:t>
      </w:r>
      <w:r>
        <w:rPr>
          <w:rFonts w:hint="eastAsia" w:ascii="宋体" w:hAnsi="宋体" w:cs="宋体"/>
          <w:color w:val="000000"/>
          <w:kern w:val="0"/>
          <w:sz w:val="24"/>
          <w:szCs w:val="24"/>
        </w:rPr>
        <w:t>已就业的</w:t>
      </w:r>
      <w:r>
        <w:rPr>
          <w:rFonts w:hint="eastAsia" w:ascii="宋体" w:hAnsi="宋体" w:cs="宋体"/>
          <w:bCs/>
          <w:color w:val="000000"/>
          <w:kern w:val="0"/>
          <w:sz w:val="24"/>
          <w:szCs w:val="24"/>
          <w:lang w:val="en-US" w:eastAsia="zh-CN"/>
        </w:rPr>
        <w:t>245</w:t>
      </w:r>
      <w:r>
        <w:rPr>
          <w:rFonts w:hint="eastAsia" w:ascii="宋体" w:hAnsi="宋体" w:cs="宋体"/>
          <w:color w:val="000000"/>
          <w:kern w:val="0"/>
          <w:sz w:val="24"/>
          <w:szCs w:val="24"/>
        </w:rPr>
        <w:t>人</w:t>
      </w:r>
      <w:r>
        <w:rPr>
          <w:rFonts w:hint="eastAsia" w:ascii="宋体" w:hAnsi="宋体"/>
          <w:sz w:val="24"/>
          <w:szCs w:val="24"/>
        </w:rPr>
        <w:t>中，有</w:t>
      </w:r>
      <w:r>
        <w:rPr>
          <w:rFonts w:hint="eastAsia" w:ascii="宋体" w:hAnsi="宋体"/>
          <w:color w:val="000000"/>
          <w:sz w:val="24"/>
          <w:szCs w:val="24"/>
          <w:lang w:val="en-US" w:eastAsia="zh-CN"/>
        </w:rPr>
        <w:t>14</w:t>
      </w:r>
      <w:r>
        <w:rPr>
          <w:rFonts w:hint="eastAsia" w:ascii="宋体" w:hAnsi="宋体"/>
          <w:color w:val="000000"/>
          <w:sz w:val="24"/>
          <w:szCs w:val="24"/>
        </w:rPr>
        <w:t>人考取国内研究生，</w:t>
      </w:r>
      <w:r>
        <w:rPr>
          <w:rFonts w:hint="eastAsia" w:ascii="宋体" w:hAnsi="宋体"/>
          <w:color w:val="000000"/>
          <w:sz w:val="24"/>
          <w:szCs w:val="24"/>
          <w:lang w:val="en-US" w:eastAsia="zh-CN"/>
        </w:rPr>
        <w:t>1</w:t>
      </w:r>
      <w:r>
        <w:rPr>
          <w:rFonts w:hint="eastAsia" w:ascii="宋体" w:hAnsi="宋体"/>
          <w:color w:val="000000"/>
          <w:sz w:val="24"/>
          <w:szCs w:val="24"/>
        </w:rPr>
        <w:t>人自主创业，</w:t>
      </w:r>
      <w:r>
        <w:rPr>
          <w:rFonts w:hint="eastAsia" w:ascii="宋体" w:hAnsi="宋体"/>
          <w:color w:val="000000"/>
          <w:sz w:val="24"/>
          <w:szCs w:val="24"/>
          <w:lang w:val="en-US" w:eastAsia="zh-CN"/>
        </w:rPr>
        <w:t>6人参军，选调生1人，其他基层就业2人，</w:t>
      </w:r>
      <w:r>
        <w:rPr>
          <w:rFonts w:hint="eastAsia" w:ascii="宋体" w:hAnsi="宋体"/>
          <w:color w:val="000000"/>
          <w:sz w:val="24"/>
          <w:szCs w:val="24"/>
        </w:rPr>
        <w:t>其他均为签订就业协议或劳动合同形式就业，占已就业毕业生的</w:t>
      </w:r>
      <w:r>
        <w:rPr>
          <w:rFonts w:hint="eastAsia" w:ascii="宋体" w:hAnsi="宋体"/>
          <w:color w:val="000000"/>
          <w:sz w:val="24"/>
          <w:szCs w:val="24"/>
          <w:lang w:val="en-US" w:eastAsia="zh-CN"/>
        </w:rPr>
        <w:t>90.20%，应征入伍人数也随着宣传的加强而提高，就业方式更加多元化，这也要求我们就业工作需要按需分类，加大考研、服务基层与参军的支持服务力度。</w:t>
      </w:r>
    </w:p>
    <w:p>
      <w:pPr>
        <w:spacing w:line="360" w:lineRule="auto"/>
        <w:ind w:firstLine="480" w:firstLineChars="200"/>
        <w:jc w:val="left"/>
        <w:rPr>
          <w:rFonts w:hint="eastAsia" w:ascii="宋体" w:hAnsi="宋体"/>
          <w:color w:val="000000"/>
          <w:sz w:val="24"/>
          <w:szCs w:val="24"/>
          <w:lang w:val="en-US" w:eastAsia="zh-CN"/>
        </w:rPr>
      </w:pPr>
      <w:r>
        <w:rPr>
          <w:rFonts w:hint="eastAsia" w:ascii="宋体" w:hAnsi="宋体"/>
          <w:color w:val="000000"/>
          <w:sz w:val="24"/>
          <w:szCs w:val="24"/>
          <w:lang w:val="en-US" w:eastAsia="zh-CN"/>
        </w:rPr>
        <w:object>
          <v:shape id="_x0000_i1032" o:spt="75" type="#_x0000_t75" style="height:194.45pt;width:367.2pt;" o:ole="t" filled="f" o:preferrelative="t" stroked="f" coordsize="21600,21600">
            <v:path/>
            <v:fill on="f" focussize="0,0"/>
            <v:stroke on="f"/>
            <v:imagedata r:id="rId58" o:title=""/>
            <o:lock v:ext="edit" aspectratio="t"/>
            <w10:wrap type="none"/>
            <w10:anchorlock/>
          </v:shape>
          <o:OLEObject Type="Embed" ProgID="Excel.Chart.8" ShapeID="_x0000_i1032" DrawAspect="Content" ObjectID="_1468075734" r:id="rId57">
            <o:LockedField>false</o:LockedField>
          </o:OLEObject>
        </w:object>
      </w:r>
    </w:p>
    <w:p>
      <w:pPr>
        <w:spacing w:line="360" w:lineRule="auto"/>
        <w:jc w:val="center"/>
        <w:rPr>
          <w:rFonts w:hint="eastAsia" w:ascii="宋体" w:hAnsi="宋体"/>
          <w:color w:val="000000"/>
          <w:sz w:val="24"/>
          <w:szCs w:val="24"/>
          <w:lang w:val="en-US" w:eastAsia="zh-CN"/>
        </w:rPr>
      </w:pPr>
      <w:r>
        <w:rPr>
          <w:rFonts w:hint="eastAsia" w:ascii="华文仿宋" w:hAnsi="华文仿宋" w:eastAsia="华文仿宋" w:cs="华文仿宋"/>
          <w:bCs/>
          <w:color w:val="000000"/>
          <w:sz w:val="21"/>
          <w:szCs w:val="21"/>
          <w:lang w:val="en-US" w:eastAsia="zh-CN"/>
        </w:rPr>
        <w:t>图2-1设计学院2022届毕业生就业结构情况表</w:t>
      </w:r>
    </w:p>
    <w:p>
      <w:pPr>
        <w:keepNext w:val="0"/>
        <w:keepLines w:val="0"/>
        <w:pageBreakBefore w:val="0"/>
        <w:widowControl/>
        <w:numPr>
          <w:ilvl w:val="0"/>
          <w:numId w:val="0"/>
        </w:numPr>
        <w:kinsoku/>
        <w:wordWrap/>
        <w:overflowPunct/>
        <w:topLinePunct w:val="0"/>
        <w:autoSpaceDE/>
        <w:autoSpaceDN/>
        <w:bidi w:val="0"/>
        <w:adjustRightInd/>
        <w:snapToGrid/>
        <w:spacing w:line="360" w:lineRule="auto"/>
        <w:ind w:leftChars="0"/>
        <w:textAlignment w:val="auto"/>
        <w:rPr>
          <w:rFonts w:hint="default" w:ascii="宋体" w:hAnsi="宋体" w:eastAsia="宋体" w:cs="宋体"/>
          <w:b/>
          <w:kern w:val="0"/>
          <w:sz w:val="24"/>
          <w:szCs w:val="24"/>
          <w:lang w:val="en-US" w:eastAsia="zh-CN"/>
        </w:rPr>
      </w:pPr>
      <w:r>
        <w:rPr>
          <w:rFonts w:hint="eastAsia" w:ascii="宋体" w:hAnsi="宋体" w:eastAsia="宋体" w:cs="宋体"/>
          <w:b/>
          <w:kern w:val="0"/>
          <w:sz w:val="24"/>
          <w:szCs w:val="24"/>
          <w:lang w:val="en-US" w:eastAsia="zh-CN"/>
        </w:rPr>
        <w:t>2.2就业地区分布情况</w:t>
      </w:r>
    </w:p>
    <w:p>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宋体" w:hAnsi="宋体"/>
          <w:bCs/>
          <w:sz w:val="24"/>
          <w:szCs w:val="24"/>
          <w:lang w:val="en-US" w:eastAsia="zh-CN"/>
        </w:rPr>
      </w:pPr>
      <w:r>
        <w:rPr>
          <w:rFonts w:hint="eastAsia" w:ascii="宋体" w:hAnsi="宋体" w:cs="宋体"/>
          <w:kern w:val="0"/>
          <w:sz w:val="24"/>
          <w:szCs w:val="24"/>
        </w:rPr>
        <w:t>从地区分布来看，我</w:t>
      </w:r>
      <w:r>
        <w:rPr>
          <w:rFonts w:hint="eastAsia" w:ascii="宋体" w:hAnsi="宋体" w:cs="宋体"/>
          <w:kern w:val="0"/>
          <w:sz w:val="24"/>
          <w:szCs w:val="24"/>
          <w:lang w:val="en-US" w:eastAsia="zh-CN"/>
        </w:rPr>
        <w:t>院2022</w:t>
      </w:r>
      <w:r>
        <w:rPr>
          <w:rFonts w:hint="eastAsia" w:ascii="宋体" w:hAnsi="宋体" w:cs="宋体"/>
          <w:kern w:val="0"/>
          <w:sz w:val="24"/>
          <w:szCs w:val="24"/>
        </w:rPr>
        <w:t>届毕业生就业地区以安徽省内为主，在已</w:t>
      </w:r>
      <w:r>
        <w:rPr>
          <w:rFonts w:hint="eastAsia" w:ascii="宋体" w:hAnsi="宋体"/>
          <w:color w:val="000000"/>
          <w:sz w:val="24"/>
          <w:szCs w:val="24"/>
          <w:lang w:val="en-US" w:eastAsia="zh-CN"/>
        </w:rPr>
        <w:t>就业</w:t>
      </w:r>
      <w:r>
        <w:rPr>
          <w:rFonts w:hint="eastAsia" w:ascii="宋体" w:hAnsi="宋体" w:cs="宋体"/>
          <w:kern w:val="0"/>
          <w:sz w:val="24"/>
          <w:szCs w:val="24"/>
        </w:rPr>
        <w:t>的毕业生中，有</w:t>
      </w:r>
      <w:r>
        <w:rPr>
          <w:rFonts w:hint="eastAsia" w:ascii="宋体" w:hAnsi="宋体" w:cs="宋体"/>
          <w:kern w:val="0"/>
          <w:sz w:val="24"/>
          <w:szCs w:val="24"/>
          <w:lang w:val="en-US" w:eastAsia="zh-CN"/>
        </w:rPr>
        <w:t>122</w:t>
      </w:r>
      <w:r>
        <w:rPr>
          <w:rFonts w:hint="eastAsia" w:ascii="宋体" w:hAnsi="宋体" w:cs="宋体"/>
          <w:kern w:val="0"/>
          <w:sz w:val="24"/>
          <w:szCs w:val="24"/>
        </w:rPr>
        <w:t>人的</w:t>
      </w:r>
      <w:r>
        <w:rPr>
          <w:rFonts w:hint="eastAsia" w:ascii="宋体" w:hAnsi="宋体"/>
          <w:sz w:val="24"/>
          <w:szCs w:val="24"/>
        </w:rPr>
        <w:t>工作单位都集中在安徽省内，占</w:t>
      </w:r>
      <w:r>
        <w:rPr>
          <w:rFonts w:hint="eastAsia" w:ascii="宋体" w:hAnsi="宋体"/>
          <w:sz w:val="24"/>
          <w:szCs w:val="24"/>
          <w:lang w:val="en-US" w:eastAsia="zh-CN"/>
        </w:rPr>
        <w:t>55.20</w:t>
      </w:r>
      <w:r>
        <w:rPr>
          <w:rFonts w:hint="eastAsia" w:ascii="宋体" w:hAnsi="宋体"/>
          <w:bCs/>
          <w:sz w:val="24"/>
          <w:szCs w:val="24"/>
        </w:rPr>
        <w:t>%</w:t>
      </w:r>
      <w:r>
        <w:rPr>
          <w:rFonts w:hint="eastAsia" w:ascii="宋体" w:hAnsi="宋体"/>
          <w:sz w:val="24"/>
          <w:szCs w:val="24"/>
        </w:rPr>
        <w:t>，省内就业以合肥市为主，</w:t>
      </w:r>
      <w:r>
        <w:rPr>
          <w:rFonts w:hint="eastAsia" w:ascii="宋体" w:hAnsi="宋体"/>
          <w:sz w:val="24"/>
          <w:szCs w:val="24"/>
          <w:lang w:val="en-US" w:eastAsia="zh-CN"/>
        </w:rPr>
        <w:t>共有92</w:t>
      </w:r>
      <w:r>
        <w:rPr>
          <w:rFonts w:hint="eastAsia" w:ascii="宋体" w:hAnsi="宋体"/>
          <w:sz w:val="24"/>
          <w:szCs w:val="24"/>
        </w:rPr>
        <w:t>人在合肥市工作</w:t>
      </w:r>
      <w:r>
        <w:rPr>
          <w:rFonts w:hint="eastAsia" w:ascii="宋体" w:hAnsi="宋体"/>
          <w:sz w:val="24"/>
          <w:szCs w:val="24"/>
          <w:lang w:eastAsia="zh-CN"/>
        </w:rPr>
        <w:t>，</w:t>
      </w:r>
      <w:r>
        <w:rPr>
          <w:rFonts w:hint="eastAsia" w:ascii="宋体" w:hAnsi="宋体"/>
          <w:sz w:val="24"/>
          <w:szCs w:val="24"/>
        </w:rPr>
        <w:t>占</w:t>
      </w:r>
      <w:r>
        <w:rPr>
          <w:rFonts w:hint="eastAsia" w:ascii="宋体" w:hAnsi="宋体"/>
          <w:sz w:val="24"/>
          <w:szCs w:val="24"/>
          <w:lang w:val="en-US" w:eastAsia="zh-CN"/>
        </w:rPr>
        <w:t>在省内就业比重的75.41</w:t>
      </w:r>
      <w:r>
        <w:rPr>
          <w:rFonts w:hint="eastAsia" w:ascii="宋体" w:hAnsi="宋体"/>
          <w:bCs/>
          <w:sz w:val="24"/>
          <w:szCs w:val="24"/>
        </w:rPr>
        <w:t>%</w:t>
      </w:r>
      <w:r>
        <w:rPr>
          <w:rFonts w:hint="eastAsia" w:ascii="宋体" w:hAnsi="宋体"/>
          <w:bCs/>
          <w:sz w:val="24"/>
          <w:szCs w:val="24"/>
          <w:lang w:val="en-US" w:eastAsia="zh-CN"/>
        </w:rPr>
        <w:t>。与去年相比，学生在安徽省就业比率相对稳定，在合肥就业比率有一定下滑。具体对比见下表。</w:t>
      </w:r>
    </w:p>
    <w:p>
      <w:pPr>
        <w:spacing w:line="360" w:lineRule="auto"/>
        <w:ind w:firstLine="420" w:firstLineChars="200"/>
        <w:jc w:val="center"/>
        <w:rPr>
          <w:rFonts w:hint="eastAsia" w:ascii="华文仿宋" w:hAnsi="华文仿宋" w:eastAsia="华文仿宋" w:cs="华文仿宋"/>
          <w:bCs/>
          <w:color w:val="000000"/>
          <w:sz w:val="21"/>
          <w:szCs w:val="21"/>
          <w:lang w:val="en-US" w:eastAsia="zh-CN"/>
        </w:rPr>
      </w:pPr>
      <w:r>
        <w:rPr>
          <w:rFonts w:hint="eastAsia" w:ascii="华文仿宋" w:hAnsi="华文仿宋" w:eastAsia="华文仿宋" w:cs="华文仿宋"/>
          <w:bCs/>
          <w:color w:val="000000"/>
          <w:sz w:val="21"/>
          <w:szCs w:val="21"/>
          <w:lang w:val="en-US" w:eastAsia="zh-CN"/>
        </w:rPr>
        <w:t>表2-1 近3年毕业生就业分布对比</w:t>
      </w:r>
    </w:p>
    <w:tbl>
      <w:tblPr>
        <w:tblStyle w:val="1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02"/>
        <w:gridCol w:w="2253"/>
        <w:gridCol w:w="2147"/>
        <w:gridCol w:w="23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2" w:type="dxa"/>
            <w:noWrap w:val="0"/>
            <w:vAlign w:val="top"/>
          </w:tcPr>
          <w:p>
            <w:pPr>
              <w:spacing w:line="360" w:lineRule="auto"/>
              <w:jc w:val="center"/>
              <w:rPr>
                <w:rFonts w:hint="default" w:ascii="宋体" w:hAnsi="宋体"/>
                <w:bCs/>
                <w:sz w:val="24"/>
                <w:szCs w:val="24"/>
                <w:vertAlign w:val="baseline"/>
                <w:lang w:val="en-US" w:eastAsia="zh-CN"/>
              </w:rPr>
            </w:pPr>
          </w:p>
        </w:tc>
        <w:tc>
          <w:tcPr>
            <w:tcW w:w="2253" w:type="dxa"/>
            <w:noWrap w:val="0"/>
            <w:vAlign w:val="top"/>
          </w:tcPr>
          <w:p>
            <w:pPr>
              <w:spacing w:line="360" w:lineRule="auto"/>
              <w:jc w:val="center"/>
              <w:rPr>
                <w:rFonts w:hint="default" w:ascii="宋体" w:hAnsi="宋体"/>
                <w:bCs/>
                <w:sz w:val="24"/>
                <w:szCs w:val="24"/>
                <w:vertAlign w:val="baseline"/>
                <w:lang w:val="en-US" w:eastAsia="zh-CN"/>
              </w:rPr>
            </w:pPr>
            <w:r>
              <w:rPr>
                <w:rFonts w:hint="eastAsia" w:ascii="宋体" w:hAnsi="宋体"/>
                <w:bCs/>
                <w:sz w:val="24"/>
                <w:szCs w:val="24"/>
                <w:vertAlign w:val="baseline"/>
                <w:lang w:val="en-US" w:eastAsia="zh-CN"/>
              </w:rPr>
              <w:t>2020届省内就业占比（%）</w:t>
            </w:r>
          </w:p>
        </w:tc>
        <w:tc>
          <w:tcPr>
            <w:tcW w:w="2147" w:type="dxa"/>
            <w:noWrap w:val="0"/>
            <w:vAlign w:val="top"/>
          </w:tcPr>
          <w:p>
            <w:pPr>
              <w:spacing w:line="360" w:lineRule="auto"/>
              <w:jc w:val="center"/>
              <w:rPr>
                <w:rFonts w:hint="default" w:ascii="宋体" w:hAnsi="宋体"/>
                <w:bCs/>
                <w:sz w:val="24"/>
                <w:szCs w:val="24"/>
                <w:vertAlign w:val="baseline"/>
                <w:lang w:val="en-US" w:eastAsia="zh-CN"/>
              </w:rPr>
            </w:pPr>
            <w:r>
              <w:rPr>
                <w:rFonts w:hint="eastAsia" w:ascii="宋体" w:hAnsi="宋体"/>
                <w:bCs/>
                <w:sz w:val="24"/>
                <w:szCs w:val="24"/>
                <w:vertAlign w:val="baseline"/>
                <w:lang w:val="en-US" w:eastAsia="zh-CN"/>
              </w:rPr>
              <w:t>2021届省内就业占比（%）</w:t>
            </w:r>
          </w:p>
        </w:tc>
        <w:tc>
          <w:tcPr>
            <w:tcW w:w="2318" w:type="dxa"/>
            <w:noWrap w:val="0"/>
            <w:vAlign w:val="top"/>
          </w:tcPr>
          <w:p>
            <w:pPr>
              <w:spacing w:line="360" w:lineRule="auto"/>
              <w:jc w:val="center"/>
              <w:rPr>
                <w:rFonts w:hint="eastAsia" w:ascii="宋体" w:hAnsi="宋体"/>
                <w:bCs/>
                <w:sz w:val="24"/>
                <w:szCs w:val="24"/>
                <w:vertAlign w:val="baseline"/>
                <w:lang w:val="en-US" w:eastAsia="zh-CN"/>
              </w:rPr>
            </w:pPr>
            <w:r>
              <w:rPr>
                <w:rFonts w:hint="eastAsia" w:ascii="宋体" w:hAnsi="宋体"/>
                <w:bCs/>
                <w:sz w:val="24"/>
                <w:szCs w:val="24"/>
                <w:vertAlign w:val="baseline"/>
                <w:lang w:val="en-US" w:eastAsia="zh-CN"/>
              </w:rPr>
              <w:t>2021届省内就业占比（%）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2" w:type="dxa"/>
            <w:noWrap w:val="0"/>
            <w:vAlign w:val="top"/>
          </w:tcPr>
          <w:p>
            <w:pPr>
              <w:spacing w:line="360" w:lineRule="auto"/>
              <w:jc w:val="center"/>
              <w:rPr>
                <w:rFonts w:hint="default" w:ascii="宋体" w:hAnsi="宋体"/>
                <w:bCs/>
                <w:sz w:val="24"/>
                <w:szCs w:val="24"/>
                <w:vertAlign w:val="baseline"/>
                <w:lang w:val="en-US" w:eastAsia="zh-CN"/>
              </w:rPr>
            </w:pPr>
            <w:r>
              <w:rPr>
                <w:rFonts w:hint="eastAsia" w:ascii="宋体" w:hAnsi="宋体"/>
                <w:bCs/>
                <w:sz w:val="24"/>
                <w:szCs w:val="24"/>
                <w:vertAlign w:val="baseline"/>
                <w:lang w:val="en-US" w:eastAsia="zh-CN"/>
              </w:rPr>
              <w:t>工业设计</w:t>
            </w:r>
          </w:p>
        </w:tc>
        <w:tc>
          <w:tcPr>
            <w:tcW w:w="2253" w:type="dxa"/>
            <w:noWrap w:val="0"/>
            <w:vAlign w:val="top"/>
          </w:tcPr>
          <w:p>
            <w:pPr>
              <w:spacing w:line="360" w:lineRule="auto"/>
              <w:jc w:val="center"/>
              <w:rPr>
                <w:rFonts w:hint="default" w:ascii="宋体" w:hAnsi="宋体"/>
                <w:bCs/>
                <w:sz w:val="24"/>
                <w:szCs w:val="24"/>
                <w:vertAlign w:val="baseline"/>
                <w:lang w:val="en-US" w:eastAsia="zh-CN"/>
              </w:rPr>
            </w:pPr>
            <w:r>
              <w:rPr>
                <w:rFonts w:hint="eastAsia" w:ascii="宋体" w:hAnsi="宋体"/>
                <w:color w:val="000000"/>
                <w:sz w:val="24"/>
                <w:szCs w:val="24"/>
                <w:lang w:val="en-US" w:eastAsia="zh-CN"/>
              </w:rPr>
              <w:t>68.89</w:t>
            </w:r>
          </w:p>
        </w:tc>
        <w:tc>
          <w:tcPr>
            <w:tcW w:w="2147" w:type="dxa"/>
            <w:noWrap w:val="0"/>
            <w:vAlign w:val="top"/>
          </w:tcPr>
          <w:p>
            <w:pPr>
              <w:spacing w:line="360" w:lineRule="auto"/>
              <w:jc w:val="center"/>
              <w:rPr>
                <w:rFonts w:hint="default" w:ascii="宋体" w:hAnsi="宋体"/>
                <w:bCs/>
                <w:sz w:val="24"/>
                <w:szCs w:val="24"/>
                <w:vertAlign w:val="baseline"/>
                <w:lang w:val="en-US" w:eastAsia="zh-CN"/>
              </w:rPr>
            </w:pPr>
            <w:r>
              <w:rPr>
                <w:rFonts w:hint="eastAsia" w:ascii="宋体" w:hAnsi="宋体"/>
                <w:color w:val="000000"/>
                <w:sz w:val="24"/>
                <w:szCs w:val="24"/>
                <w:lang w:val="en-US" w:eastAsia="zh-CN"/>
              </w:rPr>
              <w:t>58.62</w:t>
            </w:r>
          </w:p>
        </w:tc>
        <w:tc>
          <w:tcPr>
            <w:tcW w:w="2318" w:type="dxa"/>
            <w:noWrap w:val="0"/>
            <w:vAlign w:val="top"/>
          </w:tcPr>
          <w:p>
            <w:pPr>
              <w:spacing w:line="360" w:lineRule="auto"/>
              <w:jc w:val="center"/>
              <w:rPr>
                <w:rFonts w:hint="eastAsia" w:ascii="宋体" w:hAnsi="宋体"/>
                <w:color w:val="000000"/>
                <w:sz w:val="24"/>
                <w:szCs w:val="24"/>
                <w:lang w:val="en-US" w:eastAsia="zh-CN"/>
              </w:rPr>
            </w:pPr>
            <w:r>
              <w:rPr>
                <w:rFonts w:hint="eastAsia" w:ascii="宋体" w:hAnsi="宋体"/>
                <w:color w:val="000000"/>
                <w:sz w:val="24"/>
                <w:szCs w:val="24"/>
                <w:lang w:val="en-US" w:eastAsia="zh-CN"/>
              </w:rPr>
              <w:t>66.67%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2" w:type="dxa"/>
            <w:noWrap w:val="0"/>
            <w:vAlign w:val="top"/>
          </w:tcPr>
          <w:p>
            <w:pPr>
              <w:spacing w:line="360" w:lineRule="auto"/>
              <w:jc w:val="center"/>
              <w:rPr>
                <w:rFonts w:hint="default" w:ascii="宋体" w:hAnsi="宋体"/>
                <w:bCs/>
                <w:sz w:val="24"/>
                <w:szCs w:val="24"/>
                <w:vertAlign w:val="baseline"/>
                <w:lang w:val="en-US" w:eastAsia="zh-CN"/>
              </w:rPr>
            </w:pPr>
            <w:r>
              <w:rPr>
                <w:rFonts w:hint="eastAsia" w:ascii="宋体" w:hAnsi="宋体"/>
                <w:bCs/>
                <w:sz w:val="24"/>
                <w:szCs w:val="24"/>
                <w:vertAlign w:val="baseline"/>
                <w:lang w:val="en-US" w:eastAsia="zh-CN"/>
              </w:rPr>
              <w:t>产品设计</w:t>
            </w:r>
          </w:p>
        </w:tc>
        <w:tc>
          <w:tcPr>
            <w:tcW w:w="2253" w:type="dxa"/>
            <w:noWrap w:val="0"/>
            <w:vAlign w:val="top"/>
          </w:tcPr>
          <w:p>
            <w:pPr>
              <w:spacing w:line="360" w:lineRule="auto"/>
              <w:jc w:val="center"/>
              <w:rPr>
                <w:rFonts w:hint="default" w:ascii="宋体" w:hAnsi="宋体"/>
                <w:bCs/>
                <w:sz w:val="24"/>
                <w:szCs w:val="24"/>
                <w:vertAlign w:val="baseline"/>
                <w:lang w:val="en-US" w:eastAsia="zh-CN"/>
              </w:rPr>
            </w:pPr>
            <w:r>
              <w:rPr>
                <w:rFonts w:hint="eastAsia" w:ascii="宋体" w:hAnsi="宋体"/>
                <w:color w:val="000000"/>
                <w:sz w:val="24"/>
                <w:szCs w:val="24"/>
                <w:lang w:val="en-US" w:eastAsia="zh-CN"/>
              </w:rPr>
              <w:t>53.80</w:t>
            </w:r>
          </w:p>
        </w:tc>
        <w:tc>
          <w:tcPr>
            <w:tcW w:w="2147" w:type="dxa"/>
            <w:noWrap w:val="0"/>
            <w:vAlign w:val="top"/>
          </w:tcPr>
          <w:p>
            <w:pPr>
              <w:spacing w:line="360" w:lineRule="auto"/>
              <w:jc w:val="center"/>
              <w:rPr>
                <w:rFonts w:hint="default" w:ascii="宋体" w:hAnsi="宋体"/>
                <w:bCs/>
                <w:sz w:val="24"/>
                <w:szCs w:val="24"/>
                <w:vertAlign w:val="baseline"/>
                <w:lang w:val="en-US" w:eastAsia="zh-CN"/>
              </w:rPr>
            </w:pPr>
            <w:r>
              <w:rPr>
                <w:rFonts w:hint="eastAsia" w:ascii="宋体" w:hAnsi="宋体"/>
                <w:color w:val="000000"/>
                <w:sz w:val="24"/>
                <w:szCs w:val="24"/>
                <w:lang w:val="en-US" w:eastAsia="zh-CN"/>
              </w:rPr>
              <w:t>71.69</w:t>
            </w:r>
          </w:p>
        </w:tc>
        <w:tc>
          <w:tcPr>
            <w:tcW w:w="2318" w:type="dxa"/>
            <w:noWrap w:val="0"/>
            <w:vAlign w:val="top"/>
          </w:tcPr>
          <w:p>
            <w:pPr>
              <w:spacing w:line="360" w:lineRule="auto"/>
              <w:jc w:val="center"/>
              <w:rPr>
                <w:rFonts w:hint="eastAsia" w:ascii="宋体" w:hAnsi="宋体"/>
                <w:color w:val="000000"/>
                <w:sz w:val="24"/>
                <w:szCs w:val="24"/>
                <w:lang w:val="en-US" w:eastAsia="zh-CN"/>
              </w:rPr>
            </w:pPr>
            <w:r>
              <w:rPr>
                <w:rFonts w:hint="eastAsia" w:ascii="宋体" w:hAnsi="宋体"/>
                <w:color w:val="000000"/>
                <w:sz w:val="24"/>
                <w:szCs w:val="24"/>
                <w:lang w:val="en-US" w:eastAsia="zh-CN"/>
              </w:rPr>
              <w:t>31.37%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2" w:type="dxa"/>
            <w:noWrap w:val="0"/>
            <w:vAlign w:val="top"/>
          </w:tcPr>
          <w:p>
            <w:pPr>
              <w:spacing w:line="360" w:lineRule="auto"/>
              <w:jc w:val="center"/>
              <w:rPr>
                <w:rFonts w:hint="default" w:ascii="宋体" w:hAnsi="宋体"/>
                <w:bCs/>
                <w:sz w:val="24"/>
                <w:szCs w:val="24"/>
                <w:vertAlign w:val="baseline"/>
                <w:lang w:val="en-US" w:eastAsia="zh-CN"/>
              </w:rPr>
            </w:pPr>
            <w:r>
              <w:rPr>
                <w:rFonts w:hint="eastAsia" w:ascii="宋体" w:hAnsi="宋体"/>
                <w:bCs/>
                <w:sz w:val="24"/>
                <w:szCs w:val="24"/>
                <w:vertAlign w:val="baseline"/>
                <w:lang w:val="en-US" w:eastAsia="zh-CN"/>
              </w:rPr>
              <w:t>视觉传达设计</w:t>
            </w:r>
          </w:p>
        </w:tc>
        <w:tc>
          <w:tcPr>
            <w:tcW w:w="2253" w:type="dxa"/>
            <w:noWrap w:val="0"/>
            <w:vAlign w:val="top"/>
          </w:tcPr>
          <w:p>
            <w:pPr>
              <w:spacing w:line="360" w:lineRule="auto"/>
              <w:jc w:val="center"/>
              <w:rPr>
                <w:rFonts w:hint="default" w:ascii="宋体" w:hAnsi="宋体"/>
                <w:bCs/>
                <w:sz w:val="24"/>
                <w:szCs w:val="24"/>
                <w:vertAlign w:val="baseline"/>
                <w:lang w:val="en-US" w:eastAsia="zh-CN"/>
              </w:rPr>
            </w:pPr>
            <w:r>
              <w:rPr>
                <w:rFonts w:hint="eastAsia" w:ascii="宋体" w:hAnsi="宋体"/>
                <w:color w:val="000000"/>
                <w:sz w:val="24"/>
                <w:szCs w:val="24"/>
                <w:lang w:val="en-US" w:eastAsia="zh-CN"/>
              </w:rPr>
              <w:t>42.60</w:t>
            </w:r>
          </w:p>
        </w:tc>
        <w:tc>
          <w:tcPr>
            <w:tcW w:w="2147" w:type="dxa"/>
            <w:noWrap w:val="0"/>
            <w:vAlign w:val="top"/>
          </w:tcPr>
          <w:p>
            <w:pPr>
              <w:spacing w:line="360" w:lineRule="auto"/>
              <w:jc w:val="center"/>
              <w:rPr>
                <w:rFonts w:hint="default" w:ascii="宋体" w:hAnsi="宋体"/>
                <w:bCs/>
                <w:sz w:val="24"/>
                <w:szCs w:val="24"/>
                <w:vertAlign w:val="baseline"/>
                <w:lang w:val="en-US" w:eastAsia="zh-CN"/>
              </w:rPr>
            </w:pPr>
            <w:r>
              <w:rPr>
                <w:rFonts w:hint="eastAsia" w:ascii="宋体" w:hAnsi="宋体"/>
                <w:bCs/>
                <w:sz w:val="24"/>
                <w:szCs w:val="24"/>
                <w:vertAlign w:val="baseline"/>
                <w:lang w:val="en-US" w:eastAsia="zh-CN"/>
              </w:rPr>
              <w:t>89.28</w:t>
            </w:r>
          </w:p>
        </w:tc>
        <w:tc>
          <w:tcPr>
            <w:tcW w:w="2318" w:type="dxa"/>
            <w:noWrap w:val="0"/>
            <w:vAlign w:val="top"/>
          </w:tcPr>
          <w:p>
            <w:pPr>
              <w:spacing w:line="360" w:lineRule="auto"/>
              <w:jc w:val="center"/>
              <w:rPr>
                <w:rFonts w:hint="eastAsia" w:ascii="宋体" w:hAnsi="宋体"/>
                <w:bCs/>
                <w:sz w:val="24"/>
                <w:szCs w:val="24"/>
                <w:vertAlign w:val="baseline"/>
                <w:lang w:val="en-US" w:eastAsia="zh-CN"/>
              </w:rPr>
            </w:pPr>
            <w:r>
              <w:rPr>
                <w:rFonts w:hint="eastAsia" w:ascii="宋体" w:hAnsi="宋体"/>
                <w:color w:val="000000"/>
                <w:sz w:val="24"/>
                <w:szCs w:val="24"/>
                <w:lang w:val="en-US" w:eastAsia="zh-CN"/>
              </w:rPr>
              <w:t>53.19%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2" w:type="dxa"/>
            <w:noWrap w:val="0"/>
            <w:vAlign w:val="top"/>
          </w:tcPr>
          <w:p>
            <w:pPr>
              <w:spacing w:line="360" w:lineRule="auto"/>
              <w:jc w:val="center"/>
              <w:rPr>
                <w:rFonts w:hint="default" w:ascii="宋体" w:hAnsi="宋体"/>
                <w:bCs/>
                <w:sz w:val="24"/>
                <w:szCs w:val="24"/>
                <w:vertAlign w:val="baseline"/>
                <w:lang w:val="en-US" w:eastAsia="zh-CN"/>
              </w:rPr>
            </w:pPr>
            <w:r>
              <w:rPr>
                <w:rFonts w:hint="eastAsia" w:ascii="宋体" w:hAnsi="宋体"/>
                <w:bCs/>
                <w:sz w:val="24"/>
                <w:szCs w:val="24"/>
                <w:vertAlign w:val="baseline"/>
                <w:lang w:val="en-US" w:eastAsia="zh-CN"/>
              </w:rPr>
              <w:t>环境设计</w:t>
            </w:r>
          </w:p>
        </w:tc>
        <w:tc>
          <w:tcPr>
            <w:tcW w:w="2253" w:type="dxa"/>
            <w:noWrap w:val="0"/>
            <w:vAlign w:val="top"/>
          </w:tcPr>
          <w:p>
            <w:pPr>
              <w:spacing w:line="360" w:lineRule="auto"/>
              <w:jc w:val="center"/>
              <w:rPr>
                <w:rFonts w:hint="default" w:ascii="宋体" w:hAnsi="宋体"/>
                <w:bCs/>
                <w:sz w:val="24"/>
                <w:szCs w:val="24"/>
                <w:vertAlign w:val="baseline"/>
                <w:lang w:val="en-US" w:eastAsia="zh-CN"/>
              </w:rPr>
            </w:pPr>
            <w:r>
              <w:rPr>
                <w:rFonts w:hint="eastAsia" w:ascii="宋体" w:hAnsi="宋体"/>
                <w:color w:val="000000"/>
                <w:sz w:val="24"/>
                <w:szCs w:val="24"/>
                <w:lang w:val="en-US" w:eastAsia="zh-CN"/>
              </w:rPr>
              <w:t>63.00</w:t>
            </w:r>
          </w:p>
        </w:tc>
        <w:tc>
          <w:tcPr>
            <w:tcW w:w="2147" w:type="dxa"/>
            <w:noWrap w:val="0"/>
            <w:vAlign w:val="top"/>
          </w:tcPr>
          <w:p>
            <w:pPr>
              <w:spacing w:line="360" w:lineRule="auto"/>
              <w:jc w:val="center"/>
              <w:rPr>
                <w:rFonts w:hint="default" w:ascii="宋体" w:hAnsi="宋体"/>
                <w:bCs/>
                <w:sz w:val="24"/>
                <w:szCs w:val="24"/>
                <w:vertAlign w:val="baseline"/>
                <w:lang w:val="en-US" w:eastAsia="zh-CN"/>
              </w:rPr>
            </w:pPr>
            <w:r>
              <w:rPr>
                <w:rFonts w:hint="eastAsia" w:ascii="宋体" w:hAnsi="宋体"/>
                <w:color w:val="000000"/>
                <w:sz w:val="24"/>
                <w:szCs w:val="24"/>
                <w:lang w:val="en-US" w:eastAsia="zh-CN"/>
              </w:rPr>
              <w:t>66.92</w:t>
            </w:r>
          </w:p>
        </w:tc>
        <w:tc>
          <w:tcPr>
            <w:tcW w:w="2318" w:type="dxa"/>
            <w:noWrap w:val="0"/>
            <w:vAlign w:val="top"/>
          </w:tcPr>
          <w:p>
            <w:pPr>
              <w:spacing w:line="360" w:lineRule="auto"/>
              <w:jc w:val="center"/>
              <w:rPr>
                <w:rFonts w:hint="eastAsia" w:ascii="宋体" w:hAnsi="宋体"/>
                <w:color w:val="000000"/>
                <w:sz w:val="24"/>
                <w:szCs w:val="24"/>
                <w:lang w:val="en-US" w:eastAsia="zh-CN"/>
              </w:rPr>
            </w:pPr>
            <w:r>
              <w:rPr>
                <w:rFonts w:hint="eastAsia" w:ascii="宋体" w:hAnsi="宋体"/>
                <w:color w:val="000000"/>
                <w:sz w:val="24"/>
                <w:szCs w:val="24"/>
                <w:lang w:val="en-US" w:eastAsia="zh-CN"/>
              </w:rPr>
              <w:t>63.46%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2" w:type="dxa"/>
            <w:noWrap w:val="0"/>
            <w:vAlign w:val="top"/>
          </w:tcPr>
          <w:p>
            <w:pPr>
              <w:spacing w:line="360" w:lineRule="auto"/>
              <w:jc w:val="center"/>
              <w:rPr>
                <w:rFonts w:hint="default" w:ascii="宋体" w:hAnsi="宋体"/>
                <w:bCs/>
                <w:sz w:val="24"/>
                <w:szCs w:val="24"/>
                <w:vertAlign w:val="baseline"/>
                <w:lang w:val="en-US" w:eastAsia="zh-CN"/>
              </w:rPr>
            </w:pPr>
            <w:r>
              <w:rPr>
                <w:rFonts w:hint="eastAsia" w:ascii="宋体" w:hAnsi="宋体"/>
                <w:bCs/>
                <w:sz w:val="24"/>
                <w:szCs w:val="24"/>
                <w:vertAlign w:val="baseline"/>
                <w:lang w:val="en-US" w:eastAsia="zh-CN"/>
              </w:rPr>
              <w:t>动画</w:t>
            </w:r>
          </w:p>
        </w:tc>
        <w:tc>
          <w:tcPr>
            <w:tcW w:w="2253" w:type="dxa"/>
            <w:noWrap w:val="0"/>
            <w:vAlign w:val="top"/>
          </w:tcPr>
          <w:p>
            <w:pPr>
              <w:spacing w:line="360" w:lineRule="auto"/>
              <w:jc w:val="center"/>
              <w:rPr>
                <w:rFonts w:hint="default" w:ascii="宋体" w:hAnsi="宋体"/>
                <w:bCs/>
                <w:sz w:val="24"/>
                <w:szCs w:val="24"/>
                <w:vertAlign w:val="baseline"/>
                <w:lang w:val="en-US" w:eastAsia="zh-CN"/>
              </w:rPr>
            </w:pPr>
            <w:r>
              <w:rPr>
                <w:rFonts w:hint="eastAsia" w:ascii="宋体" w:hAnsi="宋体"/>
                <w:color w:val="000000"/>
                <w:sz w:val="24"/>
                <w:szCs w:val="24"/>
                <w:lang w:val="en-US" w:eastAsia="zh-CN"/>
              </w:rPr>
              <w:t>39.10</w:t>
            </w:r>
          </w:p>
        </w:tc>
        <w:tc>
          <w:tcPr>
            <w:tcW w:w="2147" w:type="dxa"/>
            <w:noWrap w:val="0"/>
            <w:vAlign w:val="top"/>
          </w:tcPr>
          <w:p>
            <w:pPr>
              <w:spacing w:line="360" w:lineRule="auto"/>
              <w:jc w:val="center"/>
              <w:rPr>
                <w:rFonts w:hint="default" w:ascii="宋体" w:hAnsi="宋体"/>
                <w:bCs/>
                <w:sz w:val="24"/>
                <w:szCs w:val="24"/>
                <w:vertAlign w:val="baseline"/>
                <w:lang w:val="en-US" w:eastAsia="zh-CN"/>
              </w:rPr>
            </w:pPr>
            <w:r>
              <w:rPr>
                <w:rFonts w:hint="eastAsia" w:ascii="宋体" w:hAnsi="宋体"/>
                <w:color w:val="000000"/>
                <w:sz w:val="24"/>
                <w:szCs w:val="24"/>
                <w:lang w:val="en-US" w:eastAsia="zh-CN"/>
              </w:rPr>
              <w:t>65.38</w:t>
            </w:r>
          </w:p>
        </w:tc>
        <w:tc>
          <w:tcPr>
            <w:tcW w:w="2318" w:type="dxa"/>
            <w:noWrap w:val="0"/>
            <w:vAlign w:val="top"/>
          </w:tcPr>
          <w:p>
            <w:pPr>
              <w:spacing w:line="360" w:lineRule="auto"/>
              <w:jc w:val="center"/>
              <w:rPr>
                <w:rFonts w:hint="eastAsia" w:ascii="宋体" w:hAnsi="宋体"/>
                <w:color w:val="000000"/>
                <w:sz w:val="24"/>
                <w:szCs w:val="24"/>
                <w:lang w:val="en-US" w:eastAsia="zh-CN"/>
              </w:rPr>
            </w:pPr>
            <w:r>
              <w:rPr>
                <w:rFonts w:hint="eastAsia" w:ascii="宋体" w:hAnsi="宋体"/>
                <w:color w:val="000000"/>
                <w:sz w:val="24"/>
                <w:szCs w:val="24"/>
                <w:lang w:val="en-US" w:eastAsia="zh-CN"/>
              </w:rPr>
              <w:t>59.26%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2" w:type="dxa"/>
            <w:noWrap w:val="0"/>
            <w:vAlign w:val="top"/>
          </w:tcPr>
          <w:p>
            <w:pPr>
              <w:spacing w:line="360" w:lineRule="auto"/>
              <w:jc w:val="center"/>
              <w:rPr>
                <w:rFonts w:hint="default" w:ascii="宋体" w:hAnsi="宋体"/>
                <w:bCs/>
                <w:sz w:val="24"/>
                <w:szCs w:val="24"/>
                <w:vertAlign w:val="baseline"/>
                <w:lang w:val="en-US" w:eastAsia="zh-CN"/>
              </w:rPr>
            </w:pPr>
            <w:r>
              <w:rPr>
                <w:rFonts w:hint="eastAsia" w:ascii="宋体" w:hAnsi="宋体"/>
                <w:bCs/>
                <w:sz w:val="24"/>
                <w:szCs w:val="24"/>
                <w:vertAlign w:val="baseline"/>
                <w:lang w:val="en-US" w:eastAsia="zh-CN"/>
              </w:rPr>
              <w:t>艺术与科技</w:t>
            </w:r>
          </w:p>
        </w:tc>
        <w:tc>
          <w:tcPr>
            <w:tcW w:w="2253" w:type="dxa"/>
            <w:noWrap w:val="0"/>
            <w:vAlign w:val="top"/>
          </w:tcPr>
          <w:p>
            <w:pPr>
              <w:spacing w:line="360" w:lineRule="auto"/>
              <w:jc w:val="center"/>
              <w:rPr>
                <w:rFonts w:hint="default" w:ascii="宋体" w:hAnsi="宋体"/>
                <w:bCs/>
                <w:sz w:val="24"/>
                <w:szCs w:val="24"/>
                <w:vertAlign w:val="baseline"/>
                <w:lang w:val="en-US" w:eastAsia="zh-CN"/>
              </w:rPr>
            </w:pPr>
            <w:r>
              <w:rPr>
                <w:rFonts w:hint="eastAsia" w:ascii="宋体" w:hAnsi="宋体"/>
                <w:color w:val="000000"/>
                <w:sz w:val="24"/>
                <w:szCs w:val="24"/>
                <w:lang w:val="en-US" w:eastAsia="zh-CN"/>
              </w:rPr>
              <w:t>60.70</w:t>
            </w:r>
          </w:p>
        </w:tc>
        <w:tc>
          <w:tcPr>
            <w:tcW w:w="2147" w:type="dxa"/>
            <w:noWrap w:val="0"/>
            <w:vAlign w:val="top"/>
          </w:tcPr>
          <w:p>
            <w:pPr>
              <w:spacing w:line="360" w:lineRule="auto"/>
              <w:jc w:val="center"/>
              <w:rPr>
                <w:rFonts w:hint="default" w:ascii="宋体" w:hAnsi="宋体"/>
                <w:bCs/>
                <w:sz w:val="24"/>
                <w:szCs w:val="24"/>
                <w:vertAlign w:val="baseline"/>
                <w:lang w:val="en-US" w:eastAsia="zh-CN"/>
              </w:rPr>
            </w:pPr>
            <w:r>
              <w:rPr>
                <w:rFonts w:hint="eastAsia" w:ascii="宋体" w:hAnsi="宋体"/>
                <w:color w:val="000000"/>
                <w:sz w:val="24"/>
                <w:szCs w:val="24"/>
                <w:lang w:val="en-US" w:eastAsia="zh-CN"/>
              </w:rPr>
              <w:t>80.00</w:t>
            </w:r>
          </w:p>
        </w:tc>
        <w:tc>
          <w:tcPr>
            <w:tcW w:w="2318" w:type="dxa"/>
            <w:noWrap w:val="0"/>
            <w:vAlign w:val="top"/>
          </w:tcPr>
          <w:p>
            <w:pPr>
              <w:spacing w:line="360" w:lineRule="auto"/>
              <w:jc w:val="center"/>
              <w:rPr>
                <w:rFonts w:hint="eastAsia" w:ascii="宋体" w:hAnsi="宋体"/>
                <w:color w:val="000000"/>
                <w:sz w:val="24"/>
                <w:szCs w:val="24"/>
                <w:lang w:val="en-US" w:eastAsia="zh-CN"/>
              </w:rPr>
            </w:pPr>
            <w:r>
              <w:rPr>
                <w:rFonts w:hint="eastAsia" w:ascii="宋体" w:hAnsi="宋体"/>
                <w:color w:val="000000"/>
                <w:sz w:val="24"/>
                <w:szCs w:val="24"/>
                <w:lang w:val="en-US" w:eastAsia="zh-CN"/>
              </w:rPr>
              <w:t>64.00%</w:t>
            </w:r>
          </w:p>
        </w:tc>
      </w:tr>
    </w:tbl>
    <w:p>
      <w:pPr>
        <w:spacing w:line="360" w:lineRule="auto"/>
        <w:rPr>
          <w:rFonts w:hint="default" w:ascii="宋体" w:hAnsi="宋体"/>
          <w:bCs/>
          <w:sz w:val="24"/>
          <w:szCs w:val="24"/>
          <w:lang w:val="en-US" w:eastAsia="zh-CN"/>
        </w:rPr>
      </w:pPr>
    </w:p>
    <w:p>
      <w:pPr>
        <w:spacing w:line="360" w:lineRule="auto"/>
        <w:ind w:firstLine="480" w:firstLineChars="200"/>
        <w:rPr>
          <w:rFonts w:hint="eastAsia" w:ascii="宋体" w:hAnsi="宋体"/>
          <w:sz w:val="24"/>
          <w:szCs w:val="24"/>
        </w:rPr>
      </w:pPr>
      <w:r>
        <w:rPr>
          <w:rFonts w:hint="eastAsia" w:ascii="宋体" w:hAnsi="宋体"/>
          <w:sz w:val="24"/>
          <w:szCs w:val="24"/>
        </w:rPr>
        <w:t>其他毕业生均在外省就业，占</w:t>
      </w:r>
      <w:r>
        <w:rPr>
          <w:rFonts w:hint="eastAsia" w:ascii="宋体" w:hAnsi="宋体"/>
          <w:bCs/>
          <w:sz w:val="24"/>
          <w:szCs w:val="24"/>
          <w:lang w:val="en-US" w:eastAsia="zh-CN"/>
        </w:rPr>
        <w:t>44</w:t>
      </w:r>
      <w:r>
        <w:rPr>
          <w:rFonts w:hint="eastAsia" w:ascii="宋体" w:hAnsi="宋体"/>
          <w:bCs/>
          <w:sz w:val="24"/>
          <w:szCs w:val="24"/>
        </w:rPr>
        <w:t>.</w:t>
      </w:r>
      <w:r>
        <w:rPr>
          <w:rFonts w:hint="eastAsia" w:ascii="宋体" w:hAnsi="宋体"/>
          <w:bCs/>
          <w:sz w:val="24"/>
          <w:szCs w:val="24"/>
          <w:lang w:val="en-US" w:eastAsia="zh-CN"/>
        </w:rPr>
        <w:t>8</w:t>
      </w:r>
      <w:r>
        <w:rPr>
          <w:rFonts w:hint="eastAsia" w:ascii="宋体" w:hAnsi="宋体"/>
          <w:bCs/>
          <w:sz w:val="24"/>
          <w:szCs w:val="24"/>
        </w:rPr>
        <w:t>%</w:t>
      </w:r>
      <w:r>
        <w:rPr>
          <w:rFonts w:hint="eastAsia" w:ascii="宋体" w:hAnsi="宋体"/>
          <w:sz w:val="24"/>
          <w:szCs w:val="24"/>
        </w:rPr>
        <w:t>，主要分布在</w:t>
      </w:r>
      <w:r>
        <w:rPr>
          <w:rFonts w:hint="eastAsia" w:ascii="宋体" w:hAnsi="宋体"/>
          <w:sz w:val="24"/>
          <w:szCs w:val="24"/>
          <w:lang w:val="en-US" w:eastAsia="zh-CN"/>
        </w:rPr>
        <w:t>北京9人，</w:t>
      </w:r>
      <w:r>
        <w:rPr>
          <w:rFonts w:hint="eastAsia" w:ascii="宋体" w:hAnsi="宋体"/>
          <w:sz w:val="24"/>
          <w:szCs w:val="24"/>
        </w:rPr>
        <w:t>江苏</w:t>
      </w:r>
      <w:r>
        <w:rPr>
          <w:rFonts w:hint="eastAsia" w:ascii="宋体" w:hAnsi="宋体"/>
          <w:bCs/>
          <w:sz w:val="24"/>
          <w:szCs w:val="24"/>
          <w:lang w:val="en-US" w:eastAsia="zh-CN"/>
        </w:rPr>
        <w:t>9</w:t>
      </w:r>
      <w:r>
        <w:rPr>
          <w:rFonts w:hint="eastAsia" w:ascii="宋体" w:hAnsi="宋体"/>
          <w:sz w:val="24"/>
          <w:szCs w:val="24"/>
        </w:rPr>
        <w:t>人，浙江</w:t>
      </w:r>
      <w:r>
        <w:rPr>
          <w:rFonts w:hint="eastAsia" w:ascii="宋体" w:hAnsi="宋体"/>
          <w:bCs/>
          <w:sz w:val="24"/>
          <w:szCs w:val="24"/>
          <w:lang w:val="en-US" w:eastAsia="zh-CN"/>
        </w:rPr>
        <w:t>33</w:t>
      </w:r>
      <w:r>
        <w:rPr>
          <w:rFonts w:hint="eastAsia" w:ascii="宋体" w:hAnsi="宋体"/>
          <w:sz w:val="24"/>
          <w:szCs w:val="24"/>
        </w:rPr>
        <w:t>人，山东</w:t>
      </w:r>
      <w:r>
        <w:rPr>
          <w:rFonts w:hint="eastAsia" w:ascii="宋体" w:hAnsi="宋体"/>
          <w:bCs/>
          <w:sz w:val="24"/>
          <w:szCs w:val="24"/>
          <w:lang w:val="en-US" w:eastAsia="zh-CN"/>
        </w:rPr>
        <w:t>8</w:t>
      </w:r>
      <w:r>
        <w:rPr>
          <w:rFonts w:hint="eastAsia" w:ascii="宋体" w:hAnsi="宋体"/>
          <w:sz w:val="24"/>
          <w:szCs w:val="24"/>
        </w:rPr>
        <w:t>人，上海</w:t>
      </w:r>
      <w:r>
        <w:rPr>
          <w:rFonts w:hint="eastAsia" w:ascii="宋体" w:hAnsi="宋体"/>
          <w:bCs/>
          <w:sz w:val="24"/>
          <w:szCs w:val="24"/>
          <w:lang w:val="en-US" w:eastAsia="zh-CN"/>
        </w:rPr>
        <w:t>7</w:t>
      </w:r>
      <w:r>
        <w:rPr>
          <w:rFonts w:hint="eastAsia" w:ascii="宋体" w:hAnsi="宋体"/>
          <w:sz w:val="24"/>
          <w:szCs w:val="24"/>
        </w:rPr>
        <w:t>人，湖南</w:t>
      </w:r>
      <w:r>
        <w:rPr>
          <w:rFonts w:hint="eastAsia" w:ascii="宋体" w:hAnsi="宋体"/>
          <w:sz w:val="24"/>
          <w:szCs w:val="24"/>
          <w:lang w:val="en-US" w:eastAsia="zh-CN"/>
        </w:rPr>
        <w:t>4</w:t>
      </w:r>
      <w:r>
        <w:rPr>
          <w:rFonts w:hint="eastAsia" w:ascii="宋体" w:hAnsi="宋体"/>
          <w:sz w:val="24"/>
          <w:szCs w:val="24"/>
        </w:rPr>
        <w:t>，</w:t>
      </w:r>
      <w:r>
        <w:rPr>
          <w:rFonts w:hint="eastAsia" w:ascii="宋体" w:hAnsi="宋体"/>
          <w:sz w:val="24"/>
          <w:szCs w:val="24"/>
          <w:lang w:val="en-US" w:eastAsia="zh-CN"/>
        </w:rPr>
        <w:t>广东4</w:t>
      </w:r>
      <w:r>
        <w:rPr>
          <w:rFonts w:hint="eastAsia" w:ascii="宋体" w:hAnsi="宋体"/>
          <w:sz w:val="24"/>
          <w:szCs w:val="24"/>
        </w:rPr>
        <w:t>人。</w:t>
      </w:r>
    </w:p>
    <w:p>
      <w:pPr>
        <w:spacing w:line="360" w:lineRule="auto"/>
        <w:ind w:firstLine="480" w:firstLineChars="200"/>
        <w:rPr>
          <w:rFonts w:hint="eastAsia" w:ascii="宋体" w:hAnsi="宋体" w:eastAsia="宋体"/>
          <w:sz w:val="24"/>
          <w:szCs w:val="24"/>
          <w:lang w:eastAsia="zh-CN"/>
        </w:rPr>
      </w:pPr>
      <w:r>
        <w:rPr>
          <w:rFonts w:hint="eastAsia" w:ascii="宋体" w:hAnsi="宋体" w:eastAsia="宋体"/>
          <w:sz w:val="24"/>
          <w:szCs w:val="24"/>
          <w:lang w:eastAsia="zh-CN"/>
        </w:rPr>
        <w:object>
          <v:shape id="_x0000_i1033" o:spt="75" type="#_x0000_t75" style="height:242.4pt;width:367.2pt;" o:ole="t" filled="f" o:preferrelative="t" stroked="f" coordsize="21600,21600">
            <v:path/>
            <v:fill on="f" focussize="0,0"/>
            <v:stroke on="f"/>
            <v:imagedata r:id="rId60" o:title=""/>
            <o:lock v:ext="edit" aspectratio="t"/>
            <w10:wrap type="none"/>
            <w10:anchorlock/>
          </v:shape>
          <o:OLEObject Type="Embed" ProgID="Excel.Chart.8" ShapeID="_x0000_i1033" DrawAspect="Content" ObjectID="_1468075735" r:id="rId59">
            <o:LockedField>false</o:LockedField>
          </o:OLEObject>
        </w:object>
      </w:r>
    </w:p>
    <w:p>
      <w:pPr>
        <w:spacing w:line="360" w:lineRule="auto"/>
        <w:jc w:val="center"/>
        <w:rPr>
          <w:rFonts w:hint="eastAsia" w:ascii="宋体" w:hAnsi="宋体" w:eastAsia="宋体"/>
          <w:sz w:val="24"/>
          <w:szCs w:val="24"/>
          <w:lang w:eastAsia="zh-CN"/>
        </w:rPr>
      </w:pPr>
      <w:r>
        <w:rPr>
          <w:rFonts w:hint="eastAsia" w:ascii="华文仿宋" w:hAnsi="华文仿宋" w:eastAsia="华文仿宋" w:cs="华文仿宋"/>
          <w:bCs/>
          <w:color w:val="000000"/>
          <w:sz w:val="21"/>
          <w:szCs w:val="21"/>
          <w:lang w:val="en-US" w:eastAsia="zh-CN"/>
        </w:rPr>
        <w:t>图2-2设计学院2022届省外就业分布情况表</w:t>
      </w:r>
    </w:p>
    <w:p>
      <w:pPr>
        <w:keepNext w:val="0"/>
        <w:keepLines w:val="0"/>
        <w:pageBreakBefore w:val="0"/>
        <w:widowControl/>
        <w:numPr>
          <w:ilvl w:val="0"/>
          <w:numId w:val="0"/>
        </w:numPr>
        <w:kinsoku/>
        <w:wordWrap/>
        <w:overflowPunct/>
        <w:topLinePunct w:val="0"/>
        <w:autoSpaceDE/>
        <w:autoSpaceDN/>
        <w:bidi w:val="0"/>
        <w:adjustRightInd/>
        <w:snapToGrid/>
        <w:spacing w:line="360" w:lineRule="auto"/>
        <w:ind w:leftChars="0"/>
        <w:textAlignment w:val="auto"/>
        <w:rPr>
          <w:rFonts w:hint="default" w:ascii="宋体" w:hAnsi="宋体" w:eastAsia="宋体" w:cs="宋体"/>
          <w:b/>
          <w:kern w:val="0"/>
          <w:sz w:val="24"/>
          <w:szCs w:val="24"/>
          <w:lang w:val="en-US" w:eastAsia="zh-CN"/>
        </w:rPr>
      </w:pPr>
      <w:r>
        <w:rPr>
          <w:rFonts w:hint="eastAsia" w:ascii="宋体" w:hAnsi="宋体" w:eastAsia="宋体" w:cs="宋体"/>
          <w:b/>
          <w:kern w:val="0"/>
          <w:sz w:val="24"/>
          <w:szCs w:val="24"/>
          <w:lang w:val="en-US" w:eastAsia="zh-CN"/>
        </w:rPr>
        <w:t>2.3生源地就业情况</w:t>
      </w:r>
    </w:p>
    <w:p>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宋体" w:hAnsi="宋体"/>
          <w:sz w:val="24"/>
          <w:szCs w:val="24"/>
          <w:lang w:val="en-US"/>
        </w:rPr>
      </w:pPr>
      <w:r>
        <w:rPr>
          <w:rFonts w:hint="eastAsia" w:ascii="宋体" w:hAnsi="宋体" w:cs="宋体"/>
          <w:kern w:val="0"/>
          <w:sz w:val="24"/>
          <w:szCs w:val="24"/>
        </w:rPr>
        <w:t>我</w:t>
      </w:r>
      <w:r>
        <w:rPr>
          <w:rFonts w:hint="eastAsia" w:ascii="宋体" w:hAnsi="宋体" w:cs="宋体"/>
          <w:kern w:val="0"/>
          <w:sz w:val="24"/>
          <w:szCs w:val="24"/>
          <w:lang w:val="en-US" w:eastAsia="zh-CN"/>
        </w:rPr>
        <w:t>院</w:t>
      </w:r>
      <w:r>
        <w:rPr>
          <w:rFonts w:hint="eastAsia" w:ascii="宋体" w:hAnsi="宋体" w:cs="宋体"/>
          <w:kern w:val="0"/>
          <w:sz w:val="24"/>
          <w:szCs w:val="24"/>
          <w:lang w:eastAsia="zh-CN"/>
        </w:rPr>
        <w:t>2022</w:t>
      </w:r>
      <w:r>
        <w:rPr>
          <w:rFonts w:hint="eastAsia" w:ascii="宋体" w:hAnsi="宋体" w:cs="宋体"/>
          <w:kern w:val="0"/>
          <w:sz w:val="24"/>
          <w:szCs w:val="24"/>
        </w:rPr>
        <w:t>届毕业生就业地区分布</w:t>
      </w:r>
      <w:r>
        <w:rPr>
          <w:rFonts w:hint="eastAsia" w:ascii="宋体" w:hAnsi="宋体" w:cs="宋体"/>
          <w:kern w:val="0"/>
          <w:sz w:val="24"/>
          <w:szCs w:val="24"/>
          <w:lang w:val="en-US" w:eastAsia="zh-CN"/>
        </w:rPr>
        <w:t>基本符合学生生源地情况</w:t>
      </w:r>
      <w:r>
        <w:rPr>
          <w:rFonts w:hint="eastAsia" w:ascii="宋体" w:hAnsi="宋体" w:cs="宋体"/>
          <w:kern w:val="0"/>
          <w:sz w:val="24"/>
          <w:szCs w:val="24"/>
        </w:rPr>
        <w:t>，安徽省内毕业生留在安徽省工作</w:t>
      </w:r>
      <w:r>
        <w:rPr>
          <w:rFonts w:hint="eastAsia" w:ascii="宋体" w:hAnsi="宋体" w:cs="宋体"/>
          <w:kern w:val="0"/>
          <w:sz w:val="24"/>
          <w:szCs w:val="24"/>
          <w:lang w:val="en-US" w:eastAsia="zh-CN"/>
        </w:rPr>
        <w:t>意愿较强</w:t>
      </w:r>
      <w:r>
        <w:rPr>
          <w:rFonts w:hint="eastAsia" w:ascii="宋体" w:hAnsi="宋体" w:cs="宋体"/>
          <w:kern w:val="0"/>
          <w:sz w:val="24"/>
          <w:szCs w:val="24"/>
        </w:rPr>
        <w:t>，</w:t>
      </w:r>
      <w:r>
        <w:rPr>
          <w:rFonts w:hint="eastAsia" w:ascii="宋体" w:hAnsi="宋体" w:cs="宋体"/>
          <w:kern w:val="0"/>
          <w:sz w:val="24"/>
          <w:szCs w:val="24"/>
          <w:lang w:val="en-US" w:eastAsia="zh-CN"/>
        </w:rPr>
        <w:t>留在合肥仍然占据大多数，少数同学因为家庭原因，选择回家就业，</w:t>
      </w:r>
      <w:r>
        <w:rPr>
          <w:rFonts w:hint="eastAsia" w:ascii="宋体" w:hAnsi="宋体" w:cs="宋体"/>
          <w:kern w:val="0"/>
          <w:sz w:val="24"/>
          <w:szCs w:val="24"/>
        </w:rPr>
        <w:t>外省籍毕业生就业去向一般有以下几种：一是直接回到家乡工作，二是去父母</w:t>
      </w:r>
      <w:r>
        <w:rPr>
          <w:rFonts w:hint="eastAsia" w:ascii="宋体" w:hAnsi="宋体" w:cs="宋体"/>
          <w:kern w:val="0"/>
          <w:sz w:val="24"/>
          <w:szCs w:val="24"/>
          <w:lang w:val="en-US" w:eastAsia="zh-CN"/>
        </w:rPr>
        <w:t>或者亲戚</w:t>
      </w:r>
      <w:r>
        <w:rPr>
          <w:rFonts w:hint="eastAsia" w:ascii="宋体" w:hAnsi="宋体" w:cs="宋体"/>
          <w:kern w:val="0"/>
          <w:sz w:val="24"/>
          <w:szCs w:val="24"/>
        </w:rPr>
        <w:t>所在的省市工作，三是暂时留在合肥工作，四是去北上广深</w:t>
      </w:r>
      <w:r>
        <w:rPr>
          <w:rFonts w:hint="eastAsia" w:ascii="宋体" w:hAnsi="宋体" w:cs="宋体"/>
          <w:kern w:val="0"/>
          <w:sz w:val="24"/>
          <w:szCs w:val="24"/>
          <w:lang w:val="en-US" w:eastAsia="zh-CN"/>
        </w:rPr>
        <w:t>或浙江江苏之类的经济强省工作。通过与外地就业的毕业生访谈发现，毕业生对于起薪较为看重，而周围起薪较高的公司多集中在浙江、北京和上海等地，这也是外地吸纳毕业生较多的原因之一。</w:t>
      </w:r>
    </w:p>
    <w:p>
      <w:pPr>
        <w:keepNext w:val="0"/>
        <w:keepLines w:val="0"/>
        <w:pageBreakBefore w:val="0"/>
        <w:widowControl/>
        <w:numPr>
          <w:ilvl w:val="0"/>
          <w:numId w:val="0"/>
        </w:numPr>
        <w:kinsoku/>
        <w:wordWrap/>
        <w:overflowPunct/>
        <w:topLinePunct w:val="0"/>
        <w:autoSpaceDE/>
        <w:autoSpaceDN/>
        <w:bidi w:val="0"/>
        <w:adjustRightInd/>
        <w:snapToGrid/>
        <w:spacing w:line="360" w:lineRule="auto"/>
        <w:ind w:leftChars="0"/>
        <w:textAlignment w:val="auto"/>
        <w:rPr>
          <w:rFonts w:hint="eastAsia" w:ascii="宋体" w:hAnsi="宋体" w:eastAsia="宋体" w:cs="宋体"/>
          <w:b/>
          <w:kern w:val="0"/>
          <w:sz w:val="24"/>
          <w:szCs w:val="24"/>
          <w:lang w:val="en-US" w:eastAsia="zh-CN"/>
        </w:rPr>
      </w:pPr>
      <w:r>
        <w:rPr>
          <w:rFonts w:hint="eastAsia" w:ascii="宋体" w:hAnsi="宋体" w:eastAsia="宋体" w:cs="宋体"/>
          <w:b/>
          <w:kern w:val="0"/>
          <w:sz w:val="24"/>
          <w:szCs w:val="24"/>
          <w:lang w:val="en-US" w:eastAsia="zh-CN"/>
        </w:rPr>
        <w:t>2.4就业单位分布</w:t>
      </w:r>
    </w:p>
    <w:p>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2022届毕业生在“其他企业”就业人数最多，有210人，占比达90.24%，其他毕业生分别在国有企业5人，三资企业4人等。</w:t>
      </w:r>
    </w:p>
    <w:p>
      <w:pPr>
        <w:spacing w:line="360" w:lineRule="auto"/>
        <w:jc w:val="center"/>
        <w:rPr>
          <w:rFonts w:hint="eastAsia" w:ascii="宋体" w:hAnsi="宋体" w:eastAsia="宋体"/>
          <w:sz w:val="24"/>
          <w:szCs w:val="24"/>
          <w:lang w:eastAsia="zh-CN"/>
        </w:rPr>
      </w:pPr>
      <w:r>
        <w:rPr>
          <w:rFonts w:hint="default" w:ascii="宋体" w:hAnsi="宋体" w:eastAsia="宋体" w:cs="宋体"/>
          <w:kern w:val="0"/>
          <w:sz w:val="24"/>
          <w:szCs w:val="24"/>
          <w:lang w:val="en-US" w:eastAsia="zh-CN"/>
        </w:rPr>
        <w:object>
          <v:shape id="_x0000_i1034" o:spt="75" type="#_x0000_t75" style="height:242.4pt;width:441pt;" o:ole="t" filled="f" o:preferrelative="t" stroked="f" coordsize="21600,21600">
            <v:path/>
            <v:fill on="f" focussize="0,0"/>
            <v:stroke on="f"/>
            <v:imagedata r:id="rId62" o:title=""/>
            <o:lock v:ext="edit" aspectratio="t"/>
            <w10:wrap type="none"/>
            <w10:anchorlock/>
          </v:shape>
          <o:OLEObject Type="Embed" ProgID="Excel.Chart.8" ShapeID="_x0000_i1034" DrawAspect="Content" ObjectID="_1468075736" r:id="rId61">
            <o:LockedField>false</o:LockedField>
          </o:OLEObject>
        </w:object>
      </w:r>
      <w:r>
        <w:rPr>
          <w:rFonts w:hint="eastAsia" w:ascii="华文仿宋" w:hAnsi="华文仿宋" w:eastAsia="华文仿宋" w:cs="华文仿宋"/>
          <w:bCs/>
          <w:color w:val="000000"/>
          <w:sz w:val="21"/>
          <w:szCs w:val="21"/>
          <w:lang w:val="en-US" w:eastAsia="zh-CN"/>
        </w:rPr>
        <w:t>图2-3设计学院2022届毕业生就业单位分布图</w:t>
      </w:r>
    </w:p>
    <w:p>
      <w:pPr>
        <w:keepNext w:val="0"/>
        <w:keepLines w:val="0"/>
        <w:pageBreakBefore w:val="0"/>
        <w:widowControl/>
        <w:numPr>
          <w:ilvl w:val="0"/>
          <w:numId w:val="0"/>
        </w:numPr>
        <w:kinsoku/>
        <w:wordWrap/>
        <w:overflowPunct/>
        <w:topLinePunct w:val="0"/>
        <w:autoSpaceDE/>
        <w:autoSpaceDN/>
        <w:bidi w:val="0"/>
        <w:adjustRightInd/>
        <w:snapToGrid/>
        <w:spacing w:line="360" w:lineRule="auto"/>
        <w:ind w:leftChars="0"/>
        <w:textAlignment w:val="auto"/>
        <w:rPr>
          <w:rFonts w:hint="eastAsia" w:ascii="宋体" w:hAnsi="宋体" w:eastAsia="宋体" w:cs="宋体"/>
          <w:b/>
          <w:kern w:val="0"/>
          <w:sz w:val="24"/>
          <w:szCs w:val="24"/>
          <w:lang w:val="en-US" w:eastAsia="zh-CN"/>
        </w:rPr>
      </w:pPr>
      <w:r>
        <w:rPr>
          <w:rFonts w:hint="eastAsia" w:ascii="宋体" w:hAnsi="宋体" w:eastAsia="宋体" w:cs="宋体"/>
          <w:b/>
          <w:kern w:val="0"/>
          <w:sz w:val="24"/>
          <w:szCs w:val="24"/>
          <w:lang w:val="en-US" w:eastAsia="zh-CN"/>
        </w:rPr>
        <w:t>2.5行业分布</w:t>
      </w:r>
    </w:p>
    <w:p>
      <w:pPr>
        <w:keepNext w:val="0"/>
        <w:keepLines w:val="0"/>
        <w:pageBreakBefore w:val="0"/>
        <w:kinsoku/>
        <w:wordWrap/>
        <w:overflowPunct/>
        <w:topLinePunct w:val="0"/>
        <w:autoSpaceDE/>
        <w:autoSpaceDN/>
        <w:bidi w:val="0"/>
        <w:adjustRightInd/>
        <w:snapToGrid/>
        <w:spacing w:line="360" w:lineRule="auto"/>
        <w:ind w:firstLine="480"/>
        <w:textAlignment w:val="auto"/>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2022届毕业生中，根据排名，在“建筑业”就业人数最多，有46人（20.81%），其次是制造业33人（14.93%），文化、体育和娱乐业32人（14.48%），批发和零售业30人（13.57%），信息传输、软件和信息技术服务业27人（12.22%），教育23人（10.41%），这与本学院毕业生专业技术相关度较高。</w:t>
      </w:r>
    </w:p>
    <w:p>
      <w:pPr>
        <w:spacing w:line="360" w:lineRule="auto"/>
        <w:ind w:firstLine="480"/>
        <w:rPr>
          <w:rFonts w:hint="default" w:ascii="宋体" w:hAnsi="宋体" w:eastAsia="宋体" w:cs="宋体"/>
          <w:kern w:val="0"/>
          <w:sz w:val="24"/>
          <w:szCs w:val="24"/>
          <w:lang w:val="en-US" w:eastAsia="zh-CN"/>
        </w:rPr>
      </w:pPr>
      <w:r>
        <w:rPr>
          <w:rFonts w:hint="default" w:ascii="宋体" w:hAnsi="宋体" w:eastAsia="宋体" w:cs="宋体"/>
          <w:kern w:val="0"/>
          <w:sz w:val="24"/>
          <w:szCs w:val="24"/>
          <w:lang w:val="en-US" w:eastAsia="zh-CN"/>
        </w:rPr>
        <w:object>
          <v:shape id="_x0000_i1035" o:spt="75" type="#_x0000_t75" style="height:242.4pt;width:367.2pt;" o:ole="t" filled="f" o:preferrelative="t" stroked="f" coordsize="21600,21600">
            <v:path/>
            <v:fill on="f" focussize="0,0"/>
            <v:stroke on="f"/>
            <v:imagedata r:id="rId64" o:title=""/>
            <o:lock v:ext="edit" aspectratio="t"/>
            <w10:wrap type="none"/>
            <w10:anchorlock/>
          </v:shape>
          <o:OLEObject Type="Embed" ProgID="Excel.Chart.8" ShapeID="_x0000_i1035" DrawAspect="Content" ObjectID="_1468075737" r:id="rId63">
            <o:LockedField>false</o:LockedField>
          </o:OLEObject>
        </w:object>
      </w:r>
    </w:p>
    <w:p>
      <w:pPr>
        <w:spacing w:line="360" w:lineRule="auto"/>
        <w:ind w:firstLine="480"/>
        <w:jc w:val="center"/>
        <w:rPr>
          <w:rFonts w:hint="eastAsia" w:ascii="华文仿宋" w:hAnsi="华文仿宋" w:eastAsia="华文仿宋" w:cs="华文仿宋"/>
          <w:bCs/>
          <w:color w:val="000000"/>
          <w:sz w:val="21"/>
          <w:szCs w:val="21"/>
          <w:lang w:val="en-US" w:eastAsia="zh-CN"/>
        </w:rPr>
      </w:pPr>
      <w:r>
        <w:rPr>
          <w:rFonts w:hint="eastAsia" w:ascii="华文仿宋" w:hAnsi="华文仿宋" w:eastAsia="华文仿宋" w:cs="华文仿宋"/>
          <w:bCs/>
          <w:color w:val="000000"/>
          <w:sz w:val="21"/>
          <w:szCs w:val="21"/>
          <w:lang w:val="en-US" w:eastAsia="zh-CN"/>
        </w:rPr>
        <w:t>图2-4设计学院2022届毕业生就业行业分布图</w:t>
      </w:r>
    </w:p>
    <w:p>
      <w:pPr>
        <w:keepNext w:val="0"/>
        <w:keepLines w:val="0"/>
        <w:pageBreakBefore w:val="0"/>
        <w:widowControl/>
        <w:numPr>
          <w:ilvl w:val="0"/>
          <w:numId w:val="0"/>
        </w:numPr>
        <w:kinsoku/>
        <w:wordWrap/>
        <w:overflowPunct/>
        <w:topLinePunct w:val="0"/>
        <w:autoSpaceDE/>
        <w:autoSpaceDN/>
        <w:bidi w:val="0"/>
        <w:adjustRightInd/>
        <w:snapToGrid/>
        <w:spacing w:line="360" w:lineRule="auto"/>
        <w:ind w:leftChars="0"/>
        <w:textAlignment w:val="auto"/>
        <w:rPr>
          <w:rFonts w:hint="default" w:ascii="宋体" w:hAnsi="宋体" w:eastAsia="宋体" w:cs="宋体"/>
          <w:b/>
          <w:kern w:val="0"/>
          <w:sz w:val="24"/>
          <w:szCs w:val="24"/>
          <w:lang w:val="en-US" w:eastAsia="zh-CN"/>
        </w:rPr>
      </w:pPr>
      <w:r>
        <w:rPr>
          <w:rFonts w:hint="eastAsia" w:ascii="宋体" w:hAnsi="宋体" w:eastAsia="宋体" w:cs="宋体"/>
          <w:b/>
          <w:kern w:val="0"/>
          <w:sz w:val="24"/>
          <w:szCs w:val="24"/>
          <w:lang w:val="en-US" w:eastAsia="zh-CN"/>
        </w:rPr>
        <w:t>2.6岗位分布</w:t>
      </w:r>
    </w:p>
    <w:p>
      <w:pPr>
        <w:keepNext w:val="0"/>
        <w:keepLines w:val="0"/>
        <w:pageBreakBefore w:val="0"/>
        <w:widowControl/>
        <w:kinsoku/>
        <w:wordWrap/>
        <w:overflowPunct/>
        <w:topLinePunct w:val="0"/>
        <w:autoSpaceDE/>
        <w:autoSpaceDN/>
        <w:bidi w:val="0"/>
        <w:adjustRightInd/>
        <w:snapToGrid/>
        <w:spacing w:line="360" w:lineRule="auto"/>
        <w:ind w:firstLine="470" w:firstLineChars="196"/>
        <w:textAlignment w:val="auto"/>
        <w:rPr>
          <w:rFonts w:hint="eastAsia" w:ascii="宋体" w:hAnsi="宋体"/>
          <w:sz w:val="24"/>
          <w:szCs w:val="24"/>
          <w:lang w:val="en-US" w:eastAsia="zh-CN"/>
        </w:rPr>
      </w:pPr>
      <w:r>
        <w:rPr>
          <w:rFonts w:hint="eastAsia" w:ascii="宋体" w:hAnsi="宋体"/>
          <w:sz w:val="24"/>
          <w:szCs w:val="24"/>
          <w:lang w:eastAsia="zh-CN"/>
        </w:rPr>
        <w:t>“</w:t>
      </w:r>
      <w:r>
        <w:rPr>
          <w:rFonts w:hint="eastAsia" w:ascii="宋体" w:hAnsi="宋体"/>
          <w:sz w:val="24"/>
          <w:szCs w:val="24"/>
          <w:lang w:val="en-US" w:eastAsia="zh-CN"/>
        </w:rPr>
        <w:t>其他专业技术人员”是我院2022届已就业毕业生从事最多的岗位类型，共有93人，占比达到42.08%，接近就业总数的一半，其次是“文学艺术工作人员”63人（28.51%），“工程技术人员”26人（11.76%），“办事人员和有关人员</w:t>
      </w:r>
      <w:r>
        <w:rPr>
          <w:rFonts w:hint="default" w:ascii="宋体" w:hAnsi="宋体"/>
          <w:sz w:val="24"/>
          <w:szCs w:val="24"/>
          <w:lang w:val="en-US" w:eastAsia="zh-CN"/>
        </w:rPr>
        <w:t>”</w:t>
      </w:r>
      <w:r>
        <w:rPr>
          <w:rFonts w:hint="eastAsia" w:ascii="宋体" w:hAnsi="宋体"/>
          <w:sz w:val="24"/>
          <w:szCs w:val="24"/>
          <w:lang w:val="en-US" w:eastAsia="zh-CN"/>
        </w:rPr>
        <w:t>15人（6.79%），“教学人员”11人（4.98%），符合我院应用型教学定位。</w:t>
      </w:r>
    </w:p>
    <w:p>
      <w:pPr>
        <w:widowControl/>
        <w:spacing w:line="360" w:lineRule="auto"/>
        <w:ind w:firstLine="470" w:firstLineChars="196"/>
        <w:rPr>
          <w:rFonts w:hint="default" w:ascii="宋体" w:hAnsi="宋体"/>
          <w:sz w:val="24"/>
          <w:szCs w:val="24"/>
          <w:lang w:val="en-US" w:eastAsia="zh-CN"/>
        </w:rPr>
      </w:pPr>
      <w:r>
        <w:rPr>
          <w:rFonts w:hint="default" w:ascii="宋体" w:hAnsi="宋体"/>
          <w:sz w:val="24"/>
          <w:szCs w:val="24"/>
          <w:lang w:val="en-US" w:eastAsia="zh-CN"/>
        </w:rPr>
        <w:object>
          <v:shape id="_x0000_i1036" o:spt="75" type="#_x0000_t75" style="height:242.4pt;width:367.2pt;" o:ole="t" filled="f" o:preferrelative="t" stroked="f" coordsize="21600,21600">
            <v:path/>
            <v:fill on="f" focussize="0,0"/>
            <v:stroke on="f"/>
            <v:imagedata r:id="rId66" o:title=""/>
            <o:lock v:ext="edit" aspectratio="t"/>
            <w10:wrap type="none"/>
            <w10:anchorlock/>
          </v:shape>
          <o:OLEObject Type="Embed" ProgID="Excel.Chart.8" ShapeID="_x0000_i1036" DrawAspect="Content" ObjectID="_1468075738" r:id="rId65">
            <o:LockedField>false</o:LockedField>
          </o:OLEObject>
        </w:object>
      </w:r>
    </w:p>
    <w:p>
      <w:pPr>
        <w:spacing w:line="360" w:lineRule="auto"/>
        <w:ind w:firstLine="480"/>
        <w:jc w:val="center"/>
        <w:rPr>
          <w:rFonts w:hint="eastAsia" w:ascii="华文仿宋" w:hAnsi="华文仿宋" w:eastAsia="华文仿宋" w:cs="华文仿宋"/>
          <w:bCs/>
          <w:color w:val="000000"/>
          <w:sz w:val="21"/>
          <w:szCs w:val="21"/>
          <w:lang w:val="en-US" w:eastAsia="zh-CN"/>
        </w:rPr>
      </w:pPr>
      <w:r>
        <w:rPr>
          <w:rFonts w:hint="eastAsia" w:ascii="华文仿宋" w:hAnsi="华文仿宋" w:eastAsia="华文仿宋" w:cs="华文仿宋"/>
          <w:bCs/>
          <w:color w:val="000000"/>
          <w:sz w:val="21"/>
          <w:szCs w:val="21"/>
          <w:lang w:val="en-US" w:eastAsia="zh-CN"/>
        </w:rPr>
        <w:t>图2-5设计学院2022届毕业生就业岗位分布图</w:t>
      </w:r>
    </w:p>
    <w:p>
      <w:pPr>
        <w:keepNext w:val="0"/>
        <w:keepLines w:val="0"/>
        <w:pageBreakBefore w:val="0"/>
        <w:widowControl/>
        <w:kinsoku/>
        <w:wordWrap/>
        <w:overflowPunct/>
        <w:topLinePunct w:val="0"/>
        <w:autoSpaceDE/>
        <w:autoSpaceDN/>
        <w:bidi w:val="0"/>
        <w:adjustRightInd/>
        <w:snapToGrid/>
        <w:spacing w:line="360" w:lineRule="auto"/>
        <w:textAlignment w:val="auto"/>
        <w:rPr>
          <w:rFonts w:hint="eastAsia" w:ascii="宋体" w:hAnsi="宋体" w:eastAsia="宋体" w:cs="宋体"/>
          <w:b/>
          <w:kern w:val="0"/>
          <w:sz w:val="24"/>
          <w:szCs w:val="24"/>
        </w:rPr>
      </w:pPr>
      <w:r>
        <w:rPr>
          <w:rFonts w:hint="eastAsia" w:ascii="宋体" w:hAnsi="宋体" w:eastAsia="宋体" w:cs="宋体"/>
          <w:b/>
          <w:kern w:val="0"/>
          <w:sz w:val="24"/>
          <w:szCs w:val="24"/>
          <w:lang w:val="en-US" w:eastAsia="zh-CN"/>
        </w:rPr>
        <w:t>3</w:t>
      </w:r>
      <w:r>
        <w:rPr>
          <w:rFonts w:hint="eastAsia" w:ascii="宋体" w:hAnsi="宋体" w:eastAsia="宋体" w:cs="宋体"/>
          <w:b/>
          <w:kern w:val="0"/>
          <w:sz w:val="24"/>
          <w:szCs w:val="24"/>
        </w:rPr>
        <w:t>、</w:t>
      </w:r>
      <w:r>
        <w:rPr>
          <w:rFonts w:hint="eastAsia" w:ascii="宋体" w:hAnsi="宋体" w:eastAsia="宋体" w:cs="宋体"/>
          <w:b/>
          <w:kern w:val="0"/>
          <w:sz w:val="24"/>
          <w:szCs w:val="24"/>
          <w:lang w:eastAsia="zh-CN"/>
        </w:rPr>
        <w:t>设计学院</w:t>
      </w:r>
      <w:r>
        <w:rPr>
          <w:rFonts w:hint="eastAsia" w:ascii="宋体" w:hAnsi="宋体" w:eastAsia="宋体" w:cs="宋体"/>
          <w:b/>
          <w:kern w:val="0"/>
          <w:sz w:val="24"/>
          <w:szCs w:val="24"/>
        </w:rPr>
        <w:t>专业市场需求调查情况</w:t>
      </w:r>
    </w:p>
    <w:p>
      <w:pPr>
        <w:keepNext w:val="0"/>
        <w:keepLines w:val="0"/>
        <w:pageBreakBefore w:val="0"/>
        <w:widowControl/>
        <w:kinsoku/>
        <w:wordWrap/>
        <w:overflowPunct/>
        <w:topLinePunct w:val="0"/>
        <w:autoSpaceDE/>
        <w:autoSpaceDN/>
        <w:bidi w:val="0"/>
        <w:adjustRightInd/>
        <w:snapToGrid/>
        <w:spacing w:line="360" w:lineRule="auto"/>
        <w:textAlignment w:val="auto"/>
        <w:rPr>
          <w:rFonts w:hint="eastAsia" w:ascii="宋体" w:hAnsi="宋体" w:eastAsia="宋体" w:cs="宋体"/>
          <w:b/>
          <w:kern w:val="0"/>
          <w:sz w:val="24"/>
          <w:szCs w:val="24"/>
        </w:rPr>
      </w:pPr>
      <w:r>
        <w:rPr>
          <w:rFonts w:hint="eastAsia" w:ascii="宋体" w:hAnsi="宋体" w:eastAsia="宋体" w:cs="宋体"/>
          <w:b/>
          <w:kern w:val="0"/>
          <w:sz w:val="24"/>
          <w:szCs w:val="24"/>
          <w:lang w:val="en-US" w:eastAsia="zh-CN"/>
        </w:rPr>
        <w:t>3.1</w:t>
      </w:r>
      <w:r>
        <w:rPr>
          <w:rFonts w:hint="eastAsia" w:ascii="宋体" w:hAnsi="宋体" w:eastAsia="宋体" w:cs="宋体"/>
          <w:b/>
          <w:kern w:val="0"/>
          <w:sz w:val="24"/>
          <w:szCs w:val="24"/>
        </w:rPr>
        <w:t>工业设计专业市场需求情况</w:t>
      </w:r>
    </w:p>
    <w:p>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kern w:val="0"/>
          <w:sz w:val="24"/>
          <w:szCs w:val="24"/>
          <w:lang w:eastAsia="zh-CN"/>
        </w:rPr>
      </w:pPr>
      <w:r>
        <w:rPr>
          <w:rFonts w:hint="eastAsia" w:ascii="宋体" w:hAnsi="宋体" w:eastAsia="宋体" w:cs="宋体"/>
          <w:kern w:val="0"/>
          <w:sz w:val="24"/>
          <w:szCs w:val="24"/>
        </w:rPr>
        <w:t>工业设计是一门随着现代工业的兴起而产生的以工业产品设计为主要研究对象的学科。中国加入WTO之后，我国现代工业的不断进步，人民生活水平的提高，我国的工业设计越来越受重视，具有广阔的市场和就业前景。这个时代是体现个性消费的时代，这个时代是一个以消费者为导向的时代，而工业设计正是企业和消费者之间的纽带。工业设计，作为一种创新的手段，不仅在过去的时代中深远的影响和推动了社会的发展，而且在新的世纪中，也和其他领域一同携手，为人类共同创造更加高效、舒适、安全、健康的生活</w:t>
      </w:r>
      <w:r>
        <w:rPr>
          <w:rFonts w:hint="eastAsia" w:ascii="宋体" w:hAnsi="宋体" w:eastAsia="宋体" w:cs="宋体"/>
          <w:kern w:val="0"/>
          <w:sz w:val="24"/>
          <w:szCs w:val="24"/>
          <w:lang w:eastAsia="zh-CN"/>
        </w:rPr>
        <w:t>。进入21世纪，更多企业已意识到工业设计的重要性。现代工业产品的市场，在很大程度上依赖工业设计的成功。随着高科技技术的发展，产品的质量不再是主要矛盾，抢占市场，获胜的关键在于工业设计的创新，在于其能否引导世界潮流。今天的汽车、手机、电脑市场中，各企业越来越关注其设计问题，谁的工业设计有创新能取胜，谁就能赢得市场。目前国外许多大企业都拥有庞大的设计机构，象日本东芝，拥有的工业设计师数以百计。还有国内大企业海尔集团，就高薪聘用了多名外国工业设计专家，每年投入的开发设计费达8000多万元。这些高投入获得了高回报，海尔产品广泛行销海外世界市场就是一个证明。这说明市场需求更多的专业设计人才，工业设计越来越在市场受到重视，起到举足轻重的作用。</w:t>
      </w:r>
    </w:p>
    <w:p>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kern w:val="0"/>
          <w:sz w:val="24"/>
          <w:szCs w:val="24"/>
        </w:rPr>
      </w:pPr>
      <w:r>
        <w:rPr>
          <w:rFonts w:hint="eastAsia" w:ascii="宋体" w:hAnsi="宋体" w:eastAsia="宋体" w:cs="宋体"/>
          <w:kern w:val="0"/>
          <w:sz w:val="24"/>
          <w:szCs w:val="24"/>
        </w:rPr>
        <w:t>目前，市场对工业设计专业毕业生的需求有一定数量，但</w:t>
      </w:r>
      <w:r>
        <w:rPr>
          <w:rFonts w:hint="eastAsia" w:ascii="宋体" w:hAnsi="宋体" w:eastAsia="宋体" w:cs="宋体"/>
          <w:kern w:val="0"/>
          <w:sz w:val="24"/>
          <w:szCs w:val="24"/>
          <w:lang w:val="en-US" w:eastAsia="zh-CN"/>
        </w:rPr>
        <w:t>受到机械等相关专业冲击较大，存在一定的可替代性</w:t>
      </w:r>
      <w:r>
        <w:rPr>
          <w:rFonts w:hint="eastAsia" w:ascii="宋体" w:hAnsi="宋体" w:eastAsia="宋体" w:cs="宋体"/>
          <w:kern w:val="0"/>
          <w:sz w:val="24"/>
          <w:szCs w:val="24"/>
        </w:rPr>
        <w:t>，</w:t>
      </w:r>
      <w:r>
        <w:rPr>
          <w:rFonts w:hint="eastAsia" w:ascii="宋体" w:hAnsi="宋体" w:eastAsia="宋体" w:cs="宋体"/>
          <w:kern w:val="0"/>
          <w:sz w:val="24"/>
          <w:szCs w:val="24"/>
          <w:lang w:val="en-US" w:eastAsia="zh-CN"/>
        </w:rPr>
        <w:t>经过调查发现，市场对于该专业需求</w:t>
      </w:r>
      <w:r>
        <w:rPr>
          <w:rFonts w:hint="eastAsia" w:ascii="宋体" w:hAnsi="宋体" w:eastAsia="宋体" w:cs="宋体"/>
          <w:kern w:val="0"/>
          <w:sz w:val="24"/>
          <w:szCs w:val="24"/>
        </w:rPr>
        <w:t>主要表现在（1）地区分布不平衡。在我国工业设计是在20世纪80年代以后才兴起和发展的,地区发展很不平衡。即使对于东南沿海较为发达的地区而言,也存在着巨大的地区差异,毕业生就业的选择余地相当有限,许许多多的工业设计毕业生不得不为了工作在毕业前后辗转多处而寻求落脚点。（2）工业设计人才总体上缺乏。在“中国工业设计周”了解的数据显示：我国近20年来培养的工业设计专业毕业生仅3万人左右,只相当于韩国目前该专业在校生的数量。由此可见,从宏观上我国的工业设计人才却显现出严重的不足和匮乏。（3）工业设计专业毕业生改行人数相对居多。根据往年对我系工业设计专业毕业生的回访发现，在近5年毕业的工业设计专业毕业生当中,每年约有30%至40%的人流向包装和商标设计等行当,有40%左右的人改行去搞装潢、广告,也有部分毕业生到网站进行网页设计,真正去做工业设计的人很少。（4）工业设计专业毕业生待遇一般。目前本科工业设计毕业生的月工资水平从4500—7500元不等,工资跨度大且不稳定是工业设计专业毕业生就业问题的又一显著特征,所以工业设计毕业生刚参加工作以后的跳槽频率也相对较高。</w:t>
      </w:r>
    </w:p>
    <w:p>
      <w:pPr>
        <w:keepNext w:val="0"/>
        <w:keepLines w:val="0"/>
        <w:pageBreakBefore w:val="0"/>
        <w:widowControl/>
        <w:kinsoku/>
        <w:wordWrap/>
        <w:overflowPunct/>
        <w:topLinePunct w:val="0"/>
        <w:autoSpaceDE/>
        <w:autoSpaceDN/>
        <w:bidi w:val="0"/>
        <w:adjustRightInd/>
        <w:snapToGrid/>
        <w:spacing w:line="360" w:lineRule="auto"/>
        <w:textAlignment w:val="auto"/>
        <w:rPr>
          <w:rFonts w:hint="eastAsia" w:ascii="宋体" w:hAnsi="宋体" w:eastAsia="宋体" w:cs="宋体"/>
          <w:b/>
          <w:kern w:val="0"/>
          <w:sz w:val="24"/>
          <w:szCs w:val="24"/>
        </w:rPr>
      </w:pPr>
      <w:r>
        <w:rPr>
          <w:rFonts w:hint="eastAsia" w:ascii="宋体" w:hAnsi="宋体" w:eastAsia="宋体" w:cs="宋体"/>
          <w:b/>
          <w:kern w:val="0"/>
          <w:sz w:val="24"/>
          <w:szCs w:val="24"/>
          <w:lang w:val="en-US" w:eastAsia="zh-CN"/>
        </w:rPr>
        <w:t>3.</w:t>
      </w:r>
      <w:r>
        <w:rPr>
          <w:rFonts w:hint="eastAsia" w:ascii="宋体" w:hAnsi="宋体" w:eastAsia="宋体" w:cs="宋体"/>
          <w:b/>
          <w:kern w:val="0"/>
          <w:sz w:val="24"/>
          <w:szCs w:val="24"/>
        </w:rPr>
        <w:t>2视觉传达设计毕业生市场需求现状</w:t>
      </w:r>
    </w:p>
    <w:p>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视觉传达设计是指设计者利用平面视觉符号——文字、插图和标志，来传递给接受者各种信息的设计。创意产业在发达国家是一个兴旺的产业，利润极高，我国设计比欧美发达国家要落后30-50年，所以在设计领域有着巨大的发展空间，平面设计行业是最有发展潜力的行业之一。社会上对视觉传达设计专业方面的人才需求量与日俱增。虽然国内各主要艺术院校和综合性大学艺术系的有关专业都不断地在扩大招生人数，但培养出的设计专业人才还是远远不能满足社会的需要，呈现出供不应求的状态。由于商品市场的刺激和需求，视觉传达设计行业一直是社会热门行业。</w:t>
      </w:r>
    </w:p>
    <w:p>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Cs/>
          <w:kern w:val="0"/>
          <w:sz w:val="24"/>
          <w:szCs w:val="24"/>
        </w:rPr>
      </w:pPr>
      <w:r>
        <w:rPr>
          <w:rFonts w:hint="eastAsia" w:ascii="宋体" w:hAnsi="宋体" w:eastAsia="宋体" w:cs="宋体"/>
          <w:bCs/>
          <w:kern w:val="0"/>
          <w:sz w:val="24"/>
          <w:szCs w:val="24"/>
        </w:rPr>
        <w:t>视觉传达设计作为一种有偿的、付费的信息传播形式，它利用各种传播媒介被设计内容传播给大众。同时，视觉传达设计也是文化观念的载体之一，在一定的社会文化环境中就会产生适应这种社会文化环境的广告。一方面，视觉传达设计受到特定的社会文化环境的影响，是反应社会文化的一面镜子；另一方面，视觉传达设计本身就是社会文化的一个组成部分，对整个社会文化有着潜移默化的巨大影响。</w:t>
      </w:r>
    </w:p>
    <w:p>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kern w:val="0"/>
          <w:sz w:val="24"/>
          <w:szCs w:val="24"/>
        </w:rPr>
      </w:pPr>
      <w:r>
        <w:rPr>
          <w:rFonts w:hint="eastAsia" w:ascii="宋体" w:hAnsi="宋体" w:eastAsia="宋体" w:cs="宋体"/>
          <w:bCs/>
          <w:kern w:val="0"/>
          <w:sz w:val="24"/>
          <w:szCs w:val="24"/>
        </w:rPr>
        <w:t>视觉传达专业毕业生市场需求量相对来说比较大，因为现在什么公司都需要宣传推广，不论是产品还是任何东西，都需要审美，需要塑造品牌形象，所以现在的公司都设有广告部，这是优势。从我</w:t>
      </w:r>
      <w:r>
        <w:rPr>
          <w:rFonts w:hint="eastAsia" w:ascii="宋体" w:hAnsi="宋体" w:eastAsia="宋体" w:cs="宋体"/>
          <w:bCs/>
          <w:kern w:val="0"/>
          <w:sz w:val="24"/>
          <w:szCs w:val="24"/>
          <w:lang w:val="en-US" w:eastAsia="zh-CN"/>
        </w:rPr>
        <w:t>院</w:t>
      </w:r>
      <w:r>
        <w:rPr>
          <w:rFonts w:hint="eastAsia" w:ascii="宋体" w:hAnsi="宋体" w:eastAsia="宋体" w:cs="宋体"/>
          <w:bCs/>
          <w:kern w:val="0"/>
          <w:sz w:val="24"/>
          <w:szCs w:val="24"/>
        </w:rPr>
        <w:t>视觉传达学生就业结构中看出，现在视觉传达设计学生就业在各媒体，包括电视、报纸、杂志、车体、车内、展位、户外都有很好的发展趋势，也被各商家所看好。但同时也存在一定的问题，即市场上就业范围很广泛，但是薪资方面相对于建筑设计、景观设计、工业设计、产品设计来说会比较低，因此竞争激烈，毕业生跳槽频繁。但是如果在这一行业做久了，对自身也是一个相当的提高，而且有利于个人发展，对以后的从事行业也有一定的帮助。</w:t>
      </w:r>
    </w:p>
    <w:p>
      <w:pPr>
        <w:keepNext w:val="0"/>
        <w:keepLines w:val="0"/>
        <w:pageBreakBefore w:val="0"/>
        <w:widowControl/>
        <w:kinsoku/>
        <w:wordWrap/>
        <w:overflowPunct/>
        <w:topLinePunct w:val="0"/>
        <w:autoSpaceDE/>
        <w:autoSpaceDN/>
        <w:bidi w:val="0"/>
        <w:adjustRightInd/>
        <w:snapToGrid/>
        <w:spacing w:line="360" w:lineRule="auto"/>
        <w:textAlignment w:val="auto"/>
        <w:rPr>
          <w:rFonts w:hint="eastAsia" w:ascii="宋体" w:hAnsi="宋体" w:eastAsia="宋体" w:cs="宋体"/>
          <w:b/>
          <w:kern w:val="0"/>
          <w:sz w:val="24"/>
          <w:szCs w:val="24"/>
        </w:rPr>
      </w:pPr>
      <w:r>
        <w:rPr>
          <w:rFonts w:hint="eastAsia" w:ascii="宋体" w:hAnsi="宋体" w:eastAsia="宋体" w:cs="宋体"/>
          <w:b/>
          <w:kern w:val="0"/>
          <w:sz w:val="24"/>
          <w:szCs w:val="24"/>
          <w:lang w:val="en-US" w:eastAsia="zh-CN"/>
        </w:rPr>
        <w:t>3.</w:t>
      </w:r>
      <w:r>
        <w:rPr>
          <w:rFonts w:hint="eastAsia" w:ascii="宋体" w:hAnsi="宋体" w:eastAsia="宋体" w:cs="宋体"/>
          <w:b/>
          <w:kern w:val="0"/>
          <w:sz w:val="24"/>
          <w:szCs w:val="24"/>
        </w:rPr>
        <w:t>3动画专业市场需求现状</w:t>
      </w:r>
    </w:p>
    <w:p>
      <w:pPr>
        <w:keepNext w:val="0"/>
        <w:keepLines w:val="0"/>
        <w:pageBreakBefore w:val="0"/>
        <w:widowControl/>
        <w:kinsoku/>
        <w:wordWrap/>
        <w:overflowPunct/>
        <w:topLinePunct w:val="0"/>
        <w:autoSpaceDE/>
        <w:autoSpaceDN/>
        <w:bidi w:val="0"/>
        <w:adjustRightInd/>
        <w:snapToGrid/>
        <w:spacing w:line="360" w:lineRule="auto"/>
        <w:ind w:firstLine="436" w:firstLineChars="182"/>
        <w:textAlignment w:val="auto"/>
        <w:rPr>
          <w:rFonts w:hint="eastAsia" w:ascii="宋体" w:hAnsi="宋体" w:eastAsia="宋体" w:cs="宋体"/>
          <w:kern w:val="0"/>
          <w:sz w:val="24"/>
          <w:szCs w:val="24"/>
        </w:rPr>
      </w:pPr>
      <w:r>
        <w:rPr>
          <w:rFonts w:hint="eastAsia" w:ascii="宋体" w:hAnsi="宋体" w:eastAsia="宋体" w:cs="宋体"/>
          <w:kern w:val="0"/>
          <w:sz w:val="24"/>
          <w:szCs w:val="24"/>
        </w:rPr>
        <w:t>伴随着市场经济的不断完善，国家更加注重软实力的发展，因此动漫产业在科学技术的应用之下，也呈现着多元化的发展。动漫产业的发展无疑需要大量的专业人才进行相关的创作支持和发展。因此，各大高校以及一些的高职高专类院校，在动画专业的人才培养方面，也通过不断扩张来满足市场的需要。但是通过对于各类院校的扩招力度可以看出，动画专业和动画人数都在进行几何式的递增。但过快的产业发展，就会造成生产关系的混乱。尤其对于国内发展的新兴行业而言，由于不能够立足于实践而进行的盲目式的发展，虽然大方向迎合市场发展需求，但是没有将市场需求细致化进行人才的培养，而且教育方式、办学水平、学生能力等等问题的存在都影响着高校动画毕业生近年来的就业率。</w:t>
      </w:r>
    </w:p>
    <w:p>
      <w:pPr>
        <w:keepNext w:val="0"/>
        <w:keepLines w:val="0"/>
        <w:pageBreakBefore w:val="0"/>
        <w:widowControl/>
        <w:kinsoku/>
        <w:wordWrap/>
        <w:overflowPunct/>
        <w:topLinePunct w:val="0"/>
        <w:autoSpaceDE/>
        <w:autoSpaceDN/>
        <w:bidi w:val="0"/>
        <w:adjustRightInd/>
        <w:snapToGrid/>
        <w:spacing w:line="360" w:lineRule="auto"/>
        <w:ind w:firstLine="436" w:firstLineChars="182"/>
        <w:textAlignment w:val="auto"/>
        <w:rPr>
          <w:rFonts w:hint="eastAsia" w:ascii="宋体" w:hAnsi="宋体" w:eastAsia="宋体" w:cs="宋体"/>
          <w:kern w:val="0"/>
          <w:sz w:val="24"/>
          <w:szCs w:val="24"/>
        </w:rPr>
      </w:pPr>
      <w:r>
        <w:rPr>
          <w:rFonts w:hint="eastAsia" w:ascii="宋体" w:hAnsi="宋体" w:eastAsia="宋体" w:cs="宋体"/>
          <w:kern w:val="0"/>
          <w:sz w:val="24"/>
          <w:szCs w:val="24"/>
        </w:rPr>
        <w:t>动漫产业是文化产业的重要组成部分,是21世纪最具发展潜力的朝阳产业，具有当今知识经济的全部特征，并且具有完全的产业链，在文化产业中处于龙头地位。动画是一个综合性的行业，主要特点是科技含量高。本专业学生毕业后可以就业于二维动画设计师、动画原画设计师、动画模型设计师、动画衍生产品设计、平面设计师，也可在影视动画制作及电视传媒行业、广告传播等商业制作公司，游戏、网络动画等互联网互动娱乐领域，手机游戏、手机动漫等无线娱乐领域从事相关工作。</w:t>
      </w:r>
    </w:p>
    <w:p>
      <w:pPr>
        <w:keepNext w:val="0"/>
        <w:keepLines w:val="0"/>
        <w:pageBreakBefore w:val="0"/>
        <w:widowControl/>
        <w:kinsoku/>
        <w:wordWrap/>
        <w:overflowPunct/>
        <w:topLinePunct w:val="0"/>
        <w:autoSpaceDE/>
        <w:autoSpaceDN/>
        <w:bidi w:val="0"/>
        <w:adjustRightInd/>
        <w:snapToGrid/>
        <w:spacing w:line="360" w:lineRule="auto"/>
        <w:ind w:firstLine="436" w:firstLineChars="182"/>
        <w:textAlignment w:val="auto"/>
        <w:rPr>
          <w:rFonts w:hint="eastAsia" w:ascii="宋体" w:hAnsi="宋体" w:eastAsia="宋体" w:cs="宋体"/>
          <w:kern w:val="0"/>
          <w:sz w:val="24"/>
          <w:szCs w:val="24"/>
        </w:rPr>
      </w:pPr>
      <w:r>
        <w:rPr>
          <w:rFonts w:hint="eastAsia" w:ascii="宋体" w:hAnsi="宋体" w:eastAsia="宋体" w:cs="宋体"/>
          <w:kern w:val="0"/>
          <w:sz w:val="24"/>
          <w:szCs w:val="24"/>
        </w:rPr>
        <w:t>动画产业由于前几年市场前景良好，对于相关专业人才的需求量不断增多，因此一度成为热门行业的首选。因此，各类院校在动画专业的设置和配比上数量也在不断的增多。这样便会导致三四年之后，相关专业的毕业生人数激增，短时间内造成市场饱和。而随之四年之后，每年都有大量的动画专业毕业生融入到市场当中，原本饱和的市场会因为每年宽口径的毕业人数而使得行业呈现一个僧多粥少的尴尬局面。当初动画行业的“用工荒”，已经伴随着各大高校在短时间内的快速扩招，使得整个行业毕业生人数激增，从而导致许多高校动画专业的毕业生在就业过程当中，出现就业难的问题</w:t>
      </w:r>
    </w:p>
    <w:p>
      <w:pPr>
        <w:keepNext w:val="0"/>
        <w:keepLines w:val="0"/>
        <w:pageBreakBefore w:val="0"/>
        <w:widowControl/>
        <w:kinsoku/>
        <w:wordWrap/>
        <w:overflowPunct/>
        <w:topLinePunct w:val="0"/>
        <w:autoSpaceDE/>
        <w:autoSpaceDN/>
        <w:bidi w:val="0"/>
        <w:adjustRightInd/>
        <w:snapToGrid/>
        <w:spacing w:line="360" w:lineRule="auto"/>
        <w:ind w:firstLine="436" w:firstLineChars="182"/>
        <w:textAlignment w:val="auto"/>
        <w:rPr>
          <w:rFonts w:hint="eastAsia" w:ascii="宋体" w:hAnsi="宋体" w:eastAsia="宋体" w:cs="宋体"/>
          <w:kern w:val="0"/>
          <w:sz w:val="24"/>
          <w:szCs w:val="24"/>
        </w:rPr>
      </w:pPr>
      <w:r>
        <w:rPr>
          <w:rFonts w:hint="eastAsia" w:ascii="宋体" w:hAnsi="宋体" w:eastAsia="宋体" w:cs="宋体"/>
          <w:kern w:val="0"/>
          <w:sz w:val="24"/>
          <w:szCs w:val="24"/>
        </w:rPr>
        <w:t>从我</w:t>
      </w:r>
      <w:r>
        <w:rPr>
          <w:rFonts w:hint="eastAsia" w:ascii="宋体" w:hAnsi="宋体" w:eastAsia="宋体" w:cs="宋体"/>
          <w:kern w:val="0"/>
          <w:sz w:val="24"/>
          <w:szCs w:val="24"/>
          <w:lang w:val="en-US" w:eastAsia="zh-CN"/>
        </w:rPr>
        <w:t>院</w:t>
      </w:r>
      <w:r>
        <w:rPr>
          <w:rFonts w:hint="eastAsia" w:ascii="宋体" w:hAnsi="宋体" w:eastAsia="宋体" w:cs="宋体"/>
          <w:kern w:val="0"/>
          <w:sz w:val="24"/>
          <w:szCs w:val="24"/>
        </w:rPr>
        <w:t>毕业生就业分布来看，具有现今知识经济的所有特征，涵盖了艺术、传媒、科研、商业等多种行业，在文化产品中具有重要地位。随着国外大型动画公司和国外电影大片的进入，人们的消费意识和消费行为日趋国际化和时尚化，使得动画消费市场的需求巨增，而动画人才的极度匮乏，已成为制约动画业发展的关键因素。</w:t>
      </w:r>
    </w:p>
    <w:p>
      <w:pPr>
        <w:keepNext w:val="0"/>
        <w:keepLines w:val="0"/>
        <w:pageBreakBefore w:val="0"/>
        <w:widowControl/>
        <w:kinsoku/>
        <w:wordWrap/>
        <w:overflowPunct/>
        <w:topLinePunct w:val="0"/>
        <w:autoSpaceDE/>
        <w:autoSpaceDN/>
        <w:bidi w:val="0"/>
        <w:adjustRightInd/>
        <w:snapToGrid/>
        <w:spacing w:line="360" w:lineRule="auto"/>
        <w:textAlignment w:val="auto"/>
        <w:rPr>
          <w:rFonts w:hint="eastAsia" w:ascii="宋体" w:hAnsi="宋体" w:eastAsia="宋体" w:cs="宋体"/>
          <w:b/>
          <w:bCs/>
          <w:kern w:val="0"/>
          <w:sz w:val="24"/>
          <w:szCs w:val="24"/>
        </w:rPr>
      </w:pPr>
      <w:r>
        <w:rPr>
          <w:rFonts w:hint="eastAsia" w:ascii="宋体" w:hAnsi="宋体" w:eastAsia="宋体" w:cs="宋体"/>
          <w:b/>
          <w:bCs/>
          <w:kern w:val="0"/>
          <w:sz w:val="24"/>
          <w:szCs w:val="24"/>
          <w:lang w:val="en-US" w:eastAsia="zh-CN"/>
        </w:rPr>
        <w:t>3.</w:t>
      </w:r>
      <w:r>
        <w:rPr>
          <w:rFonts w:hint="eastAsia" w:ascii="宋体" w:hAnsi="宋体" w:eastAsia="宋体" w:cs="宋体"/>
          <w:b/>
          <w:bCs/>
          <w:kern w:val="0"/>
          <w:sz w:val="24"/>
          <w:szCs w:val="24"/>
        </w:rPr>
        <w:t>4艺术与科技市场需求现状</w:t>
      </w:r>
    </w:p>
    <w:p>
      <w:pPr>
        <w:keepNext w:val="0"/>
        <w:keepLines w:val="0"/>
        <w:pageBreakBefore w:val="0"/>
        <w:widowControl/>
        <w:kinsoku/>
        <w:wordWrap/>
        <w:overflowPunct/>
        <w:topLinePunct w:val="0"/>
        <w:autoSpaceDE/>
        <w:autoSpaceDN/>
        <w:bidi w:val="0"/>
        <w:adjustRightInd/>
        <w:snapToGrid/>
        <w:spacing w:line="360" w:lineRule="auto"/>
        <w:ind w:firstLine="470" w:firstLineChars="196"/>
        <w:textAlignment w:val="auto"/>
        <w:rPr>
          <w:rFonts w:hint="eastAsia" w:ascii="宋体" w:hAnsi="宋体" w:eastAsia="宋体" w:cs="宋体"/>
          <w:bCs/>
          <w:kern w:val="0"/>
          <w:sz w:val="24"/>
          <w:szCs w:val="24"/>
        </w:rPr>
      </w:pPr>
      <w:r>
        <w:rPr>
          <w:rFonts w:hint="eastAsia" w:ascii="宋体" w:hAnsi="宋体" w:eastAsia="宋体" w:cs="宋体"/>
          <w:bCs/>
          <w:kern w:val="0"/>
          <w:sz w:val="24"/>
          <w:szCs w:val="24"/>
        </w:rPr>
        <w:t>艺术与科技是基于艺术设计与科学技术深度融合的基本理念，结合国家文化发展战略，在文化创意产业和数字内容产业，整合空间、艺术、媒体、技术与商业的视角，在空间环境设计、信息交互设计、新媒体艺术等领域，培养具有国际视野、交叉学科基础和创意创新能力的高端艺术设计人才。艺术与科技专业在会展设计、VR虚拟现实蓬勃发展的大背景下，主要培养会展艺术设计人才和VR虚拟现实设计人才。近年来世博会、智博会、进出口博览会、城市主题展馆、博物馆、科技馆等迅猛发展，由此带动会展经济的发展和对专业设计人才的需求；另外，VR虚拟现实发展迅速，内容覆盖医学、娱乐、军事航天、室内设计、房产开发、工业仿真、文物古迹、虚拟展示、游戏、轨道交通等等领域，VR产业的发展带动大量的虚拟现实设计人才需求。目前，虚拟现实内容设计生产岗位人才稀缺，该专业学生就业市场必将持续火爆。</w:t>
      </w:r>
    </w:p>
    <w:p>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Cs/>
          <w:kern w:val="0"/>
          <w:sz w:val="24"/>
          <w:szCs w:val="24"/>
        </w:rPr>
      </w:pPr>
      <w:r>
        <w:rPr>
          <w:rFonts w:hint="eastAsia" w:ascii="宋体" w:hAnsi="宋体" w:eastAsia="宋体" w:cs="宋体"/>
          <w:bCs/>
          <w:kern w:val="0"/>
          <w:sz w:val="24"/>
          <w:szCs w:val="24"/>
        </w:rPr>
        <w:t>毕业生主要就职范围是文化与创意产业的相关教育、科研机构，或相关企业，包括空间及环境设计公司、IT公司的用户体验与产品开发部门、影视动画公司、数字娱乐相关公司、传媒及媒体艺术机构等。</w:t>
      </w:r>
      <w:r>
        <w:rPr>
          <w:rFonts w:hint="eastAsia" w:ascii="宋体" w:hAnsi="宋体" w:eastAsia="宋体" w:cs="宋体"/>
          <w:bCs/>
          <w:kern w:val="0"/>
          <w:sz w:val="24"/>
          <w:szCs w:val="24"/>
          <w:lang w:val="en-US" w:eastAsia="zh-CN"/>
        </w:rPr>
        <w:t>院</w:t>
      </w:r>
      <w:r>
        <w:rPr>
          <w:rFonts w:hint="eastAsia" w:ascii="宋体" w:hAnsi="宋体" w:eastAsia="宋体" w:cs="宋体"/>
          <w:bCs/>
          <w:kern w:val="0"/>
          <w:sz w:val="24"/>
          <w:szCs w:val="24"/>
        </w:rPr>
        <w:t>与多家公司建立了长期稳定的合作关系，尤其在交流学习方面表现积极，吸取优秀的教学理念，并实施到专业的教学工作中，使学生能够接受到先进的教学，并成为适应社会发展需求的高级专业人才。</w:t>
      </w:r>
    </w:p>
    <w:p>
      <w:pPr>
        <w:keepNext w:val="0"/>
        <w:keepLines w:val="0"/>
        <w:pageBreakBefore w:val="0"/>
        <w:widowControl/>
        <w:kinsoku/>
        <w:wordWrap/>
        <w:overflowPunct/>
        <w:topLinePunct w:val="0"/>
        <w:autoSpaceDE/>
        <w:autoSpaceDN/>
        <w:bidi w:val="0"/>
        <w:adjustRightInd/>
        <w:snapToGrid/>
        <w:spacing w:line="360" w:lineRule="auto"/>
        <w:textAlignment w:val="auto"/>
        <w:rPr>
          <w:rFonts w:hint="eastAsia" w:ascii="宋体" w:hAnsi="宋体" w:eastAsia="宋体" w:cs="宋体"/>
          <w:b/>
          <w:kern w:val="0"/>
          <w:sz w:val="24"/>
          <w:szCs w:val="24"/>
        </w:rPr>
      </w:pPr>
      <w:r>
        <w:rPr>
          <w:rFonts w:hint="eastAsia" w:ascii="宋体" w:hAnsi="宋体" w:eastAsia="宋体" w:cs="宋体"/>
          <w:b/>
          <w:kern w:val="0"/>
          <w:sz w:val="24"/>
          <w:szCs w:val="24"/>
          <w:lang w:val="en-US" w:eastAsia="zh-CN"/>
        </w:rPr>
        <w:t>3.5</w:t>
      </w:r>
      <w:r>
        <w:rPr>
          <w:rFonts w:hint="eastAsia" w:ascii="宋体" w:hAnsi="宋体" w:eastAsia="宋体" w:cs="宋体"/>
          <w:b/>
          <w:kern w:val="0"/>
          <w:sz w:val="24"/>
          <w:szCs w:val="24"/>
        </w:rPr>
        <w:t>环境设计市场需求现状</w:t>
      </w:r>
    </w:p>
    <w:p>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Cs/>
          <w:kern w:val="0"/>
          <w:sz w:val="24"/>
          <w:szCs w:val="24"/>
        </w:rPr>
      </w:pPr>
      <w:r>
        <w:rPr>
          <w:rFonts w:hint="eastAsia" w:ascii="宋体" w:hAnsi="宋体" w:eastAsia="宋体" w:cs="宋体"/>
          <w:bCs/>
          <w:kern w:val="0"/>
          <w:sz w:val="24"/>
          <w:szCs w:val="24"/>
        </w:rPr>
        <w:t>环境艺术设计是一门依靠物质科学技术手段的学科,它建立在现代科学研究基础之上,主要研究的是人与环境之间关系问题.在当今社会中,工业文明给人类带来了前所未有的社会发展,同时也使得人们赖以生存的自然环境亦不断遭到严重的掠夺与破坏,自然生态资源日益枯竭,环境质量急剧恶化,污染日益严重.这时人们开始觉醒并关注自己周围的环境,进而使环境设计发生了重大改变.作为从事环境艺术设计专业的人员,也须对自己所从事的工作进行深层次的思考.</w:t>
      </w:r>
    </w:p>
    <w:p>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Cs/>
          <w:kern w:val="0"/>
          <w:sz w:val="24"/>
          <w:szCs w:val="24"/>
        </w:rPr>
      </w:pPr>
      <w:r>
        <w:rPr>
          <w:rFonts w:hint="eastAsia" w:ascii="宋体" w:hAnsi="宋体" w:eastAsia="宋体" w:cs="宋体"/>
          <w:bCs/>
          <w:kern w:val="0"/>
          <w:sz w:val="24"/>
          <w:szCs w:val="24"/>
        </w:rPr>
        <w:t>环境艺术，是一个新兴的、边缘的、综合艺术系统工程，是一个跨学科的综合性专业，涉及美术、雕塑、装饰文化、建筑基础知识、园林艺术、人体工程学、设计流派、材料学、心理学等多个领域，无论在专业理论的广度，还是在专业技能的多样化上，都具有一定的代表性。环境设计专业培养掌握家居装饰的设计方法，具有施工图及效果图的制作能力，掌握综合预算和简单的技能和技巧，培养面向园林景观设计、室内设计与施工、管理、服务等环境艺术设计领域的专业技能人才。未来10年内，市场对环境艺术设计师的需求每年仍将以20%的比例增长。</w:t>
      </w:r>
    </w:p>
    <w:p>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Cs/>
          <w:kern w:val="0"/>
          <w:sz w:val="24"/>
          <w:szCs w:val="24"/>
        </w:rPr>
      </w:pPr>
      <w:r>
        <w:rPr>
          <w:rFonts w:hint="eastAsia" w:ascii="宋体" w:hAnsi="宋体" w:eastAsia="宋体" w:cs="宋体"/>
          <w:bCs/>
          <w:kern w:val="0"/>
          <w:sz w:val="24"/>
          <w:szCs w:val="24"/>
        </w:rPr>
        <w:t>就业方面，面向园林景观设计、室内设计与施工、管理、服务等环境艺术设计领域的专业技能人才。未来10年内，沿海市场对环境艺术设计师的需求每年仍将以20%的比例增长。“环境艺术”是指环境艺术工程的空间规划，艺术构想方案的综合计划，包括环境与设施计划、空间与装饰计划、造型与构造计划、使用功能与审美功能的计划等。环境艺术设计人才的就业区域分布在人才的就业公司，岗位，区域分布上主要就业单位可以是</w:t>
      </w:r>
      <w:r>
        <w:rPr>
          <w:rFonts w:hint="eastAsia" w:ascii="宋体" w:hAnsi="宋体" w:eastAsia="宋体" w:cs="宋体"/>
          <w:bCs/>
          <w:kern w:val="0"/>
          <w:sz w:val="24"/>
          <w:szCs w:val="24"/>
          <w:lang w:eastAsia="zh-CN"/>
        </w:rPr>
        <w:t>：</w:t>
      </w:r>
      <w:r>
        <w:rPr>
          <w:rFonts w:hint="eastAsia" w:ascii="宋体" w:hAnsi="宋体" w:eastAsia="宋体" w:cs="宋体"/>
          <w:bCs/>
          <w:kern w:val="0"/>
          <w:sz w:val="24"/>
          <w:szCs w:val="24"/>
        </w:rPr>
        <w:t>设计院、建筑公司、园林公司、装饰公司等，岗位一般刚进去是从设计员做起，两年后可胜任高级设计师职位，甚至以后有可能胜任公司领导级从事工程综合管理或自己开公司创业，区域大致分布在江苏，浙江，上海及各省市只要在发展中的城市都会有该专业的发展空间。</w:t>
      </w:r>
    </w:p>
    <w:p>
      <w:pPr>
        <w:keepNext w:val="0"/>
        <w:keepLines w:val="0"/>
        <w:pageBreakBefore w:val="0"/>
        <w:widowControl/>
        <w:kinsoku/>
        <w:wordWrap/>
        <w:overflowPunct/>
        <w:topLinePunct w:val="0"/>
        <w:autoSpaceDE/>
        <w:autoSpaceDN/>
        <w:bidi w:val="0"/>
        <w:adjustRightInd/>
        <w:snapToGrid/>
        <w:spacing w:line="360" w:lineRule="auto"/>
        <w:textAlignment w:val="auto"/>
        <w:rPr>
          <w:rFonts w:hint="eastAsia" w:ascii="宋体" w:hAnsi="宋体" w:eastAsia="宋体" w:cs="宋体"/>
          <w:b/>
          <w:bCs/>
          <w:kern w:val="0"/>
          <w:sz w:val="24"/>
          <w:szCs w:val="24"/>
        </w:rPr>
      </w:pPr>
      <w:r>
        <w:rPr>
          <w:rFonts w:hint="eastAsia" w:ascii="宋体" w:hAnsi="宋体" w:eastAsia="宋体" w:cs="宋体"/>
          <w:b/>
          <w:bCs/>
          <w:kern w:val="0"/>
          <w:sz w:val="24"/>
          <w:szCs w:val="24"/>
          <w:lang w:val="en-US" w:eastAsia="zh-CN"/>
        </w:rPr>
        <w:t>3.</w:t>
      </w:r>
      <w:r>
        <w:rPr>
          <w:rFonts w:hint="eastAsia" w:ascii="宋体" w:hAnsi="宋体" w:eastAsia="宋体" w:cs="宋体"/>
          <w:b/>
          <w:bCs/>
          <w:kern w:val="0"/>
          <w:sz w:val="24"/>
          <w:szCs w:val="24"/>
        </w:rPr>
        <w:t>6产品设计市场需求现状</w:t>
      </w:r>
    </w:p>
    <w:p>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Cs/>
          <w:kern w:val="0"/>
          <w:sz w:val="24"/>
          <w:szCs w:val="24"/>
        </w:rPr>
      </w:pPr>
      <w:r>
        <w:rPr>
          <w:rFonts w:hint="eastAsia" w:ascii="宋体" w:hAnsi="宋体" w:eastAsia="宋体" w:cs="宋体"/>
          <w:bCs/>
          <w:kern w:val="0"/>
          <w:sz w:val="24"/>
          <w:szCs w:val="24"/>
        </w:rPr>
        <w:t>今天的文化、艺术、食品、汽车、手机、电脑市场中，各企业越来越关注设计问题，谁的设计有创新能取胜，谁就能赢得市场。随着移动互联网尤其是电商的迅速发展，产品UI设计已经突破了传统认识，产品设计需要的不再是简单的美工。该行业就业面宽，待遇好，职能越来越细化，需求一直在增加。</w:t>
      </w:r>
    </w:p>
    <w:p>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Cs/>
          <w:kern w:val="0"/>
          <w:sz w:val="24"/>
          <w:szCs w:val="24"/>
        </w:rPr>
      </w:pPr>
      <w:r>
        <w:rPr>
          <w:rFonts w:hint="eastAsia" w:ascii="宋体" w:hAnsi="宋体" w:eastAsia="宋体" w:cs="宋体"/>
          <w:bCs/>
          <w:kern w:val="0"/>
          <w:sz w:val="24"/>
          <w:szCs w:val="24"/>
        </w:rPr>
        <w:t>我国的产品设计正处在由“中国制造”向“中国创造”的转折点上。各种新产品都希望以新颖独特的外观和性能，吸引大众的目光。各行各业对设计人才的需求日渐凸显。学习产品设计的毕业生可从事的工作很多：如可以在互联网、手机、电子、纺织、机械、仪器仪表、交通、家居、家用电器、奢侈品、装饰品、手工艺品、生活用品、食品、旅游产品等行业从事产品开发设计、展示设计、交互设计、设施设计等工作；也可从事产品开发相关的媒体、印刷、包装、广告、营销等研究与管理工作；还可在高校从事教学、科研、产品研究以及顾问等工作。</w:t>
      </w:r>
    </w:p>
    <w:p>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i w:val="0"/>
          <w:caps w:val="0"/>
          <w:color w:val="191919"/>
          <w:spacing w:val="0"/>
          <w:sz w:val="24"/>
          <w:szCs w:val="24"/>
          <w:shd w:val="clear" w:color="auto" w:fill="FFFFFF"/>
          <w:lang w:val="en-US" w:eastAsia="zh-CN"/>
        </w:rPr>
      </w:pPr>
      <w:r>
        <w:rPr>
          <w:rFonts w:hint="eastAsia" w:ascii="宋体" w:hAnsi="宋体" w:eastAsia="宋体" w:cs="宋体"/>
          <w:i w:val="0"/>
          <w:caps w:val="0"/>
          <w:color w:val="191919"/>
          <w:spacing w:val="0"/>
          <w:sz w:val="24"/>
          <w:szCs w:val="24"/>
          <w:shd w:val="clear" w:color="auto" w:fill="FFFFFF"/>
          <w:lang w:val="en-US" w:eastAsia="zh-CN"/>
        </w:rPr>
        <w:t>2020年</w:t>
      </w:r>
      <w:r>
        <w:rPr>
          <w:rFonts w:hint="eastAsia" w:ascii="宋体" w:hAnsi="宋体" w:eastAsia="宋体" w:cs="宋体"/>
          <w:i w:val="0"/>
          <w:caps w:val="0"/>
          <w:color w:val="191919"/>
          <w:spacing w:val="0"/>
          <w:sz w:val="24"/>
          <w:szCs w:val="24"/>
          <w:shd w:val="clear" w:color="auto" w:fill="FFFFFF"/>
        </w:rPr>
        <w:t>这场席卷全球的新冠肺炎疫情又一次让我们认清人类在自然界中的位置。后疫情时期很多行业面临着不可避免的变化，虽然目前人类在各个方面都取得了前所未有的科技进步，但未来依然会面临来自各方面的巨大挑战。因为设计师这个职业从本质上来说是需要实现将人类的思考转化为可以操作的工具和可以执行的过程，所以这一类人群需要有很强的社会责任感。设计的社会角色与核心职责始终是解决问题，解决那些社会前进中面对的各种问题与挑战。当然也包括类似这次疫情防控期间显露出的现有社会体系应对危机风险的不足。这次的疫情防控期间，已经有相关的专业数据分析机构分析得出结论，专业人员和公众对现存环境应对疫情时存在不足的看法。给未来设计人居环境的未来一代设计师们提出了新问题新的挑战，这些都需要设计界调整思路并想尽各种办法去解决这些问题</w:t>
      </w:r>
      <w:r>
        <w:rPr>
          <w:rFonts w:hint="eastAsia" w:ascii="宋体" w:hAnsi="宋体" w:eastAsia="宋体" w:cs="宋体"/>
          <w:i w:val="0"/>
          <w:caps w:val="0"/>
          <w:color w:val="191919"/>
          <w:spacing w:val="0"/>
          <w:sz w:val="24"/>
          <w:szCs w:val="24"/>
          <w:shd w:val="clear" w:color="auto" w:fill="FFFFFF"/>
          <w:lang w:eastAsia="zh-CN"/>
        </w:rPr>
        <w:t>，</w:t>
      </w:r>
      <w:r>
        <w:rPr>
          <w:rFonts w:hint="eastAsia" w:ascii="宋体" w:hAnsi="宋体" w:eastAsia="宋体" w:cs="宋体"/>
          <w:i w:val="0"/>
          <w:caps w:val="0"/>
          <w:color w:val="191919"/>
          <w:spacing w:val="0"/>
          <w:sz w:val="24"/>
          <w:szCs w:val="24"/>
          <w:shd w:val="clear" w:color="auto" w:fill="FFFFFF"/>
          <w:lang w:val="en-US" w:eastAsia="zh-CN"/>
        </w:rPr>
        <w:t>设计行业未来还有很大的发展空间，市场还有很多需求。</w:t>
      </w:r>
    </w:p>
    <w:p>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i w:val="0"/>
          <w:caps w:val="0"/>
          <w:color w:val="191919"/>
          <w:spacing w:val="0"/>
          <w:sz w:val="24"/>
          <w:szCs w:val="24"/>
          <w:shd w:val="clear" w:color="auto" w:fill="FFFFFF"/>
          <w:lang w:val="en-US" w:eastAsia="zh-CN"/>
        </w:rPr>
      </w:pPr>
      <w:r>
        <w:rPr>
          <w:rFonts w:hint="eastAsia" w:ascii="宋体" w:hAnsi="宋体" w:eastAsia="宋体" w:cs="宋体"/>
          <w:kern w:val="0"/>
          <w:sz w:val="24"/>
          <w:szCs w:val="24"/>
        </w:rPr>
        <w:t>就目前来看，新的行业和市场正在悄悄的改头换面，新兴的数据科学正在颠覆现有的行业格局和市场分布，而第四次工业革命对艺术设计领域来说，不仅打散重组了行业内部的布局，也打破了圈外人对艺术设计的认知和理解，所以未来</w:t>
      </w:r>
      <w:r>
        <w:rPr>
          <w:rFonts w:hint="eastAsia" w:ascii="宋体" w:hAnsi="宋体" w:eastAsia="宋体" w:cs="宋体"/>
          <w:kern w:val="0"/>
          <w:sz w:val="24"/>
          <w:szCs w:val="24"/>
          <w:lang w:val="en-US" w:eastAsia="zh-CN"/>
        </w:rPr>
        <w:t>产品</w:t>
      </w:r>
      <w:r>
        <w:rPr>
          <w:rFonts w:hint="eastAsia" w:ascii="宋体" w:hAnsi="宋体" w:eastAsia="宋体" w:cs="宋体"/>
          <w:kern w:val="0"/>
          <w:sz w:val="24"/>
          <w:szCs w:val="24"/>
        </w:rPr>
        <w:t>设计专业可以发挥的地方有很多。而</w:t>
      </w:r>
      <w:r>
        <w:rPr>
          <w:rFonts w:hint="eastAsia" w:ascii="宋体" w:hAnsi="宋体" w:eastAsia="宋体" w:cs="宋体"/>
          <w:kern w:val="0"/>
          <w:sz w:val="24"/>
          <w:szCs w:val="24"/>
          <w:lang w:val="en-US" w:eastAsia="zh-CN"/>
        </w:rPr>
        <w:t>产品</w:t>
      </w:r>
      <w:r>
        <w:rPr>
          <w:rFonts w:hint="eastAsia" w:ascii="宋体" w:hAnsi="宋体" w:eastAsia="宋体" w:cs="宋体"/>
          <w:kern w:val="0"/>
          <w:sz w:val="24"/>
          <w:szCs w:val="24"/>
        </w:rPr>
        <w:t>设计专业在未来发挥最大的一个发挥很大的一个方向可能就是在可持续上，据估算，在未来6年内，可再生能源市场的价值将达到22，530亿美元，到2026年，就业预计增长到115%，因此，面对这个迅猛增值的行业，可持续设计和零污染、零消耗材料设计等都是艺术设计相关的的学生的就业方向</w:t>
      </w:r>
      <w:r>
        <w:rPr>
          <w:rFonts w:hint="eastAsia" w:ascii="宋体" w:hAnsi="宋体" w:eastAsia="宋体" w:cs="宋体"/>
          <w:kern w:val="0"/>
          <w:sz w:val="24"/>
          <w:szCs w:val="24"/>
          <w:lang w:eastAsia="zh-CN"/>
        </w:rPr>
        <w:t>。而随着5G的发展，会给更多的艺术专业带来潜在就业空间，各种新兴的职位和角色也将随着技术的发展慢慢产生，艺术设计也不再同以往一样单纯的做设计创作，而是结合新主题，新技术做更多的为人类服务甚至改变人类社会、推进发展的工作。如未来城市的建设，就需要建筑设计专业相关技能，如何能将空间的运用更加合理和智能是未来建筑设计师必须要考虑的重点。这些新角色将通过人工智能，机器人技术，物联网，自动驾驶汽车，3D打印，纳米技术，生物技术，材料科学，能量存储和量子计算等领域的新兴技术突破而倍增。</w:t>
      </w:r>
    </w:p>
    <w:p>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kern w:val="0"/>
          <w:sz w:val="24"/>
          <w:szCs w:val="24"/>
        </w:rPr>
      </w:pPr>
      <w:r>
        <w:rPr>
          <w:rFonts w:hint="eastAsia" w:ascii="宋体" w:hAnsi="宋体" w:eastAsia="宋体" w:cs="宋体"/>
          <w:kern w:val="0"/>
          <w:sz w:val="24"/>
          <w:szCs w:val="24"/>
        </w:rPr>
        <w:t>综上所述,</w:t>
      </w:r>
      <w:r>
        <w:rPr>
          <w:rFonts w:hint="eastAsia" w:ascii="宋体" w:hAnsi="宋体" w:eastAsia="宋体" w:cs="宋体"/>
          <w:kern w:val="0"/>
          <w:sz w:val="24"/>
          <w:szCs w:val="24"/>
          <w:lang w:eastAsia="zh-CN"/>
        </w:rPr>
        <w:t>设计学院</w:t>
      </w:r>
      <w:r>
        <w:rPr>
          <w:rFonts w:hint="eastAsia" w:ascii="宋体" w:hAnsi="宋体" w:eastAsia="宋体" w:cs="宋体"/>
          <w:kern w:val="0"/>
          <w:sz w:val="24"/>
          <w:szCs w:val="24"/>
        </w:rPr>
        <w:t>6个专业是比较贴近市场需求的，人才培养方案的设置也是比较合理的。但在教育教学实践中，仍需要进一步提高学生的动手实践能力，参加企业实践活动，这样才能培养出更符合企业、社会需求的有用人才。</w:t>
      </w:r>
    </w:p>
    <w:p>
      <w:pPr>
        <w:keepNext w:val="0"/>
        <w:keepLines w:val="0"/>
        <w:pageBreakBefore w:val="0"/>
        <w:widowControl/>
        <w:kinsoku/>
        <w:wordWrap/>
        <w:overflowPunct/>
        <w:topLinePunct w:val="0"/>
        <w:autoSpaceDE/>
        <w:autoSpaceDN/>
        <w:bidi w:val="0"/>
        <w:adjustRightInd/>
        <w:snapToGrid/>
        <w:spacing w:line="360" w:lineRule="auto"/>
        <w:textAlignment w:val="auto"/>
        <w:rPr>
          <w:rFonts w:hint="eastAsia" w:ascii="宋体" w:hAnsi="宋体" w:eastAsia="宋体" w:cs="宋体"/>
          <w:b/>
          <w:kern w:val="0"/>
          <w:sz w:val="24"/>
          <w:szCs w:val="24"/>
        </w:rPr>
      </w:pPr>
      <w:r>
        <w:rPr>
          <w:rFonts w:hint="eastAsia" w:ascii="宋体" w:hAnsi="宋体" w:eastAsia="宋体" w:cs="宋体"/>
          <w:b/>
          <w:kern w:val="0"/>
          <w:sz w:val="24"/>
          <w:szCs w:val="24"/>
          <w:lang w:val="en-US" w:eastAsia="zh-CN"/>
        </w:rPr>
        <w:t>4</w:t>
      </w:r>
      <w:r>
        <w:rPr>
          <w:rFonts w:hint="eastAsia" w:ascii="宋体" w:hAnsi="宋体" w:eastAsia="宋体" w:cs="宋体"/>
          <w:b/>
          <w:kern w:val="0"/>
          <w:sz w:val="24"/>
          <w:szCs w:val="24"/>
        </w:rPr>
        <w:t>、就业工作的重点与亮点</w:t>
      </w:r>
    </w:p>
    <w:p>
      <w:pPr>
        <w:keepNext w:val="0"/>
        <w:keepLines w:val="0"/>
        <w:pageBreakBefore w:val="0"/>
        <w:widowControl/>
        <w:kinsoku/>
        <w:wordWrap/>
        <w:overflowPunct/>
        <w:topLinePunct w:val="0"/>
        <w:autoSpaceDE/>
        <w:autoSpaceDN/>
        <w:bidi w:val="0"/>
        <w:adjustRightInd/>
        <w:snapToGrid/>
        <w:spacing w:line="360" w:lineRule="auto"/>
        <w:textAlignment w:val="auto"/>
        <w:rPr>
          <w:rFonts w:hint="eastAsia" w:ascii="宋体" w:hAnsi="宋体" w:eastAsia="宋体" w:cs="宋体"/>
          <w:b/>
          <w:kern w:val="0"/>
          <w:sz w:val="24"/>
          <w:szCs w:val="24"/>
        </w:rPr>
      </w:pPr>
      <w:r>
        <w:rPr>
          <w:rFonts w:hint="eastAsia" w:ascii="宋体" w:hAnsi="宋体" w:eastAsia="宋体" w:cs="宋体"/>
          <w:b/>
          <w:kern w:val="0"/>
          <w:sz w:val="24"/>
          <w:szCs w:val="24"/>
          <w:lang w:val="en-US" w:eastAsia="zh-CN"/>
        </w:rPr>
        <w:t>4.</w:t>
      </w:r>
      <w:r>
        <w:rPr>
          <w:rFonts w:hint="eastAsia" w:ascii="宋体" w:hAnsi="宋体" w:eastAsia="宋体" w:cs="宋体"/>
          <w:b/>
          <w:kern w:val="0"/>
          <w:sz w:val="24"/>
          <w:szCs w:val="24"/>
        </w:rPr>
        <w:t>1动员专业教师，全员参与就业指导</w:t>
      </w:r>
    </w:p>
    <w:p>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kern w:val="0"/>
          <w:sz w:val="24"/>
          <w:szCs w:val="28"/>
        </w:rPr>
      </w:pPr>
      <w:r>
        <w:rPr>
          <w:rFonts w:hint="eastAsia" w:ascii="宋体" w:hAnsi="宋体" w:eastAsia="宋体" w:cs="宋体"/>
          <w:kern w:val="0"/>
          <w:sz w:val="24"/>
          <w:szCs w:val="28"/>
        </w:rPr>
        <w:t>建立了以辅导员、班主任和</w:t>
      </w:r>
      <w:r>
        <w:rPr>
          <w:rFonts w:hint="eastAsia" w:ascii="宋体" w:hAnsi="宋体" w:eastAsia="宋体" w:cs="宋体"/>
          <w:kern w:val="0"/>
          <w:sz w:val="24"/>
          <w:szCs w:val="28"/>
          <w:lang w:val="en-US" w:eastAsia="zh-CN"/>
        </w:rPr>
        <w:t>毕业指导教师双第一责任人制度</w:t>
      </w:r>
      <w:r>
        <w:rPr>
          <w:rFonts w:hint="eastAsia" w:ascii="宋体" w:hAnsi="宋体" w:eastAsia="宋体" w:cs="宋体"/>
          <w:kern w:val="0"/>
          <w:sz w:val="24"/>
          <w:szCs w:val="28"/>
        </w:rPr>
        <w:t>，对</w:t>
      </w:r>
      <w:r>
        <w:rPr>
          <w:rFonts w:hint="eastAsia" w:ascii="宋体" w:hAnsi="宋体" w:eastAsia="宋体" w:cs="宋体"/>
          <w:kern w:val="0"/>
          <w:sz w:val="24"/>
          <w:szCs w:val="28"/>
          <w:lang w:val="en-US" w:eastAsia="zh-CN"/>
        </w:rPr>
        <w:t>毕业生尤其是</w:t>
      </w:r>
      <w:r>
        <w:rPr>
          <w:rFonts w:hint="eastAsia" w:ascii="宋体" w:hAnsi="宋体" w:eastAsia="宋体" w:cs="宋体"/>
          <w:kern w:val="0"/>
          <w:sz w:val="24"/>
          <w:szCs w:val="28"/>
        </w:rPr>
        <w:t>困难毕业生群体开展“一对一”就业指导服务。结对帮扶人通过各种方式，详细了解所帮扶的困难毕业生的就业意向和就业困难等情况，尽一切能力帮助这部分毕业生解决就业难题。</w:t>
      </w:r>
    </w:p>
    <w:p>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kern w:val="0"/>
          <w:sz w:val="24"/>
          <w:szCs w:val="28"/>
        </w:rPr>
      </w:pPr>
      <w:r>
        <w:rPr>
          <w:rFonts w:hint="eastAsia" w:ascii="宋体" w:hAnsi="宋体" w:eastAsia="宋体" w:cs="宋体"/>
          <w:kern w:val="0"/>
          <w:sz w:val="24"/>
          <w:szCs w:val="28"/>
          <w:lang w:val="en-US" w:eastAsia="zh-CN"/>
        </w:rPr>
        <w:t>院党委要求毕业班辅导员积极对接相关班主任和毕业设计指导教师，举办好就业指导专题培训讲座、开展好就业主题班会、宣讲好基层就业政策、深入到学生宿舍中去，一对一了解未就业学生想法和需求，解决其实际困难，落实双第一责任人制度，形成就业合力，进一步推动我院毕业生就业工作顺利完成。</w:t>
      </w:r>
    </w:p>
    <w:p>
      <w:pPr>
        <w:keepNext w:val="0"/>
        <w:keepLines w:val="0"/>
        <w:pageBreakBefore w:val="0"/>
        <w:widowControl/>
        <w:kinsoku/>
        <w:wordWrap/>
        <w:overflowPunct/>
        <w:topLinePunct w:val="0"/>
        <w:autoSpaceDE/>
        <w:autoSpaceDN/>
        <w:bidi w:val="0"/>
        <w:adjustRightInd/>
        <w:snapToGrid/>
        <w:spacing w:line="360" w:lineRule="auto"/>
        <w:ind w:firstLine="470" w:firstLineChars="196"/>
        <w:textAlignment w:val="auto"/>
        <w:rPr>
          <w:rFonts w:hint="eastAsia" w:ascii="宋体" w:hAnsi="宋体" w:eastAsia="宋体" w:cs="宋体"/>
          <w:kern w:val="0"/>
          <w:sz w:val="24"/>
          <w:szCs w:val="24"/>
        </w:rPr>
      </w:pPr>
      <w:r>
        <w:rPr>
          <w:rFonts w:hint="eastAsia" w:ascii="宋体" w:hAnsi="宋体" w:eastAsia="宋体" w:cs="宋体"/>
          <w:kern w:val="0"/>
          <w:sz w:val="24"/>
          <w:szCs w:val="24"/>
        </w:rPr>
        <w:t>其次，我</w:t>
      </w:r>
      <w:r>
        <w:rPr>
          <w:rFonts w:hint="eastAsia" w:ascii="宋体" w:hAnsi="宋体" w:eastAsia="宋体" w:cs="宋体"/>
          <w:kern w:val="0"/>
          <w:sz w:val="24"/>
          <w:szCs w:val="24"/>
          <w:lang w:val="en-US" w:eastAsia="zh-CN"/>
        </w:rPr>
        <w:t>院</w:t>
      </w:r>
      <w:r>
        <w:rPr>
          <w:rFonts w:hint="eastAsia" w:ascii="宋体" w:hAnsi="宋体" w:eastAsia="宋体" w:cs="宋体"/>
          <w:kern w:val="0"/>
          <w:sz w:val="24"/>
          <w:szCs w:val="24"/>
        </w:rPr>
        <w:t>党</w:t>
      </w:r>
      <w:r>
        <w:rPr>
          <w:rFonts w:hint="eastAsia" w:ascii="宋体" w:hAnsi="宋体" w:eastAsia="宋体" w:cs="宋体"/>
          <w:kern w:val="0"/>
          <w:sz w:val="24"/>
          <w:szCs w:val="24"/>
          <w:lang w:val="en-US" w:eastAsia="zh-CN"/>
        </w:rPr>
        <w:t>委</w:t>
      </w:r>
      <w:r>
        <w:rPr>
          <w:rFonts w:hint="eastAsia" w:ascii="宋体" w:hAnsi="宋体" w:eastAsia="宋体" w:cs="宋体"/>
          <w:kern w:val="0"/>
          <w:sz w:val="24"/>
          <w:szCs w:val="24"/>
        </w:rPr>
        <w:t>动员所有毕业设计指导教师参与到就业指导的过程中来，要求毕业设计指导教师在进行毕业设计指导的同时关心、了解并帮助所指导的学生推进就业进展，设计了毕业设计指导教师就业工作记录表，定期记录并报告指导情况。利用专业课教师的专业优势和人际交往空间，为毕业生进行就业指导。将理论教学、实验教学、生产实践、教育实习、毕业实习指导等与学生的就业指导联系起来，有针对性的开展职业能力训练，引导学生适时进行反馈总结，找出学生在就业方面存在的偏差，及时调整其择业目标和方向，选出更符合自己特长、性格和专业方面的职业，全面提高学生的职业技能，科学制定职业生涯规划，为就业做好准备。</w:t>
      </w:r>
    </w:p>
    <w:p>
      <w:pPr>
        <w:keepNext w:val="0"/>
        <w:keepLines w:val="0"/>
        <w:pageBreakBefore w:val="0"/>
        <w:widowControl/>
        <w:kinsoku/>
        <w:wordWrap/>
        <w:overflowPunct/>
        <w:topLinePunct w:val="0"/>
        <w:autoSpaceDE/>
        <w:autoSpaceDN/>
        <w:bidi w:val="0"/>
        <w:adjustRightInd/>
        <w:snapToGrid/>
        <w:spacing w:line="360" w:lineRule="auto"/>
        <w:ind w:firstLine="470" w:firstLineChars="196"/>
        <w:textAlignment w:val="auto"/>
        <w:rPr>
          <w:rFonts w:hint="eastAsia" w:ascii="宋体" w:hAnsi="宋体" w:eastAsia="宋体" w:cs="宋体"/>
          <w:kern w:val="0"/>
          <w:sz w:val="24"/>
          <w:szCs w:val="24"/>
        </w:rPr>
      </w:pPr>
      <w:r>
        <w:rPr>
          <w:rFonts w:hint="eastAsia" w:ascii="宋体" w:hAnsi="宋体" w:eastAsia="宋体" w:cs="宋体"/>
          <w:kern w:val="0"/>
          <w:sz w:val="24"/>
          <w:szCs w:val="24"/>
        </w:rPr>
        <w:t>最后，为了给我</w:t>
      </w:r>
      <w:r>
        <w:rPr>
          <w:rFonts w:hint="eastAsia" w:ascii="宋体" w:hAnsi="宋体" w:eastAsia="宋体" w:cs="宋体"/>
          <w:kern w:val="0"/>
          <w:sz w:val="24"/>
          <w:szCs w:val="24"/>
          <w:lang w:val="en-US" w:eastAsia="zh-CN"/>
        </w:rPr>
        <w:t>院</w:t>
      </w:r>
      <w:r>
        <w:rPr>
          <w:rFonts w:hint="eastAsia" w:ascii="宋体" w:hAnsi="宋体" w:eastAsia="宋体" w:cs="宋体"/>
          <w:kern w:val="0"/>
          <w:sz w:val="24"/>
          <w:szCs w:val="24"/>
        </w:rPr>
        <w:t>学生提供更好的企业资源，</w:t>
      </w:r>
      <w:r>
        <w:rPr>
          <w:rFonts w:hint="eastAsia" w:ascii="宋体" w:hAnsi="宋体" w:eastAsia="宋体" w:cs="宋体"/>
          <w:kern w:val="0"/>
          <w:sz w:val="24"/>
          <w:szCs w:val="28"/>
          <w:lang w:val="en-US" w:eastAsia="zh-CN"/>
        </w:rPr>
        <w:t>院党委</w:t>
      </w:r>
      <w:r>
        <w:rPr>
          <w:rFonts w:hint="eastAsia" w:ascii="宋体" w:hAnsi="宋体" w:eastAsia="宋体" w:cs="宋体"/>
          <w:kern w:val="0"/>
          <w:sz w:val="24"/>
          <w:szCs w:val="24"/>
        </w:rPr>
        <w:t>充分开发各个专业老师的人脉资源，要求各专业教研室推荐一定数量的企业对接就业联络人，为各专业的毕业生开展更有针对性的专场招聘会。</w:t>
      </w:r>
    </w:p>
    <w:p>
      <w:pPr>
        <w:keepNext w:val="0"/>
        <w:keepLines w:val="0"/>
        <w:pageBreakBefore w:val="0"/>
        <w:widowControl/>
        <w:kinsoku/>
        <w:wordWrap/>
        <w:overflowPunct/>
        <w:topLinePunct w:val="0"/>
        <w:autoSpaceDE/>
        <w:autoSpaceDN/>
        <w:bidi w:val="0"/>
        <w:adjustRightInd/>
        <w:snapToGrid/>
        <w:spacing w:line="360" w:lineRule="auto"/>
        <w:textAlignment w:val="auto"/>
        <w:rPr>
          <w:rFonts w:hint="eastAsia" w:ascii="宋体" w:hAnsi="宋体" w:eastAsia="宋体" w:cs="宋体"/>
          <w:b/>
          <w:kern w:val="0"/>
          <w:sz w:val="24"/>
          <w:szCs w:val="24"/>
        </w:rPr>
      </w:pPr>
      <w:r>
        <w:rPr>
          <w:rFonts w:hint="eastAsia" w:ascii="宋体" w:hAnsi="宋体" w:eastAsia="宋体" w:cs="宋体"/>
          <w:b/>
          <w:kern w:val="0"/>
          <w:sz w:val="24"/>
          <w:szCs w:val="24"/>
          <w:lang w:val="en-US" w:eastAsia="zh-CN"/>
        </w:rPr>
        <w:t>4.2</w:t>
      </w:r>
      <w:r>
        <w:rPr>
          <w:rFonts w:hint="eastAsia" w:ascii="宋体" w:hAnsi="宋体" w:eastAsia="宋体" w:cs="宋体"/>
          <w:b/>
          <w:kern w:val="0"/>
          <w:sz w:val="24"/>
          <w:szCs w:val="24"/>
        </w:rPr>
        <w:t>利用相关课程，全程提高就业意识</w:t>
      </w:r>
    </w:p>
    <w:p>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kern w:val="0"/>
          <w:sz w:val="24"/>
          <w:szCs w:val="24"/>
        </w:rPr>
      </w:pPr>
      <w:r>
        <w:rPr>
          <w:rFonts w:hint="eastAsia" w:ascii="宋体" w:hAnsi="宋体" w:eastAsia="宋体" w:cs="宋体"/>
          <w:kern w:val="0"/>
          <w:sz w:val="24"/>
          <w:szCs w:val="24"/>
        </w:rPr>
        <w:t>分年级、分时段全程关注学生的就业创业意识，大一通过新生入学教育、专业导论课程等帮助学生建立起初步的就业意识，同时加强对本专业行业的就业认识；大二通过职业生涯规划课程进一步强化学生的就业意识，做好学业规划和生涯规划；大三通过创业基础课程普及创业相关知识；大四通过就业指导课、毕业生就业座谈会等进行具体的就业指导，结合学生的不同情况分类指导，帮助学生更快更好的择业、就业。</w:t>
      </w:r>
    </w:p>
    <w:p>
      <w:pPr>
        <w:keepNext w:val="0"/>
        <w:keepLines w:val="0"/>
        <w:pageBreakBefore w:val="0"/>
        <w:widowControl/>
        <w:kinsoku/>
        <w:wordWrap/>
        <w:overflowPunct/>
        <w:topLinePunct w:val="0"/>
        <w:autoSpaceDE/>
        <w:autoSpaceDN/>
        <w:bidi w:val="0"/>
        <w:adjustRightInd/>
        <w:snapToGrid/>
        <w:spacing w:line="360" w:lineRule="auto"/>
        <w:textAlignment w:val="auto"/>
        <w:rPr>
          <w:rFonts w:hint="eastAsia" w:ascii="宋体" w:hAnsi="宋体" w:eastAsia="宋体" w:cs="宋体"/>
          <w:b/>
          <w:kern w:val="0"/>
          <w:sz w:val="24"/>
          <w:szCs w:val="24"/>
        </w:rPr>
      </w:pPr>
      <w:r>
        <w:rPr>
          <w:rFonts w:hint="eastAsia" w:ascii="宋体" w:hAnsi="宋体" w:eastAsia="宋体" w:cs="宋体"/>
          <w:b/>
          <w:kern w:val="0"/>
          <w:sz w:val="24"/>
          <w:szCs w:val="24"/>
          <w:lang w:val="en-US" w:eastAsia="zh-CN"/>
        </w:rPr>
        <w:t>4.3建立健全就业指导就业机构</w:t>
      </w:r>
    </w:p>
    <w:p>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kern w:val="0"/>
          <w:sz w:val="24"/>
          <w:szCs w:val="28"/>
        </w:rPr>
      </w:pPr>
      <w:r>
        <w:rPr>
          <w:rFonts w:hint="eastAsia" w:ascii="宋体" w:hAnsi="宋体" w:eastAsia="宋体" w:cs="宋体"/>
          <w:kern w:val="0"/>
          <w:sz w:val="24"/>
          <w:szCs w:val="28"/>
          <w:lang w:val="en-US" w:eastAsia="zh-CN"/>
        </w:rPr>
        <w:t>我院</w:t>
      </w:r>
      <w:r>
        <w:rPr>
          <w:rFonts w:hint="eastAsia" w:ascii="宋体" w:hAnsi="宋体" w:eastAsia="宋体" w:cs="宋体"/>
          <w:kern w:val="0"/>
          <w:sz w:val="24"/>
          <w:szCs w:val="28"/>
        </w:rPr>
        <w:t>建立健全就业指导机构，完善就业服务体</w:t>
      </w:r>
      <w:r>
        <w:rPr>
          <w:rFonts w:hint="eastAsia" w:ascii="宋体" w:hAnsi="宋体" w:eastAsia="宋体" w:cs="宋体"/>
          <w:kern w:val="0"/>
          <w:sz w:val="24"/>
          <w:szCs w:val="28"/>
          <w:lang w:eastAsia="zh-CN"/>
        </w:rPr>
        <w:t>院</w:t>
      </w:r>
      <w:r>
        <w:rPr>
          <w:rFonts w:hint="eastAsia" w:ascii="宋体" w:hAnsi="宋体" w:eastAsia="宋体" w:cs="宋体"/>
          <w:kern w:val="0"/>
          <w:sz w:val="24"/>
          <w:szCs w:val="28"/>
        </w:rPr>
        <w:t>，营造全员就业的氛围。我院建立适应新形势需要的就业工作运行机制，建立健全大学生就业指导机构，建设一支高素质、专业化、职业化的就业指导队伍，加强对学生的就业指导与服务。开展职业生涯规划教育，培养创业意识，努力提高就业的层次学校应从入学起，加强对学生自主创业的引导和教育，让学生充分认识到创业的意义，使自主创业成为大学生在校期间的一种理想和追求，以此强化他们的创业意识。</w:t>
      </w:r>
    </w:p>
    <w:p>
      <w:pPr>
        <w:keepNext w:val="0"/>
        <w:keepLines w:val="0"/>
        <w:pageBreakBefore w:val="0"/>
        <w:widowControl/>
        <w:kinsoku/>
        <w:wordWrap/>
        <w:overflowPunct/>
        <w:topLinePunct w:val="0"/>
        <w:autoSpaceDE/>
        <w:autoSpaceDN/>
        <w:bidi w:val="0"/>
        <w:adjustRightInd/>
        <w:snapToGrid/>
        <w:spacing w:line="360" w:lineRule="auto"/>
        <w:textAlignment w:val="auto"/>
        <w:rPr>
          <w:rFonts w:hint="eastAsia" w:ascii="宋体" w:hAnsi="宋体" w:eastAsia="宋体" w:cs="宋体"/>
          <w:b/>
          <w:kern w:val="0"/>
          <w:sz w:val="24"/>
          <w:szCs w:val="24"/>
        </w:rPr>
      </w:pPr>
      <w:r>
        <w:rPr>
          <w:rFonts w:hint="eastAsia" w:ascii="宋体" w:hAnsi="宋体" w:eastAsia="宋体" w:cs="宋体"/>
          <w:b/>
          <w:kern w:val="0"/>
          <w:sz w:val="24"/>
          <w:szCs w:val="24"/>
          <w:lang w:val="en-US" w:eastAsia="zh-CN"/>
        </w:rPr>
        <w:t>4.4</w:t>
      </w:r>
      <w:r>
        <w:rPr>
          <w:rFonts w:hint="eastAsia" w:ascii="宋体" w:hAnsi="宋体" w:eastAsia="宋体" w:cs="宋体"/>
          <w:b/>
          <w:kern w:val="0"/>
          <w:sz w:val="24"/>
          <w:szCs w:val="24"/>
        </w:rPr>
        <w:t>加大宣传力度，全面提供就业信息</w:t>
      </w:r>
    </w:p>
    <w:p>
      <w:pPr>
        <w:keepNext w:val="0"/>
        <w:keepLines w:val="0"/>
        <w:pageBreakBefore w:val="0"/>
        <w:widowControl/>
        <w:kinsoku/>
        <w:wordWrap/>
        <w:overflowPunct/>
        <w:topLinePunct w:val="0"/>
        <w:autoSpaceDE/>
        <w:autoSpaceDN/>
        <w:bidi w:val="0"/>
        <w:adjustRightInd/>
        <w:snapToGrid/>
        <w:spacing w:line="360" w:lineRule="auto"/>
        <w:ind w:firstLine="470" w:firstLineChars="196"/>
        <w:textAlignment w:val="auto"/>
        <w:rPr>
          <w:rFonts w:hint="eastAsia" w:ascii="宋体" w:hAnsi="宋体" w:eastAsia="宋体" w:cs="宋体"/>
          <w:kern w:val="0"/>
          <w:sz w:val="24"/>
          <w:szCs w:val="24"/>
        </w:rPr>
      </w:pPr>
      <w:r>
        <w:rPr>
          <w:rFonts w:hint="eastAsia" w:ascii="宋体" w:hAnsi="宋体" w:eastAsia="宋体" w:cs="宋体"/>
          <w:sz w:val="24"/>
          <w:szCs w:val="24"/>
        </w:rPr>
        <w:t>我院积极完善就业网站，及时更新网络就业信息。同时，设立就业信息展板，及时发布就业信息，公布面试、签约情况，让毕业生对本院就业情况有清醒的认识。</w:t>
      </w:r>
      <w:r>
        <w:rPr>
          <w:rFonts w:hint="eastAsia" w:ascii="宋体" w:hAnsi="宋体" w:eastAsia="宋体" w:cs="宋体"/>
          <w:kern w:val="0"/>
          <w:sz w:val="24"/>
          <w:szCs w:val="24"/>
        </w:rPr>
        <w:t>我</w:t>
      </w:r>
      <w:r>
        <w:rPr>
          <w:rFonts w:hint="eastAsia" w:ascii="宋体" w:hAnsi="宋体" w:eastAsia="宋体" w:cs="宋体"/>
          <w:kern w:val="0"/>
          <w:sz w:val="24"/>
          <w:szCs w:val="24"/>
          <w:lang w:val="en-US" w:eastAsia="zh-CN"/>
        </w:rPr>
        <w:t>院</w:t>
      </w:r>
      <w:r>
        <w:rPr>
          <w:rFonts w:hint="eastAsia" w:ascii="宋体" w:hAnsi="宋体" w:eastAsia="宋体" w:cs="宋体"/>
          <w:kern w:val="0"/>
          <w:sz w:val="24"/>
          <w:szCs w:val="24"/>
        </w:rPr>
        <w:t>毕业班辅导员通过各种方式为毕业班学生搜集和传递就业信息，鼓励学生多参加校园招聘，多浏览就业指导中心招聘信息，多关注知名招聘网站发布的就业信息等。学校组织招聘会时，</w:t>
      </w:r>
      <w:r>
        <w:rPr>
          <w:rFonts w:hint="eastAsia" w:ascii="宋体" w:hAnsi="宋体" w:eastAsia="宋体" w:cs="宋体"/>
          <w:kern w:val="0"/>
          <w:sz w:val="24"/>
          <w:szCs w:val="24"/>
          <w:lang w:val="en-US" w:eastAsia="zh-CN"/>
        </w:rPr>
        <w:t>院各级领导</w:t>
      </w:r>
      <w:r>
        <w:rPr>
          <w:rFonts w:hint="eastAsia" w:ascii="宋体" w:hAnsi="宋体" w:eastAsia="宋体" w:cs="宋体"/>
          <w:kern w:val="0"/>
          <w:sz w:val="24"/>
          <w:szCs w:val="24"/>
          <w:lang w:eastAsia="zh-CN"/>
        </w:rPr>
        <w:t>、</w:t>
      </w:r>
      <w:r>
        <w:rPr>
          <w:rFonts w:hint="eastAsia" w:ascii="宋体" w:hAnsi="宋体" w:eastAsia="宋体" w:cs="宋体"/>
          <w:kern w:val="0"/>
          <w:sz w:val="24"/>
          <w:szCs w:val="24"/>
        </w:rPr>
        <w:t>毕业班辅导员还到招聘会现场收集与我</w:t>
      </w:r>
      <w:r>
        <w:rPr>
          <w:rFonts w:hint="eastAsia" w:ascii="宋体" w:hAnsi="宋体" w:eastAsia="宋体" w:cs="宋体"/>
          <w:kern w:val="0"/>
          <w:sz w:val="24"/>
          <w:szCs w:val="24"/>
          <w:lang w:val="en-US" w:eastAsia="zh-CN"/>
        </w:rPr>
        <w:t>院</w:t>
      </w:r>
      <w:r>
        <w:rPr>
          <w:rFonts w:hint="eastAsia" w:ascii="宋体" w:hAnsi="宋体" w:eastAsia="宋体" w:cs="宋体"/>
          <w:kern w:val="0"/>
          <w:sz w:val="24"/>
          <w:szCs w:val="24"/>
        </w:rPr>
        <w:t>专业相关企业信息，并通过QQ群等方式发送给学生。</w:t>
      </w:r>
    </w:p>
    <w:p>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kern w:val="0"/>
          <w:sz w:val="24"/>
          <w:szCs w:val="28"/>
        </w:rPr>
      </w:pPr>
      <w:r>
        <w:rPr>
          <w:rFonts w:hint="eastAsia" w:ascii="宋体" w:hAnsi="宋体" w:eastAsia="宋体" w:cs="宋体"/>
          <w:kern w:val="0"/>
          <w:sz w:val="24"/>
          <w:szCs w:val="28"/>
          <w:lang w:val="en-US" w:eastAsia="zh-CN"/>
        </w:rPr>
        <w:t>毕业班</w:t>
      </w:r>
      <w:r>
        <w:rPr>
          <w:rFonts w:hint="eastAsia" w:ascii="宋体" w:hAnsi="宋体" w:eastAsia="宋体" w:cs="宋体"/>
          <w:kern w:val="0"/>
          <w:sz w:val="24"/>
          <w:szCs w:val="28"/>
        </w:rPr>
        <w:t>辅导员</w:t>
      </w:r>
      <w:r>
        <w:rPr>
          <w:rFonts w:hint="eastAsia" w:ascii="宋体" w:hAnsi="宋体" w:eastAsia="宋体" w:cs="宋体"/>
          <w:kern w:val="0"/>
          <w:sz w:val="24"/>
          <w:szCs w:val="28"/>
          <w:lang w:val="en-US" w:eastAsia="zh-CN"/>
        </w:rPr>
        <w:t>分批次召开主题班会，做好就业指导专题培训讲座、宣讲基层就业政策。定时向全班同学通报班级目前已经就业和考研学生基本情况，鼓励动员未就业学生尽快求职就业。同时宣讲基层就业政策，为学生们解读西部计划、三支一扶、特岗教师、新和专招、兵团专招等基层就业政策和基层就业学费代偿政策，引导毕业生利用好政策，到基层就业。辅导员也时常</w:t>
      </w:r>
      <w:r>
        <w:rPr>
          <w:rFonts w:hint="eastAsia" w:ascii="宋体" w:hAnsi="宋体" w:eastAsia="宋体" w:cs="宋体"/>
          <w:kern w:val="0"/>
          <w:sz w:val="24"/>
          <w:szCs w:val="28"/>
        </w:rPr>
        <w:t>走进课堂、深入宿舍等方式走入学生，及时了解毕业生的思想动态和就业意愿，并根据他们的就业意愿，积极联</w:t>
      </w:r>
      <w:r>
        <w:rPr>
          <w:rFonts w:hint="eastAsia" w:ascii="宋体" w:hAnsi="宋体" w:eastAsia="宋体" w:cs="宋体"/>
          <w:kern w:val="0"/>
          <w:sz w:val="24"/>
          <w:szCs w:val="28"/>
          <w:lang w:eastAsia="zh-CN"/>
        </w:rPr>
        <w:t>院</w:t>
      </w:r>
      <w:r>
        <w:rPr>
          <w:rFonts w:hint="eastAsia" w:ascii="宋体" w:hAnsi="宋体" w:eastAsia="宋体" w:cs="宋体"/>
          <w:kern w:val="0"/>
          <w:sz w:val="24"/>
          <w:szCs w:val="28"/>
        </w:rPr>
        <w:t>相关企业。</w:t>
      </w:r>
    </w:p>
    <w:p>
      <w:pPr>
        <w:keepNext w:val="0"/>
        <w:keepLines w:val="0"/>
        <w:pageBreakBefore w:val="0"/>
        <w:widowControl/>
        <w:numPr>
          <w:ilvl w:val="0"/>
          <w:numId w:val="0"/>
        </w:numPr>
        <w:kinsoku/>
        <w:wordWrap/>
        <w:overflowPunct/>
        <w:topLinePunct w:val="0"/>
        <w:autoSpaceDE/>
        <w:autoSpaceDN/>
        <w:bidi w:val="0"/>
        <w:adjustRightInd/>
        <w:snapToGrid/>
        <w:spacing w:line="360" w:lineRule="auto"/>
        <w:textAlignment w:val="auto"/>
        <w:rPr>
          <w:rFonts w:hint="eastAsia" w:ascii="宋体" w:hAnsi="宋体" w:eastAsia="宋体" w:cs="宋体"/>
          <w:b/>
          <w:bCs/>
          <w:kern w:val="0"/>
          <w:sz w:val="24"/>
          <w:szCs w:val="24"/>
          <w:lang w:val="en-US" w:eastAsia="zh-CN"/>
        </w:rPr>
      </w:pPr>
      <w:r>
        <w:rPr>
          <w:rFonts w:hint="eastAsia" w:ascii="宋体" w:hAnsi="宋体" w:eastAsia="宋体" w:cs="宋体"/>
          <w:b/>
          <w:bCs/>
          <w:kern w:val="0"/>
          <w:sz w:val="24"/>
          <w:szCs w:val="24"/>
          <w:lang w:val="en-US" w:eastAsia="zh-CN"/>
        </w:rPr>
        <w:t>4.5加强对个体的关注，实现个性就业指导</w:t>
      </w:r>
    </w:p>
    <w:p>
      <w:pPr>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大学生在兴趣、特长、能力以及心理特征等方面都存在差异.”因此在全程化就业体系中需要特别注重学生的个性化指导———“因材施教”。实行个性化就业指导把大学生的个性差异、个性发展、个性潜能放在首位，以大学生的个性特点作有针对性的指导，引导他们向适合自身发展的职业与领域发展，做到因事因地因人而异。毕业指导教师根据学生专业能力，辅导员根据学生综合素质与就业意愿，共同推荐适合学生就业的企业名单，力争让学生能就业好就业，不会因为多次碰壁打消就业积极性。</w:t>
      </w:r>
    </w:p>
    <w:p>
      <w:pPr>
        <w:keepNext w:val="0"/>
        <w:keepLines w:val="0"/>
        <w:pageBreakBefore w:val="0"/>
        <w:widowControl/>
        <w:kinsoku/>
        <w:wordWrap/>
        <w:overflowPunct/>
        <w:topLinePunct w:val="0"/>
        <w:autoSpaceDE/>
        <w:autoSpaceDN/>
        <w:bidi w:val="0"/>
        <w:adjustRightInd/>
        <w:snapToGrid/>
        <w:spacing w:line="360" w:lineRule="auto"/>
        <w:jc w:val="left"/>
        <w:textAlignment w:val="auto"/>
        <w:rPr>
          <w:rFonts w:hint="eastAsia" w:ascii="宋体" w:hAnsi="宋体" w:eastAsia="宋体" w:cs="宋体"/>
          <w:b/>
          <w:bCs/>
          <w:kern w:val="0"/>
          <w:sz w:val="24"/>
          <w:szCs w:val="28"/>
        </w:rPr>
      </w:pPr>
      <w:r>
        <w:rPr>
          <w:rFonts w:hint="eastAsia" w:ascii="宋体" w:hAnsi="宋体" w:eastAsia="宋体" w:cs="宋体"/>
          <w:b/>
          <w:bCs/>
          <w:kern w:val="0"/>
          <w:sz w:val="24"/>
          <w:szCs w:val="28"/>
          <w:lang w:val="en-US" w:eastAsia="zh-CN"/>
        </w:rPr>
        <w:t>4.6</w:t>
      </w:r>
      <w:r>
        <w:rPr>
          <w:rFonts w:hint="eastAsia" w:ascii="宋体" w:hAnsi="宋体" w:eastAsia="宋体" w:cs="宋体"/>
          <w:b/>
          <w:bCs/>
          <w:kern w:val="0"/>
          <w:sz w:val="24"/>
          <w:szCs w:val="28"/>
        </w:rPr>
        <w:t>走访人才市场，全力拓展就业渠道</w:t>
      </w:r>
    </w:p>
    <w:p>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kern w:val="0"/>
          <w:sz w:val="24"/>
          <w:szCs w:val="28"/>
        </w:rPr>
      </w:pPr>
      <w:r>
        <w:rPr>
          <w:rFonts w:hint="eastAsia" w:ascii="宋体" w:hAnsi="宋体" w:eastAsia="宋体" w:cs="宋体"/>
          <w:kern w:val="0"/>
          <w:sz w:val="24"/>
          <w:szCs w:val="28"/>
        </w:rPr>
        <w:t>构建开放、多元、互动的校企合作就业模式，积极迎接社会挑战加强与用人单位的联系,增进相互的沟通和了解，建立合作关系，培养符合市场需求的人才，促进大学生就业，是促进目前高校就业工作的有效途径。在了解用人单位的用人要求后,学校可通过“订单式”培养或者定向培养等方式,为用人单位输送专业人才;可通过实习就业、“预就业”实践就业，与用人单位共建就业基地，主动向用人单位推荐人才;可通过回访、调研的方式了解毕业生在单位的表现情况和存在的间题，改进学生培养方式;也可通过聘请企业的人事主管、业务主管等到学校举办讲座、授课等方式，让学校和学生了解用人单位的需求信息和用人标准，从而使学校培养的人才更具针对性和实用性，使学生学习更有目标性和针对性。</w:t>
      </w:r>
    </w:p>
    <w:p>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kern w:val="0"/>
          <w:sz w:val="24"/>
          <w:szCs w:val="24"/>
          <w:lang w:val="en-US" w:eastAsia="zh-CN"/>
        </w:rPr>
      </w:pPr>
      <w:r>
        <w:rPr>
          <w:rFonts w:hint="eastAsia" w:ascii="宋体" w:hAnsi="宋体" w:eastAsia="宋体" w:cs="宋体"/>
          <w:kern w:val="0"/>
          <w:sz w:val="24"/>
          <w:szCs w:val="28"/>
        </w:rPr>
        <w:t>此外，</w:t>
      </w:r>
      <w:r>
        <w:rPr>
          <w:rFonts w:hint="eastAsia" w:ascii="宋体" w:hAnsi="宋体" w:eastAsia="宋体" w:cs="宋体"/>
          <w:kern w:val="0"/>
          <w:sz w:val="24"/>
          <w:szCs w:val="28"/>
          <w:lang w:eastAsia="zh-CN"/>
        </w:rPr>
        <w:t>我院党委</w:t>
      </w:r>
      <w:r>
        <w:rPr>
          <w:rFonts w:hint="eastAsia" w:ascii="宋体" w:hAnsi="宋体" w:eastAsia="宋体" w:cs="宋体"/>
          <w:kern w:val="0"/>
          <w:sz w:val="24"/>
          <w:szCs w:val="28"/>
        </w:rPr>
        <w:t>和辅导员也紧跟学校学生处就业指导中心的步伐，几次到各大企业接洽、调研，</w:t>
      </w:r>
      <w:r>
        <w:rPr>
          <w:rFonts w:hint="eastAsia" w:ascii="宋体" w:hAnsi="宋体" w:eastAsia="宋体" w:cs="宋体"/>
          <w:kern w:val="0"/>
          <w:sz w:val="24"/>
          <w:szCs w:val="28"/>
          <w:lang w:val="en-US" w:eastAsia="zh-CN"/>
        </w:rPr>
        <w:t>通过前往</w:t>
      </w:r>
      <w:r>
        <w:rPr>
          <w:rFonts w:hint="eastAsia" w:ascii="宋体" w:hAnsi="宋体" w:eastAsia="宋体" w:cs="宋体"/>
          <w:kern w:val="0"/>
          <w:sz w:val="24"/>
          <w:szCs w:val="28"/>
        </w:rPr>
        <w:t>合肥</w:t>
      </w:r>
      <w:r>
        <w:rPr>
          <w:rFonts w:hint="eastAsia" w:ascii="宋体" w:hAnsi="宋体" w:eastAsia="宋体" w:cs="宋体"/>
          <w:kern w:val="0"/>
          <w:sz w:val="24"/>
          <w:szCs w:val="28"/>
          <w:lang w:val="en-US" w:eastAsia="zh-CN"/>
        </w:rPr>
        <w:t>磐石自动化有限公司</w:t>
      </w:r>
      <w:r>
        <w:rPr>
          <w:rFonts w:hint="eastAsia" w:ascii="宋体" w:hAnsi="宋体" w:eastAsia="宋体" w:cs="宋体"/>
          <w:kern w:val="0"/>
          <w:sz w:val="24"/>
          <w:szCs w:val="28"/>
        </w:rPr>
        <w:t>和伊水波动画</w:t>
      </w:r>
      <w:r>
        <w:rPr>
          <w:rFonts w:hint="eastAsia" w:ascii="宋体" w:hAnsi="宋体" w:eastAsia="宋体" w:cs="宋体"/>
          <w:kern w:val="0"/>
          <w:sz w:val="24"/>
          <w:szCs w:val="28"/>
          <w:lang w:val="en-US" w:eastAsia="zh-CN"/>
        </w:rPr>
        <w:t>等公司</w:t>
      </w:r>
      <w:r>
        <w:rPr>
          <w:rFonts w:hint="eastAsia" w:ascii="宋体" w:hAnsi="宋体" w:eastAsia="宋体" w:cs="宋体"/>
          <w:kern w:val="0"/>
          <w:sz w:val="24"/>
          <w:szCs w:val="28"/>
        </w:rPr>
        <w:t>调研</w:t>
      </w:r>
      <w:r>
        <w:rPr>
          <w:rFonts w:hint="eastAsia" w:ascii="宋体" w:hAnsi="宋体" w:eastAsia="宋体" w:cs="宋体"/>
          <w:kern w:val="0"/>
          <w:sz w:val="24"/>
          <w:szCs w:val="28"/>
          <w:lang w:eastAsia="zh-CN"/>
        </w:rPr>
        <w:t>，</w:t>
      </w:r>
      <w:r>
        <w:rPr>
          <w:rFonts w:hint="eastAsia" w:ascii="宋体" w:hAnsi="宋体" w:eastAsia="宋体" w:cs="宋体"/>
          <w:kern w:val="0"/>
          <w:sz w:val="24"/>
          <w:szCs w:val="28"/>
          <w:lang w:val="en-US" w:eastAsia="zh-CN"/>
        </w:rPr>
        <w:t>了解了公司需求，进一步加大就业合作空间。通过座谈，双方达成意见，要加强文创产业与科学技术的融合，促进文创产品实现科技创新驱动文化发展的“新常态”；要引进大项目好项目，找到政府政策和高校人才需求、场地的契合点，加大校企合作，因类施策，留住项目和人才。要打造“政产学”相结合的创新平台，着眼于政策、产业、人才等方面的问题，政府、企业、院校共同发力，增强经济转型升级动能；通过强化人才支撑和智力保障。</w:t>
      </w:r>
    </w:p>
    <w:p>
      <w:pPr>
        <w:keepNext w:val="0"/>
        <w:keepLines w:val="0"/>
        <w:pageBreakBefore w:val="0"/>
        <w:widowControl/>
        <w:kinsoku/>
        <w:wordWrap/>
        <w:overflowPunct/>
        <w:topLinePunct w:val="0"/>
        <w:autoSpaceDE/>
        <w:autoSpaceDN/>
        <w:bidi w:val="0"/>
        <w:adjustRightInd/>
        <w:snapToGrid/>
        <w:spacing w:line="360" w:lineRule="auto"/>
        <w:textAlignment w:val="auto"/>
        <w:rPr>
          <w:rFonts w:hint="eastAsia" w:ascii="宋体" w:hAnsi="宋体" w:eastAsia="宋体" w:cs="宋体"/>
          <w:b/>
          <w:kern w:val="0"/>
          <w:sz w:val="24"/>
          <w:szCs w:val="24"/>
        </w:rPr>
      </w:pPr>
      <w:r>
        <w:rPr>
          <w:rFonts w:hint="eastAsia" w:ascii="宋体" w:hAnsi="宋体" w:eastAsia="宋体" w:cs="宋体"/>
          <w:b/>
          <w:kern w:val="0"/>
          <w:sz w:val="24"/>
          <w:szCs w:val="24"/>
          <w:lang w:val="en-US" w:eastAsia="zh-CN"/>
        </w:rPr>
        <w:t>5、</w:t>
      </w:r>
      <w:r>
        <w:rPr>
          <w:rFonts w:hint="eastAsia" w:ascii="宋体" w:hAnsi="宋体" w:eastAsia="宋体" w:cs="宋体"/>
          <w:b/>
          <w:kern w:val="0"/>
          <w:sz w:val="24"/>
          <w:szCs w:val="24"/>
        </w:rPr>
        <w:t>对就业困难、弱势群体、特殊问题、建档立卡毕业生帮扶情况</w:t>
      </w:r>
    </w:p>
    <w:p>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kern w:val="0"/>
          <w:sz w:val="24"/>
          <w:szCs w:val="24"/>
          <w:lang w:val="en-US"/>
        </w:rPr>
      </w:pPr>
      <w:r>
        <w:rPr>
          <w:rFonts w:hint="eastAsia" w:ascii="宋体" w:hAnsi="宋体" w:eastAsia="宋体" w:cs="宋体"/>
          <w:kern w:val="0"/>
          <w:sz w:val="24"/>
          <w:szCs w:val="24"/>
        </w:rPr>
        <w:t>为确保困难毕业生顺利就业，真正落实学院关于做好</w:t>
      </w:r>
      <w:r>
        <w:rPr>
          <w:rFonts w:hint="eastAsia" w:ascii="宋体" w:hAnsi="宋体" w:eastAsia="宋体" w:cs="宋体"/>
          <w:kern w:val="0"/>
          <w:sz w:val="24"/>
          <w:szCs w:val="24"/>
          <w:lang w:eastAsia="zh-CN"/>
        </w:rPr>
        <w:t>2022</w:t>
      </w:r>
      <w:r>
        <w:rPr>
          <w:rFonts w:hint="eastAsia" w:ascii="宋体" w:hAnsi="宋体" w:eastAsia="宋体" w:cs="宋体"/>
          <w:kern w:val="0"/>
          <w:sz w:val="24"/>
          <w:szCs w:val="24"/>
        </w:rPr>
        <w:t>届困难毕业生就业工作的相关精神</w:t>
      </w:r>
      <w:r>
        <w:rPr>
          <w:rFonts w:hint="eastAsia" w:ascii="宋体" w:hAnsi="宋体" w:eastAsia="宋体" w:cs="宋体"/>
          <w:kern w:val="0"/>
          <w:sz w:val="24"/>
          <w:szCs w:val="24"/>
          <w:lang w:eastAsia="zh-CN"/>
        </w:rPr>
        <w:t>，</w:t>
      </w:r>
      <w:r>
        <w:rPr>
          <w:rFonts w:hint="eastAsia" w:ascii="宋体" w:hAnsi="宋体" w:eastAsia="宋体" w:cs="宋体"/>
          <w:kern w:val="0"/>
          <w:sz w:val="24"/>
          <w:szCs w:val="24"/>
          <w:lang w:val="en-US" w:eastAsia="zh-CN"/>
        </w:rPr>
        <w:t>针对建档立卡户与困难地区未就业毕业生，</w:t>
      </w:r>
      <w:r>
        <w:rPr>
          <w:rFonts w:hint="eastAsia" w:ascii="宋体" w:hAnsi="宋体" w:eastAsia="宋体" w:cs="宋体"/>
          <w:kern w:val="0"/>
          <w:sz w:val="24"/>
          <w:szCs w:val="24"/>
        </w:rPr>
        <w:t>学院</w:t>
      </w:r>
      <w:r>
        <w:rPr>
          <w:rFonts w:hint="eastAsia" w:ascii="宋体" w:hAnsi="宋体" w:eastAsia="宋体" w:cs="宋体"/>
          <w:kern w:val="0"/>
          <w:sz w:val="24"/>
          <w:szCs w:val="24"/>
          <w:lang w:val="en-US" w:eastAsia="zh-CN"/>
        </w:rPr>
        <w:t>教职工积极与学生对接，</w:t>
      </w:r>
      <w:r>
        <w:rPr>
          <w:rFonts w:hint="eastAsia" w:ascii="宋体" w:hAnsi="宋体" w:eastAsia="宋体" w:cs="宋体"/>
          <w:kern w:val="0"/>
          <w:sz w:val="24"/>
          <w:szCs w:val="24"/>
        </w:rPr>
        <w:t>完善</w:t>
      </w:r>
      <w:r>
        <w:rPr>
          <w:rFonts w:hint="eastAsia" w:ascii="宋体" w:hAnsi="宋体" w:eastAsia="宋体" w:cs="宋体"/>
          <w:kern w:val="0"/>
          <w:sz w:val="24"/>
          <w:szCs w:val="24"/>
          <w:lang w:val="en-US" w:eastAsia="zh-CN"/>
        </w:rPr>
        <w:t>跟进</w:t>
      </w:r>
      <w:r>
        <w:rPr>
          <w:rFonts w:hint="eastAsia" w:ascii="宋体" w:hAnsi="宋体" w:eastAsia="宋体" w:cs="宋体"/>
          <w:kern w:val="0"/>
          <w:sz w:val="24"/>
          <w:szCs w:val="24"/>
        </w:rPr>
        <w:t>困难毕业生及少数民族帮扶台账记录，对建档立卡贫困家庭等困难群体毕业生进行关怀指导。建立了以辅导员、班主任和教研室负责人为主的结对帮扶制度，对困难毕业生群体开展“一对一”就业指导服务。</w:t>
      </w:r>
      <w:r>
        <w:rPr>
          <w:rFonts w:hint="eastAsia" w:ascii="宋体" w:hAnsi="宋体" w:eastAsia="宋体" w:cs="宋体"/>
          <w:kern w:val="0"/>
          <w:sz w:val="24"/>
          <w:szCs w:val="24"/>
          <w:lang w:val="en-US" w:eastAsia="zh-CN"/>
        </w:rPr>
        <w:t>结合“一生一策”掌握所有学生的就业情况，针对就业困难、弱势群体、特殊问题、建档立卡学生，由辅导员、班主任、毕业设计指导老师三方联动，详细了解学生就业难的症结所在，通过宣传基层就业政策、应征入伍政策，推送有关招聘信息，指导个人简历制作及面试技巧等方法，有针对性地解决每一名学生的就业问题。对于抱有慢就业、缓就业想法的学生，通过辅导员、老师配合从专业角度和思想角度做好工作，让学生认识到当前的就业环境和实际，转变思想，由“一步到位”转为“在实践中锻炼和成长”，积极地投入到各类招聘会或考试中去，顺利签订就业协议。及时向院领导汇报就业困难学生的想法和困境，在他们的指导和帮助下，顺利解决了不想就业学生的问题。</w:t>
      </w:r>
      <w:r>
        <w:rPr>
          <w:rFonts w:hint="eastAsia" w:ascii="宋体" w:hAnsi="宋体" w:eastAsia="宋体" w:cs="宋体"/>
          <w:kern w:val="0"/>
          <w:sz w:val="24"/>
          <w:szCs w:val="24"/>
        </w:rPr>
        <w:t>实时了解建档立卡、家庭经济困难毕业生、学困毕业生与少数民族毕业生的</w:t>
      </w:r>
      <w:r>
        <w:rPr>
          <w:rFonts w:hint="eastAsia" w:ascii="宋体" w:hAnsi="宋体" w:eastAsia="宋体" w:cs="宋体"/>
          <w:kern w:val="0"/>
          <w:sz w:val="24"/>
          <w:szCs w:val="24"/>
          <w:lang w:val="en-US" w:eastAsia="zh-CN"/>
        </w:rPr>
        <w:t>工作</w:t>
      </w:r>
      <w:r>
        <w:rPr>
          <w:rFonts w:hint="eastAsia" w:ascii="宋体" w:hAnsi="宋体" w:eastAsia="宋体" w:cs="宋体"/>
          <w:kern w:val="0"/>
          <w:sz w:val="24"/>
          <w:szCs w:val="24"/>
        </w:rPr>
        <w:t>情况，</w:t>
      </w:r>
      <w:r>
        <w:rPr>
          <w:rFonts w:hint="eastAsia" w:ascii="宋体" w:hAnsi="宋体" w:eastAsia="宋体" w:cs="宋体"/>
          <w:kern w:val="0"/>
          <w:sz w:val="24"/>
          <w:szCs w:val="24"/>
          <w:lang w:val="en-US" w:eastAsia="zh-CN"/>
        </w:rPr>
        <w:t>一旦发现有离职等情况，及时更新信息，并做好下一阶段的就业帮扶工作，力保建档立卡毕业生全员就业，且不存在弄虚作假现象。</w:t>
      </w:r>
    </w:p>
    <w:p>
      <w:pPr>
        <w:keepNext w:val="0"/>
        <w:keepLines w:val="0"/>
        <w:pageBreakBefore w:val="0"/>
        <w:widowControl/>
        <w:numPr>
          <w:ilvl w:val="0"/>
          <w:numId w:val="0"/>
        </w:numPr>
        <w:kinsoku/>
        <w:wordWrap/>
        <w:overflowPunct/>
        <w:topLinePunct w:val="0"/>
        <w:autoSpaceDE/>
        <w:autoSpaceDN/>
        <w:bidi w:val="0"/>
        <w:adjustRightInd/>
        <w:snapToGrid/>
        <w:spacing w:line="360" w:lineRule="auto"/>
        <w:textAlignment w:val="auto"/>
        <w:rPr>
          <w:rFonts w:hint="eastAsia" w:ascii="宋体" w:hAnsi="宋体" w:eastAsia="宋体" w:cs="宋体"/>
          <w:b/>
          <w:kern w:val="0"/>
          <w:sz w:val="24"/>
          <w:szCs w:val="24"/>
        </w:rPr>
      </w:pPr>
      <w:r>
        <w:rPr>
          <w:rFonts w:hint="eastAsia" w:ascii="宋体" w:hAnsi="宋体" w:eastAsia="宋体" w:cs="宋体"/>
          <w:b/>
          <w:kern w:val="0"/>
          <w:sz w:val="24"/>
          <w:szCs w:val="24"/>
          <w:lang w:val="en-US" w:eastAsia="zh-CN"/>
        </w:rPr>
        <w:t>6、</w:t>
      </w:r>
      <w:r>
        <w:rPr>
          <w:rFonts w:hint="eastAsia" w:ascii="宋体" w:hAnsi="宋体" w:eastAsia="宋体" w:cs="宋体"/>
          <w:b/>
          <w:kern w:val="0"/>
          <w:sz w:val="24"/>
          <w:szCs w:val="24"/>
        </w:rPr>
        <w:t>毕业生跟踪调查情况</w:t>
      </w:r>
    </w:p>
    <w:p>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kern w:val="0"/>
          <w:sz w:val="24"/>
          <w:szCs w:val="24"/>
        </w:rPr>
      </w:pPr>
      <w:r>
        <w:rPr>
          <w:rFonts w:hint="eastAsia" w:ascii="宋体" w:hAnsi="宋体" w:eastAsia="宋体" w:cs="宋体"/>
          <w:kern w:val="0"/>
          <w:sz w:val="24"/>
          <w:szCs w:val="24"/>
          <w:lang w:val="en-US" w:eastAsia="zh-CN"/>
        </w:rPr>
        <w:t>针对已就业的学生，通过电话回访用人单位，了解毕业生的日常工作表现。通过与学生本人的联系交流，及时掌握他们的工作动向。对于离职再就业情况的学生，要求他们及时签订新的协议或劳动合同，并录入就业系统。针对一直没有签订协议或劳动合同的毕业生，做好及时跟进，了解其工作情况，普及相关法律知识，保障学生权益。</w:t>
      </w:r>
    </w:p>
    <w:p>
      <w:pPr>
        <w:keepNext w:val="0"/>
        <w:keepLines w:val="0"/>
        <w:pageBreakBefore w:val="0"/>
        <w:widowControl/>
        <w:kinsoku/>
        <w:wordWrap/>
        <w:overflowPunct/>
        <w:topLinePunct w:val="0"/>
        <w:autoSpaceDE/>
        <w:autoSpaceDN/>
        <w:bidi w:val="0"/>
        <w:adjustRightInd/>
        <w:snapToGrid/>
        <w:spacing w:line="360" w:lineRule="auto"/>
        <w:ind w:firstLine="472" w:firstLineChars="197"/>
        <w:textAlignment w:val="auto"/>
        <w:rPr>
          <w:rFonts w:hint="eastAsia" w:ascii="宋体" w:hAnsi="宋体" w:eastAsia="宋体" w:cs="宋体"/>
          <w:bCs/>
          <w:sz w:val="24"/>
          <w:szCs w:val="24"/>
          <w:lang w:val="en-US" w:eastAsia="zh-CN"/>
        </w:rPr>
      </w:pPr>
      <w:r>
        <w:rPr>
          <w:rFonts w:hint="eastAsia" w:ascii="宋体" w:hAnsi="宋体" w:eastAsia="宋体" w:cs="宋体"/>
          <w:bCs/>
          <w:sz w:val="24"/>
          <w:szCs w:val="24"/>
        </w:rPr>
        <w:t>在今年的毕业生跟踪调查中，我</w:t>
      </w:r>
      <w:r>
        <w:rPr>
          <w:rFonts w:hint="eastAsia" w:ascii="宋体" w:hAnsi="宋体" w:eastAsia="宋体" w:cs="宋体"/>
          <w:bCs/>
          <w:sz w:val="24"/>
          <w:szCs w:val="24"/>
          <w:lang w:val="en-US" w:eastAsia="zh-CN"/>
        </w:rPr>
        <w:t>院</w:t>
      </w:r>
      <w:r>
        <w:rPr>
          <w:rFonts w:hint="eastAsia" w:ascii="宋体" w:hAnsi="宋体" w:eastAsia="宋体" w:cs="宋体"/>
          <w:bCs/>
          <w:sz w:val="24"/>
          <w:szCs w:val="24"/>
        </w:rPr>
        <w:t>通过qq、电话等方式回访了部分毕业生。我</w:t>
      </w:r>
      <w:r>
        <w:rPr>
          <w:rFonts w:hint="eastAsia" w:ascii="宋体" w:hAnsi="宋体" w:eastAsia="宋体" w:cs="宋体"/>
          <w:bCs/>
          <w:sz w:val="24"/>
          <w:szCs w:val="24"/>
          <w:lang w:val="en-US" w:eastAsia="zh-CN"/>
        </w:rPr>
        <w:t>院</w:t>
      </w:r>
      <w:r>
        <w:rPr>
          <w:rFonts w:hint="eastAsia" w:ascii="宋体" w:hAnsi="宋体" w:eastAsia="宋体" w:cs="宋体"/>
          <w:bCs/>
          <w:sz w:val="24"/>
          <w:szCs w:val="24"/>
          <w:lang w:eastAsia="zh-CN"/>
        </w:rPr>
        <w:t>2022</w:t>
      </w:r>
      <w:r>
        <w:rPr>
          <w:rFonts w:hint="eastAsia" w:ascii="宋体" w:hAnsi="宋体" w:eastAsia="宋体" w:cs="宋体"/>
          <w:bCs/>
          <w:sz w:val="24"/>
          <w:szCs w:val="24"/>
        </w:rPr>
        <w:t>届</w:t>
      </w:r>
      <w:r>
        <w:rPr>
          <w:rFonts w:hint="eastAsia" w:ascii="宋体" w:hAnsi="宋体" w:eastAsia="宋体" w:cs="宋体"/>
          <w:bCs/>
          <w:sz w:val="24"/>
          <w:szCs w:val="24"/>
          <w:lang w:val="en-US" w:eastAsia="zh-CN"/>
        </w:rPr>
        <w:t>已就业毕业生中，约80%在中小企业就业，该类企业薪资一般，保障较差</w:t>
      </w:r>
      <w:r>
        <w:rPr>
          <w:rFonts w:hint="eastAsia" w:ascii="宋体" w:hAnsi="宋体" w:eastAsia="宋体" w:cs="宋体"/>
          <w:bCs/>
          <w:sz w:val="24"/>
          <w:szCs w:val="24"/>
        </w:rPr>
        <w:t>，因此工作流动性非常大，毕业生跳槽现象比较频繁。</w:t>
      </w:r>
      <w:r>
        <w:rPr>
          <w:rFonts w:hint="eastAsia" w:ascii="宋体" w:hAnsi="宋体" w:eastAsia="宋体" w:cs="宋体"/>
          <w:bCs/>
          <w:sz w:val="24"/>
          <w:szCs w:val="24"/>
          <w:lang w:val="en-US" w:eastAsia="zh-CN"/>
        </w:rPr>
        <w:t>剩余同学所在企业待遇良好，但也面临工作压力大，加班熬夜时间长的现象，部分毕业生也正在观望，了解其他企业情况。极少数同学已经离职，理由是岗位跟预期不合，如设计岗变成销售岗，实际岗位跟招聘岗位差别较大等。较少毕业生因为待遇问题而离职，以上变化也说明，毕业生对自己职业发展有着较为清晰的认识。薪资待遇与自我专业价值的实现预警成为毕业生找工作的首要考虑因素。不过鉴于毕业生对工作认知的不完整性，今后学院也要加强学生对各类岗位的充分认知，力争学生不带偏见性的认知各个岗位及日后发展。</w:t>
      </w:r>
    </w:p>
    <w:p>
      <w:pPr>
        <w:keepNext w:val="0"/>
        <w:keepLines w:val="0"/>
        <w:pageBreakBefore w:val="0"/>
        <w:widowControl/>
        <w:kinsoku/>
        <w:wordWrap/>
        <w:overflowPunct/>
        <w:topLinePunct w:val="0"/>
        <w:autoSpaceDE/>
        <w:autoSpaceDN/>
        <w:bidi w:val="0"/>
        <w:adjustRightInd/>
        <w:snapToGrid/>
        <w:spacing w:line="360" w:lineRule="auto"/>
        <w:ind w:firstLine="472" w:firstLineChars="197"/>
        <w:textAlignment w:val="auto"/>
        <w:rPr>
          <w:rFonts w:hint="eastAsia" w:ascii="宋体" w:hAnsi="宋体" w:eastAsia="宋体" w:cs="宋体"/>
          <w:bCs/>
          <w:sz w:val="24"/>
          <w:szCs w:val="24"/>
          <w:lang w:val="en-US" w:eastAsia="zh-CN"/>
        </w:rPr>
      </w:pPr>
      <w:r>
        <w:rPr>
          <w:rFonts w:hint="eastAsia" w:ascii="宋体" w:hAnsi="宋体" w:eastAsia="宋体" w:cs="宋体"/>
          <w:bCs/>
          <w:sz w:val="24"/>
          <w:szCs w:val="24"/>
        </w:rPr>
        <w:t>同时，对</w:t>
      </w:r>
      <w:r>
        <w:rPr>
          <w:rFonts w:hint="eastAsia" w:ascii="宋体" w:hAnsi="宋体" w:eastAsia="宋体" w:cs="宋体"/>
          <w:bCs/>
          <w:sz w:val="24"/>
          <w:szCs w:val="24"/>
          <w:lang w:val="en-US" w:eastAsia="zh-CN"/>
        </w:rPr>
        <w:t>志邦、磐石等</w:t>
      </w:r>
      <w:r>
        <w:rPr>
          <w:rFonts w:hint="eastAsia" w:ascii="宋体" w:hAnsi="宋体" w:eastAsia="宋体" w:cs="宋体"/>
          <w:bCs/>
          <w:sz w:val="24"/>
          <w:szCs w:val="24"/>
        </w:rPr>
        <w:t>用人单位进行了电话回访，调查了用人单位对我</w:t>
      </w:r>
      <w:r>
        <w:rPr>
          <w:rFonts w:hint="eastAsia" w:ascii="宋体" w:hAnsi="宋体" w:eastAsia="宋体" w:cs="宋体"/>
          <w:bCs/>
          <w:sz w:val="24"/>
          <w:szCs w:val="24"/>
          <w:lang w:val="en-US" w:eastAsia="zh-CN"/>
        </w:rPr>
        <w:t>院</w:t>
      </w:r>
      <w:r>
        <w:rPr>
          <w:rFonts w:hint="eastAsia" w:ascii="宋体" w:hAnsi="宋体" w:eastAsia="宋体" w:cs="宋体"/>
          <w:bCs/>
          <w:sz w:val="24"/>
          <w:szCs w:val="24"/>
        </w:rPr>
        <w:t>毕业生的满意度。用人单位对我</w:t>
      </w:r>
      <w:r>
        <w:rPr>
          <w:rFonts w:hint="eastAsia" w:ascii="宋体" w:hAnsi="宋体" w:eastAsia="宋体" w:cs="宋体"/>
          <w:bCs/>
          <w:sz w:val="24"/>
          <w:szCs w:val="24"/>
          <w:lang w:val="en-US" w:eastAsia="zh-CN"/>
        </w:rPr>
        <w:t>院</w:t>
      </w:r>
      <w:r>
        <w:rPr>
          <w:rFonts w:hint="eastAsia" w:ascii="宋体" w:hAnsi="宋体" w:eastAsia="宋体" w:cs="宋体"/>
          <w:bCs/>
          <w:sz w:val="24"/>
          <w:szCs w:val="24"/>
        </w:rPr>
        <w:t>毕业生的综合评价比较好，他们</w:t>
      </w:r>
      <w:r>
        <w:rPr>
          <w:rFonts w:hint="eastAsia" w:ascii="宋体" w:hAnsi="宋体" w:eastAsia="宋体" w:cs="宋体"/>
          <w:bCs/>
          <w:sz w:val="24"/>
          <w:szCs w:val="24"/>
          <w:lang w:val="en-US" w:eastAsia="zh-CN"/>
        </w:rPr>
        <w:t>提出我院学生的应用能力较强，许多方案设计能及时落地，工作适应所需周期短，满足公司的日常工作要求</w:t>
      </w:r>
      <w:r>
        <w:rPr>
          <w:rFonts w:hint="eastAsia" w:ascii="宋体" w:hAnsi="宋体" w:eastAsia="宋体" w:cs="宋体"/>
          <w:bCs/>
          <w:sz w:val="24"/>
          <w:szCs w:val="24"/>
        </w:rPr>
        <w:t>。</w:t>
      </w:r>
      <w:r>
        <w:rPr>
          <w:rFonts w:hint="eastAsia" w:ascii="宋体" w:hAnsi="宋体" w:eastAsia="宋体" w:cs="宋体"/>
          <w:bCs/>
          <w:sz w:val="24"/>
          <w:szCs w:val="24"/>
          <w:lang w:val="en-US" w:eastAsia="zh-CN"/>
        </w:rPr>
        <w:t>与此同时，毕业生对于自身的学习欲望不够强烈，不能很好的加强自我学习，不能找到自身短板，很快的进行相应的弥补，对于事业的后期发展，较为不利</w:t>
      </w:r>
      <w:r>
        <w:rPr>
          <w:rFonts w:hint="eastAsia" w:ascii="宋体" w:hAnsi="宋体" w:eastAsia="宋体" w:cs="宋体"/>
          <w:bCs/>
          <w:sz w:val="24"/>
          <w:szCs w:val="24"/>
        </w:rPr>
        <w:t>。因此，在后期的</w:t>
      </w:r>
      <w:r>
        <w:rPr>
          <w:rFonts w:hint="eastAsia" w:ascii="宋体" w:hAnsi="宋体" w:eastAsia="宋体" w:cs="宋体"/>
          <w:bCs/>
          <w:sz w:val="24"/>
          <w:szCs w:val="24"/>
          <w:lang w:val="en-US" w:eastAsia="zh-CN"/>
        </w:rPr>
        <w:t>就业指导</w:t>
      </w:r>
      <w:r>
        <w:rPr>
          <w:rFonts w:hint="eastAsia" w:ascii="宋体" w:hAnsi="宋体" w:eastAsia="宋体" w:cs="宋体"/>
          <w:bCs/>
          <w:sz w:val="24"/>
          <w:szCs w:val="24"/>
        </w:rPr>
        <w:t>上，</w:t>
      </w:r>
      <w:r>
        <w:rPr>
          <w:rFonts w:hint="eastAsia" w:ascii="宋体" w:hAnsi="宋体" w:eastAsia="宋体" w:cs="宋体"/>
          <w:bCs/>
          <w:sz w:val="24"/>
          <w:szCs w:val="24"/>
          <w:lang w:val="en-US" w:eastAsia="zh-CN"/>
        </w:rPr>
        <w:t>学院要加强学习引导，让学生养成坚持学习的习惯，既要完成日常工作，也要能不断学习，不断充实自身。</w:t>
      </w:r>
    </w:p>
    <w:p>
      <w:pPr>
        <w:keepNext w:val="0"/>
        <w:keepLines w:val="0"/>
        <w:pageBreakBefore w:val="0"/>
        <w:widowControl/>
        <w:kinsoku/>
        <w:wordWrap/>
        <w:overflowPunct/>
        <w:topLinePunct w:val="0"/>
        <w:autoSpaceDE/>
        <w:autoSpaceDN/>
        <w:bidi w:val="0"/>
        <w:adjustRightInd/>
        <w:snapToGrid/>
        <w:spacing w:line="360" w:lineRule="auto"/>
        <w:textAlignment w:val="auto"/>
        <w:rPr>
          <w:rFonts w:hint="eastAsia" w:ascii="宋体" w:hAnsi="宋体" w:eastAsia="宋体" w:cs="宋体"/>
          <w:b/>
          <w:kern w:val="0"/>
          <w:sz w:val="24"/>
          <w:szCs w:val="24"/>
        </w:rPr>
      </w:pPr>
      <w:r>
        <w:rPr>
          <w:rFonts w:hint="eastAsia" w:ascii="宋体" w:hAnsi="宋体" w:eastAsia="宋体" w:cs="宋体"/>
          <w:b/>
          <w:kern w:val="0"/>
          <w:sz w:val="24"/>
          <w:szCs w:val="24"/>
          <w:lang w:val="en-US" w:eastAsia="zh-CN"/>
        </w:rPr>
        <w:t>7、</w:t>
      </w:r>
      <w:r>
        <w:rPr>
          <w:rFonts w:hint="eastAsia" w:ascii="宋体" w:hAnsi="宋体" w:eastAsia="宋体" w:cs="宋体"/>
          <w:b/>
          <w:kern w:val="0"/>
          <w:sz w:val="24"/>
          <w:szCs w:val="24"/>
          <w:lang w:eastAsia="zh-CN"/>
        </w:rPr>
        <w:t>设计学院</w:t>
      </w:r>
      <w:r>
        <w:rPr>
          <w:rFonts w:hint="eastAsia" w:ascii="宋体" w:hAnsi="宋体" w:eastAsia="宋体" w:cs="宋体"/>
          <w:b/>
          <w:kern w:val="0"/>
          <w:sz w:val="24"/>
          <w:szCs w:val="24"/>
        </w:rPr>
        <w:t>各专业毕业生当年基层就业（西部计划、三支一扶、特岗教师、选调、选聘）情况和案例</w:t>
      </w:r>
    </w:p>
    <w:p>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kern w:val="0"/>
          <w:sz w:val="24"/>
          <w:szCs w:val="24"/>
        </w:rPr>
      </w:pPr>
      <w:r>
        <w:rPr>
          <w:rFonts w:hint="eastAsia" w:ascii="宋体" w:hAnsi="宋体" w:eastAsia="宋体" w:cs="宋体"/>
          <w:kern w:val="0"/>
          <w:sz w:val="24"/>
          <w:szCs w:val="24"/>
          <w:lang w:eastAsia="zh-CN"/>
        </w:rPr>
        <w:t>2022</w:t>
      </w:r>
      <w:r>
        <w:rPr>
          <w:rFonts w:hint="eastAsia" w:ascii="宋体" w:hAnsi="宋体" w:eastAsia="宋体" w:cs="宋体"/>
          <w:kern w:val="0"/>
          <w:sz w:val="24"/>
          <w:szCs w:val="24"/>
        </w:rPr>
        <w:t>年，我</w:t>
      </w:r>
      <w:r>
        <w:rPr>
          <w:rFonts w:hint="eastAsia" w:ascii="宋体" w:hAnsi="宋体" w:eastAsia="宋体" w:cs="宋体"/>
          <w:kern w:val="0"/>
          <w:sz w:val="24"/>
          <w:szCs w:val="24"/>
          <w:lang w:val="en-US" w:eastAsia="zh-CN"/>
        </w:rPr>
        <w:t>院</w:t>
      </w:r>
      <w:r>
        <w:rPr>
          <w:rFonts w:hint="eastAsia" w:ascii="宋体" w:hAnsi="宋体" w:eastAsia="宋体" w:cs="宋体"/>
          <w:kern w:val="0"/>
          <w:sz w:val="24"/>
          <w:szCs w:val="24"/>
        </w:rPr>
        <w:t>积极宣传毕业生到基层就业，按照学校要求组织好各类宣讲宣传活动。我</w:t>
      </w:r>
      <w:r>
        <w:rPr>
          <w:rFonts w:hint="eastAsia" w:ascii="宋体" w:hAnsi="宋体" w:eastAsia="宋体" w:cs="宋体"/>
          <w:kern w:val="0"/>
          <w:sz w:val="24"/>
          <w:szCs w:val="24"/>
          <w:lang w:val="en-US" w:eastAsia="zh-CN"/>
        </w:rPr>
        <w:t>院</w:t>
      </w:r>
      <w:r>
        <w:rPr>
          <w:rFonts w:hint="eastAsia" w:ascii="宋体" w:hAnsi="宋体" w:eastAsia="宋体" w:cs="宋体"/>
          <w:kern w:val="0"/>
          <w:sz w:val="24"/>
          <w:szCs w:val="24"/>
        </w:rPr>
        <w:t>党</w:t>
      </w:r>
      <w:r>
        <w:rPr>
          <w:rFonts w:hint="eastAsia" w:ascii="宋体" w:hAnsi="宋体" w:eastAsia="宋体" w:cs="宋体"/>
          <w:kern w:val="0"/>
          <w:sz w:val="24"/>
          <w:szCs w:val="24"/>
          <w:lang w:val="en-US" w:eastAsia="zh-CN"/>
        </w:rPr>
        <w:t>委</w:t>
      </w:r>
      <w:r>
        <w:rPr>
          <w:rFonts w:hint="eastAsia" w:ascii="宋体" w:hAnsi="宋体" w:eastAsia="宋体" w:cs="宋体"/>
          <w:kern w:val="0"/>
          <w:sz w:val="24"/>
          <w:szCs w:val="24"/>
        </w:rPr>
        <w:t>积极将</w:t>
      </w:r>
      <w:r>
        <w:rPr>
          <w:rFonts w:hint="eastAsia" w:ascii="宋体" w:hAnsi="宋体" w:eastAsia="宋体" w:cs="宋体"/>
          <w:kern w:val="0"/>
          <w:sz w:val="24"/>
          <w:szCs w:val="24"/>
          <w:lang w:val="en-US" w:eastAsia="zh-CN"/>
        </w:rPr>
        <w:t>参军</w:t>
      </w:r>
      <w:r>
        <w:rPr>
          <w:rFonts w:hint="eastAsia" w:ascii="宋体" w:hAnsi="宋体" w:eastAsia="宋体" w:cs="宋体"/>
          <w:kern w:val="0"/>
          <w:sz w:val="24"/>
          <w:szCs w:val="24"/>
        </w:rPr>
        <w:t>等宣传工作下沉，辅导员通过面对面宣传</w:t>
      </w:r>
      <w:r>
        <w:rPr>
          <w:rFonts w:hint="eastAsia" w:ascii="宋体" w:hAnsi="宋体" w:eastAsia="宋体" w:cs="宋体"/>
          <w:kern w:val="0"/>
          <w:sz w:val="24"/>
          <w:szCs w:val="24"/>
          <w:lang w:eastAsia="zh-CN"/>
        </w:rPr>
        <w:t>，</w:t>
      </w:r>
      <w:r>
        <w:rPr>
          <w:rFonts w:hint="eastAsia" w:ascii="宋体" w:hAnsi="宋体" w:eastAsia="宋体" w:cs="宋体"/>
          <w:kern w:val="0"/>
          <w:sz w:val="24"/>
          <w:szCs w:val="24"/>
          <w:lang w:val="en-US" w:eastAsia="zh-CN"/>
        </w:rPr>
        <w:t>qq群中宣传</w:t>
      </w:r>
      <w:r>
        <w:rPr>
          <w:rFonts w:hint="eastAsia" w:ascii="宋体" w:hAnsi="宋体" w:eastAsia="宋体" w:cs="宋体"/>
          <w:kern w:val="0"/>
          <w:sz w:val="24"/>
          <w:szCs w:val="24"/>
        </w:rPr>
        <w:t>的方式动员</w:t>
      </w:r>
      <w:r>
        <w:rPr>
          <w:rFonts w:hint="eastAsia" w:ascii="宋体" w:hAnsi="宋体" w:eastAsia="宋体" w:cs="宋体"/>
          <w:kern w:val="0"/>
          <w:sz w:val="24"/>
          <w:szCs w:val="24"/>
          <w:lang w:eastAsia="zh-CN"/>
        </w:rPr>
        <w:t>，</w:t>
      </w:r>
      <w:r>
        <w:rPr>
          <w:rFonts w:hint="eastAsia" w:ascii="宋体" w:hAnsi="宋体" w:eastAsia="宋体" w:cs="宋体"/>
          <w:kern w:val="0"/>
          <w:sz w:val="24"/>
          <w:szCs w:val="24"/>
          <w:lang w:val="en-US" w:eastAsia="zh-CN"/>
        </w:rPr>
        <w:t>进行大学期间的各项应征入伍政策的分析，后期也伴有辅导员、指导老师的鼓励</w:t>
      </w:r>
      <w:r>
        <w:rPr>
          <w:rFonts w:hint="eastAsia" w:ascii="宋体" w:hAnsi="宋体" w:eastAsia="宋体" w:cs="宋体"/>
          <w:kern w:val="0"/>
          <w:sz w:val="24"/>
          <w:szCs w:val="24"/>
        </w:rPr>
        <w:t>，结合</w:t>
      </w:r>
      <w:r>
        <w:rPr>
          <w:rFonts w:hint="eastAsia" w:ascii="宋体" w:hAnsi="宋体" w:eastAsia="宋体" w:cs="宋体"/>
          <w:kern w:val="0"/>
          <w:sz w:val="24"/>
          <w:szCs w:val="24"/>
          <w:lang w:val="en-US" w:eastAsia="zh-CN"/>
        </w:rPr>
        <w:t>毕业生自身追求</w:t>
      </w:r>
      <w:r>
        <w:rPr>
          <w:rFonts w:hint="eastAsia" w:ascii="宋体" w:hAnsi="宋体" w:eastAsia="宋体" w:cs="宋体"/>
          <w:kern w:val="0"/>
          <w:sz w:val="24"/>
          <w:szCs w:val="24"/>
        </w:rPr>
        <w:t>，</w:t>
      </w:r>
      <w:r>
        <w:rPr>
          <w:rFonts w:hint="eastAsia" w:ascii="宋体" w:hAnsi="宋体" w:eastAsia="宋体" w:cs="宋体"/>
          <w:kern w:val="0"/>
          <w:sz w:val="24"/>
          <w:szCs w:val="24"/>
          <w:lang w:val="en-US" w:eastAsia="zh-CN"/>
        </w:rPr>
        <w:t>我院共有11名毕业生自主报名参加参军入伍体检，经过预报名、体检、政审等环节，最终18视觉传达设计、18产品设计、18艺术与科技、18动画等6名专业毕业生于2022年9月前后成功入伍。</w:t>
      </w:r>
      <w:r>
        <w:rPr>
          <w:rFonts w:hint="eastAsia" w:ascii="宋体" w:hAnsi="宋体" w:eastAsia="宋体" w:cs="宋体"/>
          <w:kern w:val="0"/>
          <w:sz w:val="24"/>
          <w:szCs w:val="24"/>
        </w:rPr>
        <w:t>今年我</w:t>
      </w:r>
      <w:r>
        <w:rPr>
          <w:rFonts w:hint="eastAsia" w:ascii="宋体" w:hAnsi="宋体" w:eastAsia="宋体" w:cs="宋体"/>
          <w:kern w:val="0"/>
          <w:sz w:val="24"/>
          <w:szCs w:val="24"/>
          <w:lang w:val="en-US" w:eastAsia="zh-CN"/>
        </w:rPr>
        <w:t>院</w:t>
      </w:r>
      <w:r>
        <w:rPr>
          <w:rFonts w:hint="eastAsia" w:ascii="宋体" w:hAnsi="宋体" w:eastAsia="宋体" w:cs="宋体"/>
          <w:kern w:val="0"/>
          <w:sz w:val="24"/>
          <w:szCs w:val="24"/>
        </w:rPr>
        <w:t>工业设计共有</w:t>
      </w:r>
      <w:r>
        <w:rPr>
          <w:rFonts w:hint="eastAsia" w:ascii="宋体" w:hAnsi="宋体" w:eastAsia="宋体" w:cs="宋体"/>
          <w:kern w:val="0"/>
          <w:sz w:val="24"/>
          <w:szCs w:val="24"/>
          <w:lang w:val="en-US" w:eastAsia="zh-CN"/>
        </w:rPr>
        <w:t>多</w:t>
      </w:r>
      <w:r>
        <w:rPr>
          <w:rFonts w:hint="eastAsia" w:ascii="宋体" w:hAnsi="宋体" w:eastAsia="宋体" w:cs="宋体"/>
          <w:kern w:val="0"/>
          <w:sz w:val="24"/>
          <w:szCs w:val="24"/>
        </w:rPr>
        <w:t>名同学参加选调生考试，辅导员也根据同学情况针对性辅导，最终有</w:t>
      </w:r>
      <w:r>
        <w:rPr>
          <w:rFonts w:hint="eastAsia" w:ascii="宋体" w:hAnsi="宋体" w:eastAsia="宋体" w:cs="宋体"/>
          <w:kern w:val="0"/>
          <w:sz w:val="24"/>
          <w:szCs w:val="24"/>
          <w:lang w:val="en-US" w:eastAsia="zh-CN"/>
        </w:rPr>
        <w:t>1</w:t>
      </w:r>
      <w:r>
        <w:rPr>
          <w:rFonts w:hint="eastAsia" w:ascii="宋体" w:hAnsi="宋体" w:eastAsia="宋体" w:cs="宋体"/>
          <w:kern w:val="0"/>
          <w:sz w:val="24"/>
          <w:szCs w:val="24"/>
        </w:rPr>
        <w:t>名同学通过笔试</w:t>
      </w:r>
      <w:r>
        <w:rPr>
          <w:rFonts w:hint="eastAsia" w:ascii="宋体" w:hAnsi="宋体" w:eastAsia="宋体" w:cs="宋体"/>
          <w:kern w:val="0"/>
          <w:sz w:val="24"/>
          <w:szCs w:val="24"/>
          <w:lang w:val="en-US" w:eastAsia="zh-CN"/>
        </w:rPr>
        <w:t>并顺利入职，1人考取公务员，1人入职三支一扶</w:t>
      </w:r>
    </w:p>
    <w:p>
      <w:pPr>
        <w:keepNext w:val="0"/>
        <w:keepLines w:val="0"/>
        <w:pageBreakBefore w:val="0"/>
        <w:widowControl/>
        <w:kinsoku/>
        <w:wordWrap/>
        <w:overflowPunct/>
        <w:topLinePunct w:val="0"/>
        <w:autoSpaceDE/>
        <w:autoSpaceDN/>
        <w:bidi w:val="0"/>
        <w:adjustRightInd/>
        <w:snapToGrid/>
        <w:spacing w:line="360" w:lineRule="auto"/>
        <w:textAlignment w:val="auto"/>
        <w:rPr>
          <w:rFonts w:hint="eastAsia" w:ascii="宋体" w:hAnsi="宋体" w:eastAsia="宋体" w:cs="宋体"/>
          <w:b/>
          <w:kern w:val="0"/>
          <w:sz w:val="24"/>
          <w:szCs w:val="24"/>
        </w:rPr>
      </w:pPr>
      <w:r>
        <w:rPr>
          <w:rFonts w:hint="eastAsia" w:ascii="宋体" w:hAnsi="宋体" w:eastAsia="宋体" w:cs="宋体"/>
          <w:b/>
          <w:kern w:val="0"/>
          <w:sz w:val="24"/>
          <w:szCs w:val="24"/>
          <w:lang w:val="en-US" w:eastAsia="zh-CN"/>
        </w:rPr>
        <w:t>8</w:t>
      </w:r>
      <w:r>
        <w:rPr>
          <w:rFonts w:hint="eastAsia" w:ascii="宋体" w:hAnsi="宋体" w:eastAsia="宋体" w:cs="宋体"/>
          <w:b/>
          <w:kern w:val="0"/>
          <w:sz w:val="24"/>
          <w:szCs w:val="24"/>
        </w:rPr>
        <w:t>、毕业生创业情况及典型案例</w:t>
      </w:r>
    </w:p>
    <w:p>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kern w:val="0"/>
          <w:sz w:val="24"/>
          <w:szCs w:val="24"/>
        </w:rPr>
      </w:pPr>
      <w:r>
        <w:rPr>
          <w:rFonts w:hint="eastAsia" w:ascii="宋体" w:hAnsi="宋体" w:eastAsia="宋体" w:cs="宋体"/>
          <w:kern w:val="0"/>
          <w:sz w:val="24"/>
          <w:szCs w:val="24"/>
        </w:rPr>
        <w:t>我</w:t>
      </w:r>
      <w:r>
        <w:rPr>
          <w:rFonts w:hint="eastAsia" w:ascii="宋体" w:hAnsi="宋体" w:eastAsia="宋体" w:cs="宋体"/>
          <w:kern w:val="0"/>
          <w:sz w:val="24"/>
          <w:szCs w:val="24"/>
          <w:lang w:val="en-US" w:eastAsia="zh-CN"/>
        </w:rPr>
        <w:t>院</w:t>
      </w:r>
      <w:r>
        <w:rPr>
          <w:rFonts w:hint="eastAsia" w:ascii="宋体" w:hAnsi="宋体" w:eastAsia="宋体" w:cs="宋体"/>
          <w:kern w:val="0"/>
          <w:sz w:val="24"/>
          <w:szCs w:val="24"/>
          <w:lang w:eastAsia="zh-CN"/>
        </w:rPr>
        <w:t>2022</w:t>
      </w:r>
      <w:r>
        <w:rPr>
          <w:rFonts w:hint="eastAsia" w:ascii="宋体" w:hAnsi="宋体" w:eastAsia="宋体" w:cs="宋体"/>
          <w:kern w:val="0"/>
          <w:sz w:val="24"/>
          <w:szCs w:val="24"/>
        </w:rPr>
        <w:t>届毕业生中共有</w:t>
      </w:r>
      <w:r>
        <w:rPr>
          <w:rFonts w:hint="eastAsia" w:ascii="宋体" w:hAnsi="宋体" w:eastAsia="宋体" w:cs="宋体"/>
          <w:kern w:val="0"/>
          <w:sz w:val="24"/>
          <w:szCs w:val="24"/>
          <w:lang w:val="en-US" w:eastAsia="zh-CN"/>
        </w:rPr>
        <w:t>1</w:t>
      </w:r>
      <w:r>
        <w:rPr>
          <w:rFonts w:hint="eastAsia" w:ascii="宋体" w:hAnsi="宋体" w:eastAsia="宋体" w:cs="宋体"/>
          <w:kern w:val="0"/>
          <w:sz w:val="24"/>
          <w:szCs w:val="24"/>
        </w:rPr>
        <w:t>名同学成功创业，</w:t>
      </w:r>
      <w:r>
        <w:rPr>
          <w:rFonts w:hint="eastAsia" w:ascii="宋体" w:hAnsi="宋体" w:eastAsia="宋体" w:cs="宋体"/>
          <w:kern w:val="0"/>
          <w:sz w:val="24"/>
          <w:szCs w:val="24"/>
          <w:lang w:val="en-US" w:eastAsia="zh-CN"/>
        </w:rPr>
        <w:t>得益于学生自身的努力，同样也是不断强化学生创业意识，给与学生提供创业平台的实践结果，环境设计</w:t>
      </w:r>
      <w:r>
        <w:rPr>
          <w:rFonts w:hint="eastAsia" w:ascii="宋体" w:hAnsi="宋体" w:eastAsia="宋体" w:cs="宋体"/>
          <w:kern w:val="0"/>
          <w:sz w:val="24"/>
          <w:szCs w:val="24"/>
        </w:rPr>
        <w:t>专业的</w:t>
      </w:r>
      <w:r>
        <w:rPr>
          <w:rFonts w:hint="eastAsia" w:ascii="宋体" w:hAnsi="宋体" w:eastAsia="宋体" w:cs="宋体"/>
          <w:kern w:val="0"/>
          <w:sz w:val="24"/>
          <w:szCs w:val="24"/>
          <w:lang w:val="en-US" w:eastAsia="zh-CN"/>
        </w:rPr>
        <w:t>程思雅</w:t>
      </w:r>
      <w:r>
        <w:rPr>
          <w:rFonts w:hint="eastAsia" w:ascii="宋体" w:hAnsi="宋体" w:eastAsia="宋体" w:cs="宋体"/>
          <w:kern w:val="0"/>
          <w:sz w:val="24"/>
          <w:szCs w:val="24"/>
        </w:rPr>
        <w:t>同学</w:t>
      </w:r>
      <w:r>
        <w:rPr>
          <w:rFonts w:hint="eastAsia" w:ascii="宋体" w:hAnsi="宋体" w:eastAsia="宋体" w:cs="宋体"/>
          <w:kern w:val="0"/>
          <w:sz w:val="24"/>
          <w:szCs w:val="24"/>
          <w:lang w:eastAsia="zh-CN"/>
        </w:rPr>
        <w:t>，</w:t>
      </w:r>
      <w:r>
        <w:rPr>
          <w:rFonts w:hint="eastAsia" w:ascii="宋体" w:hAnsi="宋体" w:eastAsia="宋体" w:cs="宋体"/>
          <w:kern w:val="0"/>
          <w:sz w:val="24"/>
          <w:szCs w:val="24"/>
          <w:lang w:val="en-US" w:eastAsia="zh-CN"/>
        </w:rPr>
        <w:t>大二就有了创业想法，在辅导员的支持下</w:t>
      </w:r>
      <w:r>
        <w:rPr>
          <w:rFonts w:hint="eastAsia" w:ascii="宋体" w:hAnsi="宋体" w:eastAsia="宋体" w:cs="宋体"/>
          <w:kern w:val="0"/>
          <w:sz w:val="24"/>
          <w:szCs w:val="24"/>
        </w:rPr>
        <w:t>，</w:t>
      </w:r>
      <w:r>
        <w:rPr>
          <w:rFonts w:hint="eastAsia" w:ascii="宋体" w:hAnsi="宋体" w:eastAsia="宋体" w:cs="宋体"/>
          <w:kern w:val="0"/>
          <w:sz w:val="24"/>
          <w:szCs w:val="24"/>
          <w:lang w:val="en-US" w:eastAsia="zh-CN"/>
        </w:rPr>
        <w:t>先是在外从事</w:t>
      </w:r>
      <w:r>
        <w:rPr>
          <w:rFonts w:hint="eastAsia" w:ascii="宋体" w:hAnsi="宋体" w:eastAsia="宋体" w:cs="宋体"/>
          <w:kern w:val="0"/>
          <w:sz w:val="24"/>
          <w:szCs w:val="24"/>
        </w:rPr>
        <w:t>兼职</w:t>
      </w:r>
      <w:r>
        <w:rPr>
          <w:rFonts w:hint="eastAsia" w:ascii="宋体" w:hAnsi="宋体" w:eastAsia="宋体" w:cs="宋体"/>
          <w:kern w:val="0"/>
          <w:sz w:val="24"/>
          <w:szCs w:val="24"/>
          <w:lang w:val="en-US" w:eastAsia="zh-CN"/>
        </w:rPr>
        <w:t>工作，了解市场环境，长期的实践经验让她掌握了创业的基本素养与技术能力，凭借家中支持和</w:t>
      </w:r>
      <w:r>
        <w:rPr>
          <w:rFonts w:hint="eastAsia" w:ascii="宋体" w:hAnsi="宋体" w:eastAsia="宋体" w:cs="宋体"/>
          <w:kern w:val="0"/>
          <w:sz w:val="24"/>
          <w:szCs w:val="24"/>
        </w:rPr>
        <w:t>积累的实践经验</w:t>
      </w:r>
      <w:r>
        <w:rPr>
          <w:rFonts w:hint="eastAsia" w:ascii="宋体" w:hAnsi="宋体" w:eastAsia="宋体" w:cs="宋体"/>
          <w:kern w:val="0"/>
          <w:sz w:val="24"/>
          <w:szCs w:val="24"/>
          <w:lang w:eastAsia="zh-CN"/>
        </w:rPr>
        <w:t>，</w:t>
      </w:r>
      <w:r>
        <w:rPr>
          <w:rFonts w:hint="eastAsia" w:ascii="宋体" w:hAnsi="宋体" w:eastAsia="宋体" w:cs="宋体"/>
          <w:kern w:val="0"/>
          <w:sz w:val="24"/>
          <w:szCs w:val="24"/>
          <w:lang w:val="en-US" w:eastAsia="zh-CN"/>
        </w:rPr>
        <w:t>也根据自身对于专业的学习，</w:t>
      </w:r>
      <w:r>
        <w:rPr>
          <w:rFonts w:hint="eastAsia" w:ascii="宋体" w:hAnsi="宋体" w:eastAsia="宋体" w:cs="宋体"/>
          <w:kern w:val="0"/>
          <w:sz w:val="24"/>
          <w:szCs w:val="24"/>
        </w:rPr>
        <w:t>在</w:t>
      </w:r>
      <w:r>
        <w:rPr>
          <w:rFonts w:hint="eastAsia" w:ascii="宋体" w:hAnsi="宋体" w:eastAsia="宋体" w:cs="宋体"/>
          <w:kern w:val="0"/>
          <w:sz w:val="24"/>
          <w:szCs w:val="24"/>
          <w:lang w:val="en-US" w:eastAsia="zh-CN"/>
        </w:rPr>
        <w:t>大四开始筹办公司</w:t>
      </w:r>
      <w:r>
        <w:rPr>
          <w:rFonts w:hint="eastAsia" w:ascii="宋体" w:hAnsi="宋体" w:eastAsia="宋体" w:cs="宋体"/>
          <w:kern w:val="0"/>
          <w:sz w:val="24"/>
          <w:szCs w:val="24"/>
        </w:rPr>
        <w:t>。</w:t>
      </w:r>
      <w:r>
        <w:rPr>
          <w:rFonts w:hint="eastAsia" w:ascii="宋体" w:hAnsi="宋体" w:eastAsia="宋体" w:cs="宋体"/>
          <w:kern w:val="0"/>
          <w:sz w:val="24"/>
          <w:szCs w:val="24"/>
          <w:lang w:val="en-US" w:eastAsia="zh-CN"/>
        </w:rPr>
        <w:t>公司</w:t>
      </w:r>
      <w:r>
        <w:rPr>
          <w:rFonts w:hint="eastAsia" w:ascii="宋体" w:hAnsi="宋体" w:eastAsia="宋体" w:cs="宋体"/>
          <w:kern w:val="0"/>
          <w:sz w:val="24"/>
          <w:szCs w:val="24"/>
        </w:rPr>
        <w:t>主营</w:t>
      </w:r>
      <w:r>
        <w:rPr>
          <w:rFonts w:hint="eastAsia" w:ascii="宋体" w:hAnsi="宋体" w:eastAsia="宋体" w:cs="宋体"/>
          <w:kern w:val="0"/>
          <w:sz w:val="24"/>
          <w:szCs w:val="24"/>
          <w:lang w:val="en-US" w:eastAsia="zh-CN"/>
        </w:rPr>
        <w:t>工艺产品制造，截止目前，公司无任何不良记录，对外承接的项目，无一项差评记录，公司的发展正在稳步提升</w:t>
      </w:r>
      <w:r>
        <w:rPr>
          <w:rFonts w:hint="eastAsia" w:ascii="宋体" w:hAnsi="宋体" w:eastAsia="宋体" w:cs="宋体"/>
          <w:kern w:val="0"/>
          <w:sz w:val="24"/>
          <w:szCs w:val="24"/>
        </w:rPr>
        <w:t>。</w:t>
      </w:r>
    </w:p>
    <w:p>
      <w:pPr>
        <w:spacing w:line="360" w:lineRule="auto"/>
        <w:rPr>
          <w:rFonts w:hint="eastAsia"/>
          <w:b/>
          <w:sz w:val="32"/>
          <w:szCs w:val="32"/>
        </w:rPr>
      </w:pPr>
    </w:p>
    <w:p>
      <w:pPr>
        <w:spacing w:line="360" w:lineRule="auto"/>
        <w:ind w:left="120" w:hanging="120" w:hangingChars="50"/>
        <w:rPr>
          <w:rFonts w:hint="eastAsia" w:ascii="宋体" w:hAnsi="宋体"/>
          <w:sz w:val="24"/>
          <w:szCs w:val="24"/>
        </w:rPr>
      </w:pPr>
    </w:p>
    <w:p>
      <w:pPr>
        <w:spacing w:line="360" w:lineRule="auto"/>
        <w:ind w:firstLine="480" w:firstLineChars="200"/>
        <w:jc w:val="left"/>
        <w:rPr>
          <w:rFonts w:hint="eastAsia" w:ascii="宋体" w:hAnsi="宋体" w:eastAsia="宋体"/>
          <w:sz w:val="24"/>
          <w:szCs w:val="24"/>
          <w:lang w:eastAsia="zh-CN"/>
        </w:rPr>
      </w:pPr>
      <w:r>
        <w:rPr>
          <w:rFonts w:hint="eastAsia" w:ascii="宋体" w:hAnsi="宋体"/>
          <w:sz w:val="24"/>
          <w:szCs w:val="24"/>
        </w:rPr>
        <w:t xml:space="preserve">                          </w:t>
      </w:r>
      <w:r>
        <w:rPr>
          <w:rFonts w:hint="eastAsia" w:ascii="宋体" w:hAnsi="宋体"/>
          <w:sz w:val="24"/>
          <w:szCs w:val="24"/>
          <w:lang w:val="en-US" w:eastAsia="zh-CN"/>
        </w:rPr>
        <w:t xml:space="preserve">                合肥学院</w:t>
      </w:r>
      <w:r>
        <w:rPr>
          <w:rFonts w:hint="eastAsia" w:ascii="宋体" w:hAnsi="宋体"/>
          <w:sz w:val="24"/>
          <w:szCs w:val="24"/>
          <w:lang w:eastAsia="zh-CN"/>
        </w:rPr>
        <w:t>设计学院</w:t>
      </w:r>
    </w:p>
    <w:p>
      <w:pPr>
        <w:spacing w:line="360" w:lineRule="auto"/>
        <w:ind w:firstLine="480" w:firstLineChars="200"/>
        <w:jc w:val="left"/>
        <w:rPr>
          <w:rFonts w:hint="eastAsia" w:ascii="宋体" w:hAnsi="宋体"/>
          <w:sz w:val="24"/>
          <w:szCs w:val="24"/>
        </w:rPr>
      </w:pPr>
      <w:r>
        <w:rPr>
          <w:rFonts w:hint="eastAsia" w:ascii="宋体" w:hAnsi="宋体"/>
          <w:sz w:val="24"/>
          <w:szCs w:val="24"/>
        </w:rPr>
        <w:t xml:space="preserve">                                 </w:t>
      </w:r>
      <w:r>
        <w:rPr>
          <w:rFonts w:hint="eastAsia" w:ascii="宋体" w:hAnsi="宋体"/>
          <w:sz w:val="24"/>
          <w:szCs w:val="24"/>
          <w:lang w:val="en-US" w:eastAsia="zh-CN"/>
        </w:rPr>
        <w:t xml:space="preserve">         </w:t>
      </w:r>
      <w:r>
        <w:rPr>
          <w:rFonts w:hint="eastAsia" w:ascii="宋体" w:hAnsi="宋体"/>
          <w:sz w:val="24"/>
          <w:szCs w:val="24"/>
          <w:lang w:eastAsia="zh-CN"/>
        </w:rPr>
        <w:t>2022</w:t>
      </w:r>
      <w:r>
        <w:rPr>
          <w:rFonts w:hint="eastAsia" w:ascii="宋体" w:hAnsi="宋体"/>
          <w:sz w:val="24"/>
          <w:szCs w:val="24"/>
        </w:rPr>
        <w:t>年1</w:t>
      </w:r>
      <w:r>
        <w:rPr>
          <w:rFonts w:hint="eastAsia" w:ascii="宋体" w:hAnsi="宋体"/>
          <w:sz w:val="24"/>
          <w:szCs w:val="24"/>
          <w:lang w:val="en-US" w:eastAsia="zh-CN"/>
        </w:rPr>
        <w:t>2</w:t>
      </w:r>
      <w:r>
        <w:rPr>
          <w:rFonts w:hint="eastAsia" w:ascii="宋体" w:hAnsi="宋体"/>
          <w:sz w:val="24"/>
          <w:szCs w:val="24"/>
        </w:rPr>
        <w:t>月</w:t>
      </w:r>
      <w:r>
        <w:rPr>
          <w:rFonts w:hint="eastAsia" w:ascii="宋体" w:hAnsi="宋体"/>
          <w:sz w:val="24"/>
          <w:szCs w:val="24"/>
          <w:lang w:val="en-US" w:eastAsia="zh-CN"/>
        </w:rPr>
        <w:t>18</w:t>
      </w:r>
      <w:r>
        <w:rPr>
          <w:rFonts w:hint="eastAsia" w:ascii="宋体" w:hAnsi="宋体"/>
          <w:sz w:val="24"/>
          <w:szCs w:val="24"/>
        </w:rPr>
        <w:t>日</w:t>
      </w:r>
    </w:p>
    <w:p>
      <w:pPr>
        <w:spacing w:line="360" w:lineRule="auto"/>
        <w:ind w:firstLine="480" w:firstLineChars="200"/>
        <w:jc w:val="right"/>
        <w:rPr>
          <w:rFonts w:ascii="宋体" w:hAnsi="宋体"/>
          <w:sz w:val="24"/>
        </w:rPr>
      </w:pPr>
    </w:p>
    <w:p>
      <w:pPr>
        <w:widowControl/>
        <w:jc w:val="left"/>
        <w:rPr>
          <w:rFonts w:ascii="宋体" w:hAnsi="宋体" w:cs="宋体"/>
          <w:b/>
          <w:color w:val="000000"/>
          <w:sz w:val="32"/>
          <w:szCs w:val="32"/>
        </w:rPr>
      </w:pPr>
      <w:r>
        <w:rPr>
          <w:rFonts w:ascii="宋体" w:hAnsi="宋体" w:cs="宋体"/>
          <w:b/>
          <w:color w:val="000000"/>
          <w:sz w:val="32"/>
          <w:szCs w:val="32"/>
        </w:rPr>
        <w:br w:type="page"/>
      </w:r>
    </w:p>
    <w:p>
      <w:pPr>
        <w:adjustRightInd w:val="0"/>
        <w:snapToGrid w:val="0"/>
        <w:spacing w:line="360" w:lineRule="auto"/>
        <w:jc w:val="center"/>
        <w:rPr>
          <w:rFonts w:hint="eastAsia" w:ascii="宋体" w:hAnsi="宋体" w:cs="宋体"/>
          <w:b/>
          <w:color w:val="000000"/>
          <w:sz w:val="32"/>
          <w:szCs w:val="32"/>
        </w:rPr>
      </w:pPr>
      <w:r>
        <w:rPr>
          <w:rFonts w:hint="eastAsia" w:ascii="宋体" w:hAnsi="宋体" w:cs="宋体"/>
          <w:b/>
          <w:color w:val="000000"/>
          <w:sz w:val="32"/>
          <w:szCs w:val="32"/>
        </w:rPr>
        <w:t>合肥学院经济与管理学院202</w:t>
      </w:r>
      <w:r>
        <w:rPr>
          <w:rFonts w:hint="eastAsia" w:ascii="宋体" w:hAnsi="宋体" w:cs="宋体"/>
          <w:b/>
          <w:color w:val="000000"/>
          <w:sz w:val="32"/>
          <w:szCs w:val="32"/>
          <w:lang w:val="en-US" w:eastAsia="zh-CN"/>
        </w:rPr>
        <w:t>2</w:t>
      </w:r>
      <w:r>
        <w:rPr>
          <w:rFonts w:hint="eastAsia" w:ascii="宋体" w:hAnsi="宋体" w:cs="宋体"/>
          <w:b/>
          <w:color w:val="000000"/>
          <w:sz w:val="32"/>
          <w:szCs w:val="32"/>
        </w:rPr>
        <w:t>年就业评估自查报告</w:t>
      </w:r>
    </w:p>
    <w:p>
      <w:pPr>
        <w:spacing w:line="360" w:lineRule="auto"/>
        <w:ind w:firstLine="480" w:firstLineChars="200"/>
        <w:rPr>
          <w:rFonts w:ascii="宋体" w:hAnsi="宋体"/>
          <w:color w:val="000000"/>
          <w:sz w:val="24"/>
          <w:highlight w:val="none"/>
        </w:rPr>
      </w:pPr>
      <w:r>
        <w:rPr>
          <w:rFonts w:hint="eastAsia" w:ascii="宋体" w:hAnsi="宋体"/>
          <w:color w:val="000000"/>
          <w:sz w:val="24"/>
          <w:highlight w:val="none"/>
          <w:lang w:val="en-US" w:eastAsia="zh-CN"/>
        </w:rPr>
        <w:t>三年以来的新冠肺炎疫情极大地冲击了全球经济</w:t>
      </w:r>
      <w:r>
        <w:rPr>
          <w:rFonts w:hint="eastAsia" w:ascii="宋体" w:hAnsi="宋体"/>
          <w:color w:val="000000"/>
          <w:sz w:val="24"/>
          <w:highlight w:val="none"/>
        </w:rPr>
        <w:t>，</w:t>
      </w:r>
      <w:r>
        <w:rPr>
          <w:rFonts w:hint="eastAsia" w:ascii="宋体" w:hAnsi="宋体"/>
          <w:color w:val="000000"/>
          <w:sz w:val="24"/>
          <w:highlight w:val="none"/>
          <w:lang w:val="en-US" w:eastAsia="zh-CN"/>
        </w:rPr>
        <w:t>并</w:t>
      </w:r>
      <w:r>
        <w:rPr>
          <w:rFonts w:hint="eastAsia" w:ascii="宋体" w:hAnsi="宋体"/>
          <w:color w:val="000000"/>
          <w:sz w:val="24"/>
          <w:highlight w:val="none"/>
        </w:rPr>
        <w:t>持续低迷。在此背景下，</w:t>
      </w:r>
      <w:r>
        <w:rPr>
          <w:rFonts w:hint="eastAsia" w:ascii="宋体" w:hAnsi="宋体"/>
          <w:color w:val="000000"/>
          <w:sz w:val="24"/>
          <w:highlight w:val="none"/>
          <w:lang w:val="en-US" w:eastAsia="zh-CN"/>
        </w:rPr>
        <w:t>中国加快构建</w:t>
      </w:r>
      <w:r>
        <w:rPr>
          <w:rFonts w:hint="eastAsia" w:ascii="宋体" w:hAnsi="宋体"/>
          <w:color w:val="000000"/>
          <w:sz w:val="24"/>
          <w:highlight w:val="none"/>
        </w:rPr>
        <w:t>以国内经济循环为主体、国内国际双循环相互促进的新发展格局。</w:t>
      </w:r>
      <w:r>
        <w:rPr>
          <w:rFonts w:hint="eastAsia" w:ascii="宋体" w:hAnsi="宋体"/>
          <w:color w:val="000000"/>
          <w:sz w:val="24"/>
          <w:highlight w:val="none"/>
          <w:lang w:val="en-US" w:eastAsia="zh-CN"/>
        </w:rPr>
        <w:t>奥美克戎传播速度快，隐匿性强，严格的疫情防控措施给生活带来了极大的不便，也导致了</w:t>
      </w:r>
      <w:r>
        <w:rPr>
          <w:rFonts w:hint="eastAsia" w:ascii="宋体" w:hAnsi="宋体"/>
          <w:color w:val="000000"/>
          <w:sz w:val="24"/>
          <w:highlight w:val="none"/>
        </w:rPr>
        <w:t>国内产业链循环受阻、国际贸易顺差收窄、投资大幅度萎缩，国内消费、投资、出口</w:t>
      </w:r>
      <w:r>
        <w:rPr>
          <w:rFonts w:hint="eastAsia" w:ascii="宋体" w:hAnsi="宋体"/>
          <w:color w:val="000000"/>
          <w:sz w:val="24"/>
          <w:highlight w:val="none"/>
          <w:lang w:val="en-US" w:eastAsia="zh-CN"/>
        </w:rPr>
        <w:t>持续低迷</w:t>
      </w:r>
      <w:r>
        <w:rPr>
          <w:rFonts w:hint="eastAsia" w:ascii="宋体" w:hAnsi="宋体"/>
          <w:color w:val="000000"/>
          <w:sz w:val="24"/>
          <w:highlight w:val="none"/>
        </w:rPr>
        <w:t>，中小企业生存艰难，就业压力</w:t>
      </w:r>
      <w:r>
        <w:rPr>
          <w:rFonts w:hint="eastAsia" w:ascii="宋体" w:hAnsi="宋体"/>
          <w:color w:val="000000"/>
          <w:sz w:val="24"/>
          <w:highlight w:val="none"/>
          <w:lang w:val="en-US" w:eastAsia="zh-CN"/>
        </w:rPr>
        <w:t>持续</w:t>
      </w:r>
      <w:r>
        <w:rPr>
          <w:rFonts w:hint="eastAsia" w:ascii="宋体" w:hAnsi="宋体"/>
          <w:color w:val="000000"/>
          <w:sz w:val="24"/>
          <w:highlight w:val="none"/>
        </w:rPr>
        <w:t>增加，就业市场需求</w:t>
      </w:r>
      <w:r>
        <w:rPr>
          <w:rFonts w:hint="eastAsia" w:ascii="宋体" w:hAnsi="宋体"/>
          <w:color w:val="000000"/>
          <w:sz w:val="24"/>
          <w:highlight w:val="none"/>
          <w:lang w:val="en-US" w:eastAsia="zh-CN"/>
        </w:rPr>
        <w:t>降低</w:t>
      </w:r>
      <w:r>
        <w:rPr>
          <w:rFonts w:hint="eastAsia" w:ascii="宋体" w:hAnsi="宋体"/>
          <w:color w:val="000000"/>
          <w:sz w:val="24"/>
          <w:highlight w:val="none"/>
        </w:rPr>
        <w:t>，学生就业更加迟缓，就业工作推进难度</w:t>
      </w:r>
      <w:r>
        <w:rPr>
          <w:rFonts w:hint="eastAsia" w:ascii="宋体" w:hAnsi="宋体"/>
          <w:color w:val="000000"/>
          <w:sz w:val="24"/>
          <w:highlight w:val="none"/>
          <w:lang w:val="en-US" w:eastAsia="zh-CN"/>
        </w:rPr>
        <w:t>加大</w:t>
      </w:r>
      <w:r>
        <w:rPr>
          <w:rFonts w:hint="eastAsia" w:ascii="宋体" w:hAnsi="宋体"/>
          <w:color w:val="000000"/>
          <w:sz w:val="24"/>
          <w:highlight w:val="none"/>
        </w:rPr>
        <w:t>。经济与管理学院在常态化疫情</w:t>
      </w:r>
      <w:r>
        <w:rPr>
          <w:rFonts w:hint="eastAsia" w:ascii="宋体" w:hAnsi="宋体"/>
          <w:color w:val="000000"/>
          <w:sz w:val="24"/>
          <w:highlight w:val="none"/>
          <w:lang w:val="en-US" w:eastAsia="zh-CN"/>
        </w:rPr>
        <w:t>防控</w:t>
      </w:r>
      <w:r>
        <w:rPr>
          <w:rFonts w:hint="eastAsia" w:ascii="宋体" w:hAnsi="宋体"/>
          <w:color w:val="000000"/>
          <w:sz w:val="24"/>
          <w:highlight w:val="none"/>
        </w:rPr>
        <w:t>下</w:t>
      </w:r>
      <w:r>
        <w:rPr>
          <w:rFonts w:hint="eastAsia" w:ascii="宋体" w:hAnsi="宋体"/>
          <w:color w:val="000000"/>
          <w:sz w:val="24"/>
          <w:highlight w:val="none"/>
          <w:lang w:eastAsia="zh-CN"/>
        </w:rPr>
        <w:t>，</w:t>
      </w:r>
      <w:r>
        <w:rPr>
          <w:rFonts w:hint="eastAsia" w:ascii="宋体" w:hAnsi="宋体"/>
          <w:color w:val="000000"/>
          <w:sz w:val="24"/>
          <w:highlight w:val="none"/>
        </w:rPr>
        <w:t>深入贯彻党中央、国务院关于“六稳”、“六保”精神内涵，全体人员、全过程、全方位开展就业指导服务和帮扶工作。在确保毕业生生命安全和身心健康前提下，开设就业指导课程，积极</w:t>
      </w:r>
      <w:r>
        <w:rPr>
          <w:rFonts w:hint="eastAsia" w:ascii="宋体" w:hAnsi="宋体"/>
          <w:color w:val="000000"/>
          <w:sz w:val="24"/>
          <w:highlight w:val="none"/>
          <w:lang w:val="en-US" w:eastAsia="zh-CN"/>
        </w:rPr>
        <w:t>协调举办各类型招聘会，组织</w:t>
      </w:r>
      <w:r>
        <w:rPr>
          <w:rFonts w:hint="eastAsia" w:ascii="宋体" w:hAnsi="宋体"/>
          <w:color w:val="000000"/>
          <w:sz w:val="24"/>
          <w:highlight w:val="none"/>
        </w:rPr>
        <w:t>引导应届毕业生参加</w:t>
      </w:r>
      <w:r>
        <w:rPr>
          <w:rFonts w:hint="eastAsia" w:ascii="宋体" w:hAnsi="宋体"/>
          <w:color w:val="000000"/>
          <w:sz w:val="24"/>
          <w:highlight w:val="none"/>
          <w:lang w:val="en-US" w:eastAsia="zh-CN"/>
        </w:rPr>
        <w:t>专场</w:t>
      </w:r>
      <w:r>
        <w:rPr>
          <w:rFonts w:hint="eastAsia" w:ascii="宋体" w:hAnsi="宋体"/>
          <w:color w:val="000000"/>
          <w:sz w:val="24"/>
          <w:highlight w:val="none"/>
        </w:rPr>
        <w:t>招聘</w:t>
      </w:r>
      <w:r>
        <w:rPr>
          <w:rFonts w:hint="eastAsia" w:ascii="宋体" w:hAnsi="宋体"/>
          <w:color w:val="000000"/>
          <w:sz w:val="24"/>
          <w:highlight w:val="none"/>
          <w:lang w:val="en-US" w:eastAsia="zh-CN"/>
        </w:rPr>
        <w:t>会、</w:t>
      </w:r>
      <w:r>
        <w:rPr>
          <w:rFonts w:hint="eastAsia" w:ascii="宋体" w:hAnsi="宋体"/>
          <w:color w:val="000000"/>
          <w:sz w:val="24"/>
          <w:highlight w:val="none"/>
        </w:rPr>
        <w:t>双选会，</w:t>
      </w:r>
      <w:r>
        <w:rPr>
          <w:rFonts w:hint="eastAsia" w:ascii="宋体" w:hAnsi="宋体"/>
          <w:color w:val="000000"/>
          <w:sz w:val="24"/>
          <w:highlight w:val="none"/>
          <w:lang w:val="en-US" w:eastAsia="zh-CN"/>
        </w:rPr>
        <w:t>带领</w:t>
      </w:r>
      <w:r>
        <w:rPr>
          <w:rFonts w:hint="eastAsia" w:ascii="宋体" w:hAnsi="宋体"/>
          <w:color w:val="000000"/>
          <w:sz w:val="24"/>
          <w:highlight w:val="none"/>
        </w:rPr>
        <w:t>学生开展</w:t>
      </w:r>
      <w:r>
        <w:rPr>
          <w:rFonts w:hint="eastAsia" w:ascii="宋体" w:hAnsi="宋体"/>
          <w:color w:val="000000"/>
          <w:sz w:val="24"/>
          <w:highlight w:val="none"/>
          <w:lang w:val="en-US" w:eastAsia="zh-CN"/>
        </w:rPr>
        <w:t>访企拓岗促就业专项行动</w:t>
      </w:r>
      <w:r>
        <w:rPr>
          <w:rFonts w:hint="eastAsia" w:ascii="宋体" w:hAnsi="宋体"/>
          <w:color w:val="000000"/>
          <w:sz w:val="24"/>
          <w:highlight w:val="none"/>
        </w:rPr>
        <w:t>等。对标学校任务要求，顺利完成就业工作相关事项。</w:t>
      </w:r>
      <w:r>
        <w:rPr>
          <w:rFonts w:hint="eastAsia" w:ascii="宋体" w:hAnsi="宋体" w:cs="宋体"/>
          <w:color w:val="000000"/>
          <w:kern w:val="0"/>
          <w:sz w:val="24"/>
          <w:highlight w:val="none"/>
        </w:rPr>
        <w:t>现将就业评估自查情况汇报如下：</w:t>
      </w:r>
    </w:p>
    <w:p>
      <w:pPr>
        <w:spacing w:line="360" w:lineRule="auto"/>
        <w:ind w:firstLine="479" w:firstLineChars="199"/>
        <w:rPr>
          <w:rFonts w:hint="eastAsia" w:ascii="宋体" w:hAnsi="宋体"/>
          <w:b/>
          <w:sz w:val="24"/>
        </w:rPr>
      </w:pPr>
      <w:r>
        <w:rPr>
          <w:rFonts w:hint="eastAsia" w:ascii="宋体" w:hAnsi="宋体"/>
          <w:b/>
          <w:sz w:val="24"/>
        </w:rPr>
        <w:t>第一部分：经济与管理学院及各专业就业基本情况</w:t>
      </w:r>
    </w:p>
    <w:p>
      <w:pPr>
        <w:adjustRightInd w:val="0"/>
        <w:snapToGrid w:val="0"/>
        <w:spacing w:line="360" w:lineRule="auto"/>
        <w:ind w:firstLine="480" w:firstLineChars="200"/>
        <w:rPr>
          <w:rFonts w:hint="eastAsia" w:ascii="宋体" w:hAnsi="宋体"/>
          <w:color w:val="000000"/>
          <w:sz w:val="24"/>
        </w:rPr>
      </w:pPr>
      <w:r>
        <w:rPr>
          <w:rFonts w:hint="eastAsia" w:ascii="宋体" w:hAnsi="宋体"/>
          <w:sz w:val="24"/>
        </w:rPr>
        <w:t>202</w:t>
      </w:r>
      <w:r>
        <w:rPr>
          <w:rFonts w:hint="eastAsia" w:ascii="宋体" w:hAnsi="宋体"/>
          <w:sz w:val="24"/>
          <w:lang w:val="en-US" w:eastAsia="zh-CN"/>
        </w:rPr>
        <w:t>2</w:t>
      </w:r>
      <w:r>
        <w:rPr>
          <w:rFonts w:hint="eastAsia" w:ascii="宋体" w:hAnsi="宋体"/>
          <w:sz w:val="24"/>
        </w:rPr>
        <w:t>届</w:t>
      </w:r>
      <w:r>
        <w:rPr>
          <w:rFonts w:ascii="宋体" w:hAnsi="宋体"/>
          <w:sz w:val="24"/>
        </w:rPr>
        <w:t>毕业生</w:t>
      </w:r>
      <w:r>
        <w:rPr>
          <w:rFonts w:hint="eastAsia" w:ascii="宋体" w:hAnsi="宋体"/>
          <w:sz w:val="24"/>
        </w:rPr>
        <w:t>人数6</w:t>
      </w:r>
      <w:r>
        <w:rPr>
          <w:rFonts w:hint="eastAsia" w:ascii="宋体" w:hAnsi="宋体"/>
          <w:sz w:val="24"/>
          <w:lang w:val="en-US" w:eastAsia="zh-CN"/>
        </w:rPr>
        <w:t>17</w:t>
      </w:r>
      <w:r>
        <w:rPr>
          <w:rFonts w:hint="eastAsia" w:ascii="宋体" w:hAnsi="宋体"/>
          <w:sz w:val="24"/>
        </w:rPr>
        <w:t>名</w:t>
      </w:r>
      <w:r>
        <w:rPr>
          <w:rFonts w:ascii="宋体" w:hAnsi="宋体"/>
          <w:sz w:val="24"/>
        </w:rPr>
        <w:t>，</w:t>
      </w:r>
      <w:r>
        <w:rPr>
          <w:rFonts w:hint="eastAsia" w:ascii="宋体" w:hAnsi="宋体"/>
          <w:sz w:val="24"/>
        </w:rPr>
        <w:t>截止到202</w:t>
      </w:r>
      <w:r>
        <w:rPr>
          <w:rFonts w:hint="eastAsia" w:ascii="宋体" w:hAnsi="宋体"/>
          <w:sz w:val="24"/>
          <w:lang w:val="en-US" w:eastAsia="zh-CN"/>
        </w:rPr>
        <w:t>2</w:t>
      </w:r>
      <w:r>
        <w:rPr>
          <w:rFonts w:hint="eastAsia" w:ascii="宋体" w:hAnsi="宋体"/>
          <w:sz w:val="24"/>
        </w:rPr>
        <w:t>年8月31日，经济与管理学院就业率达到</w:t>
      </w:r>
      <w:r>
        <w:rPr>
          <w:rFonts w:hint="eastAsia" w:ascii="宋体" w:hAnsi="宋体"/>
          <w:sz w:val="24"/>
          <w:highlight w:val="none"/>
          <w:lang w:val="en-US" w:eastAsia="zh-CN"/>
        </w:rPr>
        <w:t>87.03</w:t>
      </w:r>
      <w:r>
        <w:rPr>
          <w:rFonts w:hint="eastAsia" w:ascii="宋体" w:hAnsi="宋体"/>
          <w:sz w:val="24"/>
          <w:highlight w:val="none"/>
        </w:rPr>
        <w:t>%。</w:t>
      </w:r>
      <w:r>
        <w:rPr>
          <w:rFonts w:hint="eastAsia" w:ascii="宋体" w:hAnsi="宋体"/>
          <w:sz w:val="24"/>
        </w:rPr>
        <w:t>截</w:t>
      </w:r>
      <w:r>
        <w:rPr>
          <w:rFonts w:hint="eastAsia" w:ascii="宋体" w:hAnsi="宋体"/>
          <w:sz w:val="24"/>
          <w:lang w:val="en-US" w:eastAsia="zh-CN"/>
        </w:rPr>
        <w:t>至</w:t>
      </w:r>
      <w:r>
        <w:rPr>
          <w:rFonts w:hint="eastAsia" w:ascii="宋体" w:hAnsi="宋体"/>
          <w:sz w:val="24"/>
        </w:rPr>
        <w:t>到目前，经济与管理学院就业率达到</w:t>
      </w:r>
      <w:r>
        <w:rPr>
          <w:rFonts w:hint="eastAsia" w:ascii="宋体" w:hAnsi="宋体"/>
          <w:sz w:val="24"/>
          <w:lang w:val="en-US" w:eastAsia="zh-CN"/>
        </w:rPr>
        <w:t>90.11</w:t>
      </w:r>
      <w:r>
        <w:rPr>
          <w:rFonts w:hint="eastAsia" w:ascii="宋体" w:hAnsi="宋体"/>
          <w:sz w:val="24"/>
        </w:rPr>
        <w:t>%。其中考取研究生同学</w:t>
      </w:r>
      <w:r>
        <w:rPr>
          <w:rFonts w:hint="eastAsia" w:ascii="宋体" w:hAnsi="宋体"/>
          <w:sz w:val="24"/>
          <w:lang w:val="en-US" w:eastAsia="zh-CN"/>
        </w:rPr>
        <w:t>49</w:t>
      </w:r>
      <w:r>
        <w:rPr>
          <w:rFonts w:hint="eastAsia" w:ascii="宋体" w:hAnsi="宋体"/>
          <w:sz w:val="24"/>
        </w:rPr>
        <w:t>名，占总人数的</w:t>
      </w:r>
      <w:r>
        <w:rPr>
          <w:rFonts w:hint="eastAsia" w:ascii="宋体" w:hAnsi="宋体"/>
          <w:sz w:val="24"/>
          <w:lang w:val="en-US" w:eastAsia="zh-CN"/>
        </w:rPr>
        <w:t>7.94</w:t>
      </w:r>
      <w:r>
        <w:rPr>
          <w:rFonts w:hint="eastAsia" w:ascii="宋体" w:hAnsi="宋体"/>
          <w:sz w:val="24"/>
        </w:rPr>
        <w:t>%；出国</w:t>
      </w:r>
      <w:r>
        <w:rPr>
          <w:rFonts w:hint="eastAsia" w:ascii="宋体" w:hAnsi="宋体"/>
          <w:sz w:val="24"/>
          <w:lang w:eastAsia="zh-CN"/>
        </w:rPr>
        <w:t>、</w:t>
      </w:r>
      <w:r>
        <w:rPr>
          <w:rFonts w:hint="eastAsia" w:ascii="宋体" w:hAnsi="宋体"/>
          <w:sz w:val="24"/>
          <w:lang w:val="en-US" w:eastAsia="zh-CN"/>
        </w:rPr>
        <w:t>出境</w:t>
      </w:r>
      <w:r>
        <w:rPr>
          <w:rFonts w:hint="eastAsia" w:ascii="宋体" w:hAnsi="宋体"/>
          <w:sz w:val="24"/>
        </w:rPr>
        <w:t>同学</w:t>
      </w:r>
      <w:r>
        <w:rPr>
          <w:rFonts w:hint="eastAsia" w:ascii="宋体" w:hAnsi="宋体"/>
          <w:sz w:val="24"/>
          <w:lang w:val="en-US" w:eastAsia="zh-CN"/>
        </w:rPr>
        <w:t>22</w:t>
      </w:r>
      <w:r>
        <w:rPr>
          <w:rFonts w:hint="eastAsia" w:ascii="宋体" w:hAnsi="宋体"/>
          <w:sz w:val="24"/>
        </w:rPr>
        <w:t>名，占总人数的</w:t>
      </w:r>
      <w:r>
        <w:rPr>
          <w:rFonts w:hint="eastAsia" w:ascii="宋体" w:hAnsi="宋体"/>
          <w:sz w:val="24"/>
          <w:lang w:val="en-US" w:eastAsia="zh-CN"/>
        </w:rPr>
        <w:t>3.57</w:t>
      </w:r>
      <w:r>
        <w:rPr>
          <w:rFonts w:hint="eastAsia" w:ascii="宋体" w:hAnsi="宋体"/>
          <w:color w:val="000000"/>
          <w:sz w:val="24"/>
        </w:rPr>
        <w:t>%；</w:t>
      </w:r>
      <w:r>
        <w:rPr>
          <w:rFonts w:hint="eastAsia" w:ascii="宋体" w:hAnsi="宋体"/>
          <w:color w:val="000000"/>
          <w:sz w:val="24"/>
          <w:lang w:val="en-US" w:eastAsia="zh-CN"/>
        </w:rPr>
        <w:t>考</w:t>
      </w:r>
      <w:r>
        <w:rPr>
          <w:rFonts w:hint="eastAsia" w:ascii="宋体" w:hAnsi="宋体"/>
          <w:color w:val="000000"/>
          <w:sz w:val="24"/>
        </w:rPr>
        <w:t>取国家公务员、事业单位及基层项目</w:t>
      </w:r>
      <w:r>
        <w:rPr>
          <w:rFonts w:hint="eastAsia" w:ascii="宋体" w:hAnsi="宋体"/>
          <w:color w:val="000000"/>
          <w:sz w:val="24"/>
          <w:lang w:val="en-US" w:eastAsia="zh-CN"/>
        </w:rPr>
        <w:t>34</w:t>
      </w:r>
      <w:r>
        <w:rPr>
          <w:rFonts w:hint="eastAsia" w:ascii="宋体" w:hAnsi="宋体"/>
          <w:color w:val="000000"/>
          <w:sz w:val="24"/>
        </w:rPr>
        <w:t>名同学，占总数的</w:t>
      </w:r>
      <w:r>
        <w:rPr>
          <w:rFonts w:hint="eastAsia" w:ascii="宋体" w:hAnsi="宋体"/>
          <w:color w:val="000000"/>
          <w:sz w:val="24"/>
          <w:lang w:val="en-US" w:eastAsia="zh-CN"/>
        </w:rPr>
        <w:t>5.51</w:t>
      </w:r>
      <w:r>
        <w:rPr>
          <w:rFonts w:hint="eastAsia" w:ascii="宋体" w:hAnsi="宋体"/>
          <w:color w:val="000000"/>
          <w:sz w:val="24"/>
        </w:rPr>
        <w:t>%；应征入伍</w:t>
      </w:r>
      <w:r>
        <w:rPr>
          <w:rFonts w:hint="eastAsia" w:ascii="宋体" w:hAnsi="宋体"/>
          <w:color w:val="000000"/>
          <w:sz w:val="24"/>
          <w:lang w:val="en-US" w:eastAsia="zh-CN"/>
        </w:rPr>
        <w:t>4</w:t>
      </w:r>
      <w:r>
        <w:rPr>
          <w:rFonts w:hint="eastAsia" w:ascii="宋体" w:hAnsi="宋体"/>
          <w:color w:val="000000"/>
          <w:sz w:val="24"/>
        </w:rPr>
        <w:t>名同学，占总数0.</w:t>
      </w:r>
      <w:r>
        <w:rPr>
          <w:rFonts w:hint="eastAsia" w:ascii="宋体" w:hAnsi="宋体"/>
          <w:color w:val="000000"/>
          <w:sz w:val="24"/>
          <w:lang w:val="en-US" w:eastAsia="zh-CN"/>
        </w:rPr>
        <w:t>65</w:t>
      </w:r>
      <w:r>
        <w:rPr>
          <w:rFonts w:hint="eastAsia" w:ascii="宋体" w:hAnsi="宋体"/>
          <w:color w:val="000000"/>
          <w:sz w:val="24"/>
        </w:rPr>
        <w:t>%。</w:t>
      </w:r>
      <w:r>
        <w:rPr>
          <w:rFonts w:hint="eastAsia" w:ascii="宋体" w:hAnsi="宋体"/>
          <w:color w:val="000000"/>
          <w:sz w:val="24"/>
          <w:lang w:val="en-US" w:eastAsia="zh-CN"/>
        </w:rPr>
        <w:t>617</w:t>
      </w:r>
      <w:r>
        <w:rPr>
          <w:rFonts w:hint="eastAsia" w:ascii="宋体" w:hAnsi="宋体"/>
          <w:color w:val="000000"/>
          <w:sz w:val="24"/>
        </w:rPr>
        <w:t>名毕业生全部文明离校，未发生任何违规违纪行为。</w:t>
      </w:r>
    </w:p>
    <w:p>
      <w:pPr>
        <w:spacing w:line="360" w:lineRule="auto"/>
        <w:jc w:val="center"/>
        <w:rPr>
          <w:rFonts w:hint="eastAsia" w:ascii="仿宋_GB2312" w:hAnsi="宋体" w:eastAsia="仿宋_GB2312" w:cs="Times New Roman"/>
          <w:b/>
          <w:color w:val="1F497D"/>
          <w:sz w:val="24"/>
        </w:rPr>
      </w:pPr>
      <w:r>
        <w:rPr>
          <w:rFonts w:hint="eastAsia" w:ascii="仿宋_GB2312" w:hAnsi="宋体" w:eastAsia="仿宋_GB2312" w:cs="Times New Roman"/>
          <w:b/>
          <w:color w:val="1F497D"/>
          <w:sz w:val="24"/>
        </w:rPr>
        <w:t>经济与管理学院202</w:t>
      </w:r>
      <w:r>
        <w:rPr>
          <w:rFonts w:hint="eastAsia" w:ascii="仿宋_GB2312" w:hAnsi="宋体" w:eastAsia="仿宋_GB2312" w:cs="Times New Roman"/>
          <w:b/>
          <w:color w:val="1F497D"/>
          <w:sz w:val="24"/>
          <w:lang w:val="en-US" w:eastAsia="zh-CN"/>
        </w:rPr>
        <w:t>2</w:t>
      </w:r>
      <w:r>
        <w:rPr>
          <w:rFonts w:hint="eastAsia" w:ascii="仿宋_GB2312" w:hAnsi="宋体" w:eastAsia="仿宋_GB2312" w:cs="Times New Roman"/>
          <w:b/>
          <w:color w:val="1F497D"/>
          <w:sz w:val="24"/>
        </w:rPr>
        <w:t>届毕业生</w:t>
      </w:r>
      <w:r>
        <w:rPr>
          <w:rFonts w:hint="eastAsia" w:ascii="仿宋_GB2312" w:hAnsi="宋体" w:eastAsia="仿宋_GB2312" w:cs="Times New Roman"/>
          <w:b/>
          <w:color w:val="1F497D"/>
          <w:sz w:val="24"/>
          <w:lang w:val="en-US" w:eastAsia="zh-CN"/>
        </w:rPr>
        <w:t>就业</w:t>
      </w:r>
      <w:r>
        <w:rPr>
          <w:rFonts w:hint="eastAsia" w:ascii="仿宋_GB2312" w:hAnsi="宋体" w:eastAsia="仿宋_GB2312" w:cs="Times New Roman"/>
          <w:b/>
          <w:color w:val="1F497D"/>
          <w:sz w:val="24"/>
        </w:rPr>
        <w:t>情况统计表</w:t>
      </w:r>
    </w:p>
    <w:tbl>
      <w:tblPr>
        <w:tblStyle w:val="13"/>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692"/>
        <w:gridCol w:w="2"/>
        <w:gridCol w:w="874"/>
        <w:gridCol w:w="1564"/>
        <w:gridCol w:w="722"/>
        <w:gridCol w:w="3"/>
        <w:gridCol w:w="873"/>
        <w:gridCol w:w="2"/>
        <w:gridCol w:w="913"/>
        <w:gridCol w:w="3"/>
        <w:gridCol w:w="2"/>
        <w:gridCol w:w="871"/>
        <w:gridCol w:w="4"/>
        <w:gridCol w:w="3"/>
        <w:gridCol w:w="99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38" w:type="pct"/>
            <w:vMerge w:val="restart"/>
            <w:tcBorders>
              <w:top w:val="single" w:color="FFFFFF" w:sz="8" w:space="0"/>
              <w:left w:val="single" w:color="FFFFFF" w:sz="8" w:space="0"/>
              <w:bottom w:val="single" w:color="FFFFFF" w:sz="18" w:space="0"/>
              <w:right w:val="single" w:color="FFFFFF" w:sz="8" w:space="0"/>
            </w:tcBorders>
            <w:shd w:val="clear" w:color="auto" w:fill="4F81BD"/>
            <w:noWrap/>
            <w:vAlign w:val="center"/>
          </w:tcPr>
          <w:p>
            <w:pPr>
              <w:widowControl/>
              <w:jc w:val="center"/>
              <w:rPr>
                <w:rFonts w:ascii="宋体" w:hAnsi="宋体" w:cs="宋体"/>
                <w:color w:val="FFFFFF"/>
                <w:kern w:val="0"/>
                <w:sz w:val="22"/>
                <w:szCs w:val="22"/>
              </w:rPr>
            </w:pPr>
            <w:r>
              <w:rPr>
                <w:rFonts w:hint="eastAsia" w:ascii="宋体" w:hAnsi="宋体" w:cs="宋体"/>
                <w:color w:val="FFFFFF"/>
                <w:kern w:val="0"/>
                <w:sz w:val="22"/>
                <w:szCs w:val="22"/>
              </w:rPr>
              <w:t>专业</w:t>
            </w:r>
          </w:p>
        </w:tc>
        <w:tc>
          <w:tcPr>
            <w:tcW w:w="4261" w:type="pct"/>
            <w:gridSpan w:val="14"/>
            <w:tcBorders>
              <w:top w:val="single" w:color="FFFFFF" w:sz="8" w:space="0"/>
              <w:left w:val="single" w:color="FFFFFF" w:sz="8" w:space="0"/>
              <w:bottom w:val="single" w:color="FFFFFF" w:sz="18" w:space="0"/>
              <w:right w:val="single" w:color="FFFFFF" w:sz="8" w:space="0"/>
            </w:tcBorders>
            <w:shd w:val="clear" w:color="auto" w:fill="4F81BD"/>
            <w:noWrap/>
            <w:vAlign w:val="center"/>
          </w:tcPr>
          <w:p>
            <w:pPr>
              <w:widowControl/>
              <w:jc w:val="center"/>
              <w:rPr>
                <w:rFonts w:ascii="宋体" w:hAnsi="宋体" w:cs="宋体"/>
                <w:color w:val="FFFFFF"/>
                <w:kern w:val="0"/>
                <w:sz w:val="22"/>
                <w:szCs w:val="22"/>
              </w:rPr>
            </w:pPr>
            <w:r>
              <w:rPr>
                <w:rFonts w:hint="eastAsia" w:ascii="宋体" w:hAnsi="宋体" w:cs="宋体"/>
                <w:color w:val="FFFFFF"/>
                <w:kern w:val="0"/>
                <w:sz w:val="22"/>
                <w:szCs w:val="22"/>
              </w:rPr>
              <w:t>本科</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25" w:hRule="atLeast"/>
        </w:trPr>
        <w:tc>
          <w:tcPr>
            <w:tcW w:w="738" w:type="pct"/>
            <w:vMerge w:val="continue"/>
            <w:tcBorders>
              <w:top w:val="single" w:color="FFFFFF" w:sz="18" w:space="0"/>
              <w:left w:val="single" w:color="FFFFFF" w:sz="8" w:space="0"/>
              <w:bottom w:val="single" w:color="FFFFFF" w:sz="8" w:space="0"/>
              <w:right w:val="single" w:color="FFFFFF" w:sz="8" w:space="0"/>
            </w:tcBorders>
            <w:shd w:val="clear" w:color="auto" w:fill="D0D8E8"/>
            <w:noWrap w:val="0"/>
            <w:vAlign w:val="center"/>
          </w:tcPr>
          <w:p>
            <w:pPr>
              <w:widowControl/>
              <w:jc w:val="left"/>
              <w:rPr>
                <w:rFonts w:ascii="宋体" w:hAnsi="宋体" w:cs="宋体"/>
                <w:color w:val="000000"/>
                <w:kern w:val="0"/>
                <w:sz w:val="22"/>
                <w:szCs w:val="22"/>
              </w:rPr>
            </w:pPr>
          </w:p>
        </w:tc>
        <w:tc>
          <w:tcPr>
            <w:tcW w:w="513" w:type="pct"/>
            <w:gridSpan w:val="2"/>
            <w:tcBorders>
              <w:top w:val="single" w:color="FFFFFF" w:sz="18" w:space="0"/>
              <w:left w:val="single" w:color="FFFFFF" w:sz="8" w:space="0"/>
              <w:bottom w:val="single" w:color="FFFFFF" w:sz="8" w:space="0"/>
              <w:right w:val="single" w:color="FFFFFF" w:sz="8" w:space="0"/>
            </w:tcBorders>
            <w:shd w:val="clear" w:color="auto" w:fill="D0D8E8"/>
            <w:noWrap/>
            <w:vAlign w:val="center"/>
          </w:tcPr>
          <w:p>
            <w:pPr>
              <w:widowControl/>
              <w:jc w:val="center"/>
              <w:rPr>
                <w:rFonts w:ascii="宋体" w:hAnsi="宋体" w:cs="宋体"/>
                <w:color w:val="000000"/>
                <w:kern w:val="0"/>
                <w:sz w:val="22"/>
                <w:szCs w:val="22"/>
              </w:rPr>
            </w:pPr>
            <w:r>
              <w:rPr>
                <w:rFonts w:hint="eastAsia" w:ascii="宋体" w:hAnsi="宋体" w:cs="宋体"/>
                <w:color w:val="000000"/>
                <w:kern w:val="0"/>
                <w:sz w:val="22"/>
                <w:szCs w:val="22"/>
              </w:rPr>
              <w:t>总人数</w:t>
            </w:r>
          </w:p>
        </w:tc>
        <w:tc>
          <w:tcPr>
            <w:tcW w:w="967" w:type="pct"/>
            <w:tcBorders>
              <w:top w:val="single" w:color="FFFFFF" w:sz="18" w:space="0"/>
              <w:left w:val="single" w:color="FFFFFF" w:sz="8" w:space="0"/>
              <w:bottom w:val="single" w:color="FFFFFF" w:sz="8" w:space="0"/>
              <w:right w:val="single" w:color="FFFFFF" w:sz="8" w:space="0"/>
            </w:tcBorders>
            <w:shd w:val="clear" w:color="auto" w:fill="D0D8E8"/>
            <w:noWrap w:val="0"/>
            <w:vAlign w:val="center"/>
          </w:tcPr>
          <w:p>
            <w:pPr>
              <w:widowControl/>
              <w:jc w:val="center"/>
              <w:rPr>
                <w:rFonts w:ascii="宋体" w:hAnsi="宋体" w:cs="宋体"/>
                <w:color w:val="000000"/>
                <w:kern w:val="0"/>
                <w:sz w:val="22"/>
                <w:szCs w:val="22"/>
              </w:rPr>
            </w:pPr>
            <w:r>
              <w:rPr>
                <w:rFonts w:hint="eastAsia" w:ascii="宋体" w:hAnsi="宋体" w:cs="宋体"/>
                <w:color w:val="000000"/>
                <w:kern w:val="0"/>
                <w:sz w:val="22"/>
                <w:szCs w:val="22"/>
              </w:rPr>
              <w:t>签订规范就业协议书及劳动合同人数</w:t>
            </w:r>
          </w:p>
        </w:tc>
        <w:tc>
          <w:tcPr>
            <w:tcW w:w="474" w:type="pct"/>
            <w:tcBorders>
              <w:top w:val="single" w:color="FFFFFF" w:sz="18" w:space="0"/>
              <w:left w:val="single" w:color="FFFFFF" w:sz="8" w:space="0"/>
              <w:bottom w:val="single" w:color="FFFFFF" w:sz="8" w:space="0"/>
              <w:right w:val="single" w:color="FFFFFF" w:sz="8" w:space="0"/>
            </w:tcBorders>
            <w:shd w:val="clear" w:color="auto" w:fill="D0D8E8"/>
            <w:noWrap w:val="0"/>
            <w:vAlign w:val="center"/>
          </w:tcPr>
          <w:p>
            <w:pPr>
              <w:widowControl/>
              <w:jc w:val="center"/>
              <w:rPr>
                <w:rFonts w:ascii="宋体" w:hAnsi="宋体" w:cs="宋体"/>
                <w:color w:val="000000"/>
                <w:kern w:val="0"/>
                <w:sz w:val="22"/>
                <w:szCs w:val="22"/>
              </w:rPr>
            </w:pPr>
            <w:r>
              <w:rPr>
                <w:rFonts w:hint="eastAsia" w:ascii="宋体" w:hAnsi="宋体" w:cs="宋体"/>
                <w:color w:val="000000"/>
                <w:kern w:val="0"/>
                <w:sz w:val="22"/>
                <w:szCs w:val="22"/>
              </w:rPr>
              <w:t>考取研究生人数</w:t>
            </w:r>
          </w:p>
        </w:tc>
        <w:tc>
          <w:tcPr>
            <w:tcW w:w="513" w:type="pct"/>
            <w:gridSpan w:val="2"/>
            <w:tcBorders>
              <w:top w:val="single" w:color="FFFFFF" w:sz="18" w:space="0"/>
              <w:left w:val="single" w:color="FFFFFF" w:sz="8" w:space="0"/>
              <w:bottom w:val="single" w:color="FFFFFF" w:sz="8" w:space="0"/>
              <w:right w:val="single" w:color="FFFFFF" w:sz="8" w:space="0"/>
            </w:tcBorders>
            <w:shd w:val="clear" w:color="auto" w:fill="D0D8E8"/>
            <w:noWrap/>
            <w:vAlign w:val="center"/>
          </w:tcPr>
          <w:p>
            <w:pPr>
              <w:widowControl/>
              <w:jc w:val="center"/>
              <w:rPr>
                <w:rFonts w:hint="eastAsia" w:ascii="宋体" w:hAnsi="宋体" w:cs="宋体"/>
                <w:color w:val="000000"/>
                <w:kern w:val="0"/>
                <w:sz w:val="22"/>
                <w:szCs w:val="22"/>
                <w:lang w:eastAsia="zh-CN"/>
              </w:rPr>
            </w:pPr>
            <w:r>
              <w:rPr>
                <w:rFonts w:hint="eastAsia" w:ascii="宋体" w:hAnsi="宋体" w:cs="宋体"/>
                <w:color w:val="000000"/>
                <w:kern w:val="0"/>
                <w:sz w:val="22"/>
                <w:szCs w:val="22"/>
              </w:rPr>
              <w:t>出国</w:t>
            </w:r>
            <w:r>
              <w:rPr>
                <w:rFonts w:hint="eastAsia" w:ascii="宋体" w:hAnsi="宋体" w:cs="宋体"/>
                <w:color w:val="000000"/>
                <w:kern w:val="0"/>
                <w:sz w:val="22"/>
                <w:szCs w:val="22"/>
                <w:lang w:eastAsia="zh-CN"/>
              </w:rPr>
              <w:t>、</w:t>
            </w:r>
          </w:p>
          <w:p>
            <w:pPr>
              <w:widowControl/>
              <w:jc w:val="center"/>
              <w:rPr>
                <w:rFonts w:hint="default" w:ascii="宋体" w:hAnsi="宋体" w:eastAsia="宋体" w:cs="宋体"/>
                <w:color w:val="000000"/>
                <w:kern w:val="0"/>
                <w:sz w:val="22"/>
                <w:szCs w:val="22"/>
                <w:lang w:val="en-US" w:eastAsia="zh-CN"/>
              </w:rPr>
            </w:pPr>
            <w:r>
              <w:rPr>
                <w:rFonts w:hint="eastAsia" w:ascii="宋体" w:hAnsi="宋体" w:cs="宋体"/>
                <w:color w:val="000000"/>
                <w:kern w:val="0"/>
                <w:sz w:val="22"/>
                <w:szCs w:val="22"/>
                <w:lang w:val="en-US" w:eastAsia="zh-CN"/>
              </w:rPr>
              <w:t>出境</w:t>
            </w:r>
          </w:p>
        </w:tc>
        <w:tc>
          <w:tcPr>
            <w:tcW w:w="630" w:type="pct"/>
            <w:gridSpan w:val="2"/>
            <w:tcBorders>
              <w:top w:val="single" w:color="FFFFFF" w:sz="18" w:space="0"/>
              <w:left w:val="single" w:color="FFFFFF" w:sz="8" w:space="0"/>
              <w:bottom w:val="single" w:color="FFFFFF" w:sz="8" w:space="0"/>
              <w:right w:val="single" w:color="FFFFFF" w:sz="8" w:space="0"/>
            </w:tcBorders>
            <w:shd w:val="clear" w:color="auto" w:fill="D0D8E8"/>
            <w:noWrap w:val="0"/>
            <w:vAlign w:val="center"/>
          </w:tcPr>
          <w:p>
            <w:pPr>
              <w:widowControl/>
              <w:jc w:val="center"/>
              <w:rPr>
                <w:rFonts w:ascii="宋体" w:hAnsi="宋体" w:cs="宋体"/>
                <w:color w:val="000000"/>
                <w:kern w:val="0"/>
                <w:sz w:val="22"/>
                <w:szCs w:val="22"/>
              </w:rPr>
            </w:pPr>
            <w:r>
              <w:rPr>
                <w:rFonts w:hint="eastAsia" w:ascii="宋体" w:hAnsi="宋体" w:cs="宋体"/>
                <w:color w:val="000000"/>
                <w:kern w:val="0"/>
                <w:sz w:val="22"/>
                <w:szCs w:val="22"/>
              </w:rPr>
              <w:t>国家公务员、事业单位及基层项目等</w:t>
            </w:r>
          </w:p>
        </w:tc>
        <w:tc>
          <w:tcPr>
            <w:tcW w:w="560" w:type="pct"/>
            <w:gridSpan w:val="3"/>
            <w:tcBorders>
              <w:top w:val="single" w:color="FFFFFF" w:sz="18" w:space="0"/>
              <w:left w:val="single" w:color="FFFFFF" w:sz="8" w:space="0"/>
              <w:bottom w:val="single" w:color="FFFFFF" w:sz="8" w:space="0"/>
              <w:right w:val="single" w:color="FFFFFF" w:sz="8" w:space="0"/>
            </w:tcBorders>
            <w:shd w:val="clear" w:color="auto" w:fill="D0D8E8"/>
            <w:noWrap w:val="0"/>
            <w:vAlign w:val="center"/>
          </w:tcPr>
          <w:p>
            <w:pPr>
              <w:widowControl/>
              <w:jc w:val="center"/>
              <w:rPr>
                <w:rFonts w:ascii="宋体" w:hAnsi="宋体" w:cs="宋体"/>
                <w:color w:val="000000"/>
                <w:kern w:val="0"/>
                <w:sz w:val="22"/>
                <w:szCs w:val="22"/>
              </w:rPr>
            </w:pPr>
            <w:r>
              <w:rPr>
                <w:rFonts w:hint="eastAsia" w:ascii="宋体" w:hAnsi="宋体" w:cs="宋体"/>
                <w:color w:val="000000"/>
                <w:kern w:val="0"/>
                <w:sz w:val="22"/>
                <w:szCs w:val="22"/>
              </w:rPr>
              <w:t>签约率（%）</w:t>
            </w:r>
          </w:p>
        </w:tc>
        <w:tc>
          <w:tcPr>
            <w:tcW w:w="600" w:type="pct"/>
            <w:gridSpan w:val="3"/>
            <w:tcBorders>
              <w:top w:val="single" w:color="FFFFFF" w:sz="18" w:space="0"/>
              <w:left w:val="single" w:color="FFFFFF" w:sz="8" w:space="0"/>
              <w:bottom w:val="single" w:color="FFFFFF" w:sz="8" w:space="0"/>
              <w:right w:val="single" w:color="FFFFFF" w:sz="8" w:space="0"/>
            </w:tcBorders>
            <w:shd w:val="clear" w:color="auto" w:fill="D0D8E8"/>
            <w:noWrap w:val="0"/>
            <w:vAlign w:val="center"/>
          </w:tcPr>
          <w:p>
            <w:pPr>
              <w:widowControl/>
              <w:jc w:val="center"/>
              <w:rPr>
                <w:rFonts w:ascii="宋体" w:hAnsi="宋体" w:cs="宋体"/>
                <w:color w:val="000000"/>
                <w:kern w:val="0"/>
                <w:sz w:val="22"/>
                <w:szCs w:val="22"/>
              </w:rPr>
            </w:pPr>
            <w:r>
              <w:rPr>
                <w:rFonts w:hint="eastAsia" w:ascii="宋体" w:hAnsi="宋体" w:cs="宋体"/>
                <w:color w:val="000000"/>
                <w:kern w:val="0"/>
                <w:sz w:val="22"/>
                <w:szCs w:val="22"/>
              </w:rPr>
              <w:t>就业率（%）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38" w:type="pct"/>
            <w:tcBorders>
              <w:top w:val="single" w:color="FFFFFF" w:sz="8" w:space="0"/>
              <w:left w:val="single" w:color="FFFFFF" w:sz="8" w:space="0"/>
              <w:bottom w:val="single" w:color="FFFFFF" w:sz="8" w:space="0"/>
              <w:right w:val="single" w:color="FFFFFF" w:sz="8" w:space="0"/>
            </w:tcBorders>
            <w:shd w:val="clear" w:color="auto" w:fill="E9EDF4"/>
            <w:noWrap/>
            <w:vAlign w:val="center"/>
          </w:tcPr>
          <w:p>
            <w:pPr>
              <w:widowControl/>
              <w:jc w:val="center"/>
              <w:rPr>
                <w:rFonts w:ascii="宋体" w:hAnsi="宋体" w:cs="宋体"/>
                <w:b/>
                <w:bCs/>
                <w:color w:val="000000"/>
                <w:kern w:val="0"/>
                <w:sz w:val="22"/>
                <w:szCs w:val="22"/>
              </w:rPr>
            </w:pPr>
            <w:r>
              <w:rPr>
                <w:rFonts w:hint="eastAsia" w:ascii="宋体" w:hAnsi="宋体" w:cs="宋体"/>
                <w:b/>
                <w:bCs/>
                <w:color w:val="000000"/>
                <w:kern w:val="0"/>
                <w:sz w:val="22"/>
                <w:szCs w:val="22"/>
              </w:rPr>
              <w:t>经济学</w:t>
            </w:r>
          </w:p>
        </w:tc>
        <w:tc>
          <w:tcPr>
            <w:tcW w:w="513" w:type="pct"/>
            <w:gridSpan w:val="2"/>
            <w:tcBorders>
              <w:top w:val="single" w:color="FFFFFF" w:sz="8" w:space="0"/>
              <w:left w:val="single" w:color="FFFFFF" w:sz="8" w:space="0"/>
              <w:bottom w:val="single" w:color="FFFFFF" w:sz="8" w:space="0"/>
              <w:right w:val="single" w:color="FFFFFF" w:sz="8" w:space="0"/>
            </w:tcBorders>
            <w:shd w:val="clear" w:color="auto" w:fill="E9EDF4"/>
            <w:noWrap/>
            <w:vAlign w:val="center"/>
          </w:tcPr>
          <w:p>
            <w:pPr>
              <w:widowControl/>
              <w:jc w:val="center"/>
              <w:rPr>
                <w:rFonts w:hint="default" w:ascii="宋体" w:hAnsi="宋体" w:eastAsia="宋体" w:cs="宋体"/>
                <w:color w:val="000000"/>
                <w:kern w:val="0"/>
                <w:sz w:val="22"/>
                <w:szCs w:val="22"/>
                <w:lang w:val="en-US" w:eastAsia="zh-CN"/>
              </w:rPr>
            </w:pPr>
            <w:r>
              <w:rPr>
                <w:rFonts w:hint="eastAsia" w:ascii="宋体" w:hAnsi="宋体" w:cs="宋体"/>
                <w:color w:val="000000"/>
                <w:kern w:val="0"/>
                <w:sz w:val="22"/>
                <w:szCs w:val="22"/>
                <w:lang w:val="en-US" w:eastAsia="zh-CN"/>
              </w:rPr>
              <w:t>65</w:t>
            </w:r>
          </w:p>
        </w:tc>
        <w:tc>
          <w:tcPr>
            <w:tcW w:w="967" w:type="pct"/>
            <w:tcBorders>
              <w:top w:val="single" w:color="FFFFFF" w:sz="8" w:space="0"/>
              <w:left w:val="single" w:color="FFFFFF" w:sz="8" w:space="0"/>
              <w:bottom w:val="single" w:color="FFFFFF" w:sz="8" w:space="0"/>
              <w:right w:val="single" w:color="FFFFFF" w:sz="8" w:space="0"/>
            </w:tcBorders>
            <w:shd w:val="clear" w:color="auto" w:fill="E9EDF4"/>
            <w:noWrap/>
            <w:vAlign w:val="center"/>
          </w:tcPr>
          <w:p>
            <w:pPr>
              <w:widowControl/>
              <w:jc w:val="center"/>
              <w:rPr>
                <w:rFonts w:hint="default" w:ascii="宋体" w:hAnsi="宋体" w:eastAsia="宋体" w:cs="宋体"/>
                <w:color w:val="000000"/>
                <w:kern w:val="0"/>
                <w:sz w:val="22"/>
                <w:szCs w:val="22"/>
                <w:lang w:val="en-US" w:eastAsia="zh-CN"/>
              </w:rPr>
            </w:pPr>
            <w:r>
              <w:rPr>
                <w:rFonts w:hint="eastAsia" w:ascii="宋体" w:hAnsi="宋体" w:cs="宋体"/>
                <w:color w:val="000000"/>
                <w:kern w:val="0"/>
                <w:sz w:val="22"/>
                <w:szCs w:val="22"/>
                <w:lang w:val="en-US" w:eastAsia="zh-CN"/>
              </w:rPr>
              <w:t>44</w:t>
            </w:r>
          </w:p>
        </w:tc>
        <w:tc>
          <w:tcPr>
            <w:tcW w:w="474" w:type="pct"/>
            <w:tcBorders>
              <w:top w:val="single" w:color="FFFFFF" w:sz="8" w:space="0"/>
              <w:left w:val="single" w:color="FFFFFF" w:sz="8" w:space="0"/>
              <w:bottom w:val="single" w:color="FFFFFF" w:sz="8" w:space="0"/>
              <w:right w:val="single" w:color="FFFFFF" w:sz="8" w:space="0"/>
            </w:tcBorders>
            <w:shd w:val="clear" w:color="auto" w:fill="E9EDF4"/>
            <w:noWrap/>
            <w:vAlign w:val="center"/>
          </w:tcPr>
          <w:p>
            <w:pPr>
              <w:widowControl/>
              <w:jc w:val="center"/>
              <w:rPr>
                <w:rFonts w:hint="eastAsia" w:ascii="宋体" w:hAnsi="宋体" w:eastAsia="宋体" w:cs="宋体"/>
                <w:color w:val="000000"/>
                <w:kern w:val="0"/>
                <w:sz w:val="22"/>
                <w:szCs w:val="22"/>
                <w:lang w:eastAsia="zh-CN"/>
              </w:rPr>
            </w:pPr>
            <w:r>
              <w:rPr>
                <w:rFonts w:hint="eastAsia" w:ascii="宋体" w:hAnsi="宋体" w:cs="宋体"/>
                <w:color w:val="000000"/>
                <w:kern w:val="0"/>
                <w:sz w:val="22"/>
                <w:szCs w:val="22"/>
                <w:lang w:val="en-US" w:eastAsia="zh-CN"/>
              </w:rPr>
              <w:t>2</w:t>
            </w:r>
          </w:p>
        </w:tc>
        <w:tc>
          <w:tcPr>
            <w:tcW w:w="513" w:type="pct"/>
            <w:gridSpan w:val="2"/>
            <w:tcBorders>
              <w:top w:val="single" w:color="FFFFFF" w:sz="8" w:space="0"/>
              <w:left w:val="single" w:color="FFFFFF" w:sz="8" w:space="0"/>
              <w:bottom w:val="single" w:color="FFFFFF" w:sz="8" w:space="0"/>
              <w:right w:val="single" w:color="FFFFFF" w:sz="8" w:space="0"/>
            </w:tcBorders>
            <w:shd w:val="clear" w:color="auto" w:fill="E9EDF4"/>
            <w:noWrap/>
            <w:vAlign w:val="center"/>
          </w:tcPr>
          <w:p>
            <w:pPr>
              <w:widowControl/>
              <w:jc w:val="center"/>
              <w:rPr>
                <w:rFonts w:hint="eastAsia" w:ascii="宋体" w:hAnsi="宋体" w:eastAsia="宋体" w:cs="宋体"/>
                <w:color w:val="000000"/>
                <w:kern w:val="0"/>
                <w:sz w:val="22"/>
                <w:szCs w:val="22"/>
                <w:lang w:eastAsia="zh-CN"/>
              </w:rPr>
            </w:pPr>
            <w:r>
              <w:rPr>
                <w:rFonts w:hint="eastAsia" w:ascii="宋体" w:hAnsi="宋体" w:cs="宋体"/>
                <w:color w:val="000000"/>
                <w:kern w:val="0"/>
                <w:sz w:val="22"/>
                <w:szCs w:val="22"/>
                <w:lang w:val="en-US" w:eastAsia="zh-CN"/>
              </w:rPr>
              <w:t>2</w:t>
            </w:r>
          </w:p>
        </w:tc>
        <w:tc>
          <w:tcPr>
            <w:tcW w:w="630" w:type="pct"/>
            <w:gridSpan w:val="2"/>
            <w:tcBorders>
              <w:top w:val="single" w:color="FFFFFF" w:sz="8" w:space="0"/>
              <w:left w:val="single" w:color="FFFFFF" w:sz="8" w:space="0"/>
              <w:bottom w:val="single" w:color="FFFFFF" w:sz="8" w:space="0"/>
              <w:right w:val="single" w:color="FFFFFF" w:sz="8" w:space="0"/>
            </w:tcBorders>
            <w:shd w:val="clear" w:color="auto" w:fill="E9EDF4"/>
            <w:noWrap/>
            <w:vAlign w:val="center"/>
          </w:tcPr>
          <w:p>
            <w:pPr>
              <w:widowControl/>
              <w:jc w:val="center"/>
              <w:rPr>
                <w:rFonts w:hint="eastAsia" w:ascii="宋体" w:hAnsi="宋体" w:eastAsia="宋体" w:cs="宋体"/>
                <w:color w:val="000000"/>
                <w:kern w:val="0"/>
                <w:sz w:val="22"/>
                <w:szCs w:val="22"/>
                <w:lang w:eastAsia="zh-CN"/>
              </w:rPr>
            </w:pPr>
            <w:r>
              <w:rPr>
                <w:rFonts w:hint="eastAsia" w:ascii="宋体" w:hAnsi="宋体" w:cs="宋体"/>
                <w:color w:val="000000"/>
                <w:kern w:val="0"/>
                <w:sz w:val="22"/>
                <w:szCs w:val="22"/>
                <w:lang w:val="en-US" w:eastAsia="zh-CN"/>
              </w:rPr>
              <w:t>4</w:t>
            </w:r>
          </w:p>
        </w:tc>
        <w:tc>
          <w:tcPr>
            <w:tcW w:w="560" w:type="pct"/>
            <w:gridSpan w:val="3"/>
            <w:tcBorders>
              <w:top w:val="single" w:color="FFFFFF" w:sz="8" w:space="0"/>
              <w:left w:val="single" w:color="FFFFFF" w:sz="8" w:space="0"/>
              <w:bottom w:val="single" w:color="FFFFFF" w:sz="8" w:space="0"/>
              <w:right w:val="single" w:color="FFFFFF" w:sz="8" w:space="0"/>
            </w:tcBorders>
            <w:shd w:val="clear" w:color="auto" w:fill="E9EDF4"/>
            <w:noWrap/>
            <w:vAlign w:val="center"/>
          </w:tcPr>
          <w:p>
            <w:pPr>
              <w:widowControl/>
              <w:jc w:val="center"/>
              <w:rPr>
                <w:rFonts w:ascii="宋体" w:hAnsi="宋体" w:cs="宋体"/>
                <w:color w:val="000000"/>
                <w:kern w:val="0"/>
                <w:sz w:val="22"/>
                <w:szCs w:val="22"/>
              </w:rPr>
            </w:pPr>
            <w:r>
              <w:rPr>
                <w:rFonts w:hint="eastAsia" w:ascii="宋体" w:hAnsi="宋体" w:cs="宋体"/>
                <w:color w:val="000000"/>
                <w:kern w:val="0"/>
                <w:sz w:val="22"/>
                <w:szCs w:val="22"/>
                <w:lang w:val="en-US" w:eastAsia="zh-CN"/>
              </w:rPr>
              <w:t>67.69</w:t>
            </w:r>
            <w:r>
              <w:rPr>
                <w:rFonts w:hint="eastAsia" w:ascii="宋体" w:hAnsi="宋体" w:cs="宋体"/>
                <w:color w:val="000000"/>
                <w:kern w:val="0"/>
                <w:sz w:val="22"/>
                <w:szCs w:val="22"/>
              </w:rPr>
              <w:t>%</w:t>
            </w:r>
          </w:p>
        </w:tc>
        <w:tc>
          <w:tcPr>
            <w:tcW w:w="600" w:type="pct"/>
            <w:gridSpan w:val="3"/>
            <w:tcBorders>
              <w:top w:val="single" w:color="FFFFFF" w:sz="8" w:space="0"/>
              <w:left w:val="single" w:color="FFFFFF" w:sz="8" w:space="0"/>
              <w:bottom w:val="single" w:color="FFFFFF" w:sz="8" w:space="0"/>
              <w:right w:val="single" w:color="FFFFFF" w:sz="8" w:space="0"/>
            </w:tcBorders>
            <w:shd w:val="clear" w:color="auto" w:fill="E9EDF4"/>
            <w:noWrap/>
            <w:vAlign w:val="center"/>
          </w:tcPr>
          <w:p>
            <w:pPr>
              <w:widowControl/>
              <w:jc w:val="center"/>
              <w:rPr>
                <w:rFonts w:ascii="宋体" w:hAnsi="宋体" w:cs="宋体"/>
                <w:b/>
                <w:color w:val="000000"/>
                <w:kern w:val="0"/>
                <w:sz w:val="22"/>
                <w:szCs w:val="22"/>
              </w:rPr>
            </w:pPr>
            <w:r>
              <w:rPr>
                <w:rFonts w:hint="eastAsia" w:ascii="宋体" w:hAnsi="宋体" w:cs="宋体"/>
                <w:b/>
                <w:color w:val="000000"/>
                <w:kern w:val="0"/>
                <w:sz w:val="22"/>
                <w:szCs w:val="22"/>
                <w:lang w:val="en-US" w:eastAsia="zh-CN"/>
              </w:rPr>
              <w:t>80.00</w:t>
            </w:r>
            <w:r>
              <w:rPr>
                <w:rFonts w:hint="eastAsia" w:ascii="宋体" w:hAnsi="宋体" w:cs="宋体"/>
                <w:b/>
                <w:color w:val="000000"/>
                <w:kern w:val="0"/>
                <w:sz w:val="22"/>
                <w:szCs w:val="22"/>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39" w:type="pct"/>
            <w:gridSpan w:val="2"/>
            <w:tcBorders>
              <w:top w:val="single" w:color="FFFFFF" w:sz="8" w:space="0"/>
              <w:left w:val="single" w:color="FFFFFF" w:sz="8" w:space="0"/>
              <w:bottom w:val="single" w:color="FFFFFF" w:sz="8" w:space="0"/>
              <w:right w:val="single" w:color="FFFFFF" w:sz="8" w:space="0"/>
            </w:tcBorders>
            <w:shd w:val="clear" w:color="auto" w:fill="D0D8E8"/>
            <w:noWrap/>
            <w:vAlign w:val="center"/>
          </w:tcPr>
          <w:p>
            <w:pPr>
              <w:widowControl/>
              <w:jc w:val="center"/>
              <w:rPr>
                <w:rFonts w:ascii="宋体" w:hAnsi="宋体" w:cs="宋体"/>
                <w:b/>
                <w:bCs/>
                <w:color w:val="000000"/>
                <w:kern w:val="0"/>
                <w:sz w:val="22"/>
                <w:szCs w:val="22"/>
              </w:rPr>
            </w:pPr>
            <w:r>
              <w:rPr>
                <w:rFonts w:hint="eastAsia" w:ascii="宋体" w:hAnsi="宋体" w:cs="宋体"/>
                <w:b/>
                <w:bCs/>
                <w:color w:val="000000"/>
                <w:kern w:val="0"/>
                <w:sz w:val="22"/>
                <w:szCs w:val="22"/>
              </w:rPr>
              <w:t>经济学3+1</w:t>
            </w:r>
          </w:p>
        </w:tc>
        <w:tc>
          <w:tcPr>
            <w:tcW w:w="512" w:type="pct"/>
            <w:tcBorders>
              <w:top w:val="single" w:color="FFFFFF" w:sz="8" w:space="0"/>
              <w:left w:val="single" w:color="FFFFFF" w:sz="8" w:space="0"/>
              <w:bottom w:val="single" w:color="FFFFFF" w:sz="8" w:space="0"/>
              <w:right w:val="single" w:color="FFFFFF" w:sz="8" w:space="0"/>
            </w:tcBorders>
            <w:shd w:val="clear" w:color="auto" w:fill="D0D8E8"/>
            <w:noWrap/>
            <w:vAlign w:val="center"/>
          </w:tcPr>
          <w:p>
            <w:pPr>
              <w:widowControl/>
              <w:jc w:val="center"/>
              <w:rPr>
                <w:rFonts w:hint="default" w:ascii="宋体" w:hAnsi="宋体" w:eastAsia="宋体" w:cs="宋体"/>
                <w:color w:val="000000"/>
                <w:kern w:val="0"/>
                <w:sz w:val="22"/>
                <w:szCs w:val="22"/>
                <w:lang w:val="en-US" w:eastAsia="zh-CN"/>
              </w:rPr>
            </w:pPr>
            <w:r>
              <w:rPr>
                <w:rFonts w:hint="eastAsia" w:ascii="宋体" w:hAnsi="宋体" w:cs="宋体"/>
                <w:color w:val="000000"/>
                <w:kern w:val="0"/>
                <w:sz w:val="22"/>
                <w:szCs w:val="22"/>
                <w:lang w:val="en-US" w:eastAsia="zh-CN"/>
              </w:rPr>
              <w:t>32</w:t>
            </w:r>
          </w:p>
        </w:tc>
        <w:tc>
          <w:tcPr>
            <w:tcW w:w="967" w:type="pct"/>
            <w:tcBorders>
              <w:top w:val="single" w:color="FFFFFF" w:sz="8" w:space="0"/>
              <w:left w:val="single" w:color="FFFFFF" w:sz="8" w:space="0"/>
              <w:bottom w:val="single" w:color="FFFFFF" w:sz="8" w:space="0"/>
              <w:right w:val="single" w:color="FFFFFF" w:sz="8" w:space="0"/>
            </w:tcBorders>
            <w:shd w:val="clear" w:color="auto" w:fill="D0D8E8"/>
            <w:noWrap/>
            <w:vAlign w:val="center"/>
          </w:tcPr>
          <w:p>
            <w:pPr>
              <w:widowControl/>
              <w:jc w:val="center"/>
              <w:rPr>
                <w:rFonts w:hint="default" w:ascii="宋体" w:hAnsi="宋体" w:eastAsia="宋体" w:cs="宋体"/>
                <w:color w:val="000000"/>
                <w:kern w:val="0"/>
                <w:sz w:val="22"/>
                <w:szCs w:val="22"/>
                <w:lang w:val="en-US" w:eastAsia="zh-CN"/>
              </w:rPr>
            </w:pPr>
            <w:r>
              <w:rPr>
                <w:rFonts w:hint="eastAsia" w:ascii="宋体" w:hAnsi="宋体" w:cs="宋体"/>
                <w:color w:val="000000"/>
                <w:kern w:val="0"/>
                <w:sz w:val="22"/>
                <w:szCs w:val="22"/>
                <w:lang w:val="en-US" w:eastAsia="zh-CN"/>
              </w:rPr>
              <w:t>20</w:t>
            </w:r>
          </w:p>
        </w:tc>
        <w:tc>
          <w:tcPr>
            <w:tcW w:w="476" w:type="pct"/>
            <w:gridSpan w:val="2"/>
            <w:tcBorders>
              <w:top w:val="single" w:color="FFFFFF" w:sz="8" w:space="0"/>
              <w:left w:val="single" w:color="FFFFFF" w:sz="8" w:space="0"/>
              <w:bottom w:val="single" w:color="FFFFFF" w:sz="8" w:space="0"/>
              <w:right w:val="single" w:color="FFFFFF" w:sz="8" w:space="0"/>
            </w:tcBorders>
            <w:shd w:val="clear" w:color="auto" w:fill="D0D8E8"/>
            <w:noWrap/>
            <w:vAlign w:val="center"/>
          </w:tcPr>
          <w:p>
            <w:pPr>
              <w:widowControl/>
              <w:jc w:val="center"/>
              <w:rPr>
                <w:rFonts w:ascii="宋体" w:hAnsi="宋体" w:cs="宋体"/>
                <w:color w:val="000000"/>
                <w:kern w:val="0"/>
                <w:sz w:val="22"/>
                <w:szCs w:val="22"/>
              </w:rPr>
            </w:pPr>
            <w:r>
              <w:rPr>
                <w:rFonts w:hint="eastAsia" w:ascii="宋体" w:hAnsi="宋体" w:cs="宋体"/>
                <w:color w:val="000000"/>
                <w:kern w:val="0"/>
                <w:sz w:val="22"/>
                <w:szCs w:val="22"/>
              </w:rPr>
              <w:t>1</w:t>
            </w:r>
          </w:p>
        </w:tc>
        <w:tc>
          <w:tcPr>
            <w:tcW w:w="513" w:type="pct"/>
            <w:gridSpan w:val="2"/>
            <w:tcBorders>
              <w:top w:val="single" w:color="FFFFFF" w:sz="8" w:space="0"/>
              <w:left w:val="single" w:color="FFFFFF" w:sz="8" w:space="0"/>
              <w:bottom w:val="single" w:color="FFFFFF" w:sz="8" w:space="0"/>
              <w:right w:val="single" w:color="FFFFFF" w:sz="8" w:space="0"/>
            </w:tcBorders>
            <w:shd w:val="clear" w:color="auto" w:fill="D0D8E8"/>
            <w:noWrap/>
            <w:vAlign w:val="center"/>
          </w:tcPr>
          <w:p>
            <w:pPr>
              <w:widowControl/>
              <w:jc w:val="center"/>
              <w:rPr>
                <w:rFonts w:hint="default" w:ascii="宋体" w:hAnsi="宋体" w:eastAsia="宋体" w:cs="宋体"/>
                <w:color w:val="000000"/>
                <w:kern w:val="0"/>
                <w:sz w:val="22"/>
                <w:szCs w:val="22"/>
                <w:lang w:val="en-US" w:eastAsia="zh-CN"/>
              </w:rPr>
            </w:pPr>
            <w:r>
              <w:rPr>
                <w:rFonts w:hint="eastAsia" w:ascii="宋体" w:hAnsi="宋体" w:cs="宋体"/>
                <w:b/>
                <w:bCs/>
                <w:color w:val="FF0000"/>
                <w:kern w:val="0"/>
                <w:sz w:val="22"/>
                <w:szCs w:val="22"/>
                <w:lang w:val="en-US" w:eastAsia="zh-CN"/>
              </w:rPr>
              <w:t>9</w:t>
            </w:r>
          </w:p>
        </w:tc>
        <w:tc>
          <w:tcPr>
            <w:tcW w:w="631" w:type="pct"/>
            <w:gridSpan w:val="3"/>
            <w:tcBorders>
              <w:top w:val="single" w:color="FFFFFF" w:sz="8" w:space="0"/>
              <w:left w:val="single" w:color="FFFFFF" w:sz="8" w:space="0"/>
              <w:bottom w:val="single" w:color="FFFFFF" w:sz="8" w:space="0"/>
              <w:right w:val="single" w:color="FFFFFF" w:sz="8" w:space="0"/>
            </w:tcBorders>
            <w:shd w:val="clear" w:color="auto" w:fill="D0D8E8"/>
            <w:noWrap/>
            <w:vAlign w:val="center"/>
          </w:tcPr>
          <w:p>
            <w:pPr>
              <w:widowControl/>
              <w:jc w:val="center"/>
              <w:rPr>
                <w:rFonts w:ascii="宋体" w:hAnsi="宋体" w:cs="宋体"/>
                <w:color w:val="000000"/>
                <w:kern w:val="0"/>
                <w:sz w:val="22"/>
                <w:szCs w:val="22"/>
              </w:rPr>
            </w:pPr>
            <w:r>
              <w:rPr>
                <w:rFonts w:hint="eastAsia" w:ascii="宋体" w:hAnsi="宋体" w:cs="宋体"/>
                <w:color w:val="000000"/>
                <w:kern w:val="0"/>
                <w:sz w:val="22"/>
                <w:szCs w:val="22"/>
              </w:rPr>
              <w:t>2</w:t>
            </w:r>
          </w:p>
        </w:tc>
        <w:tc>
          <w:tcPr>
            <w:tcW w:w="560" w:type="pct"/>
            <w:gridSpan w:val="3"/>
            <w:tcBorders>
              <w:top w:val="single" w:color="FFFFFF" w:sz="8" w:space="0"/>
              <w:left w:val="single" w:color="FFFFFF" w:sz="8" w:space="0"/>
              <w:bottom w:val="single" w:color="FFFFFF" w:sz="8" w:space="0"/>
              <w:right w:val="single" w:color="FFFFFF" w:sz="8" w:space="0"/>
            </w:tcBorders>
            <w:shd w:val="clear" w:color="auto" w:fill="D0D8E8"/>
            <w:noWrap/>
            <w:vAlign w:val="center"/>
          </w:tcPr>
          <w:p>
            <w:pPr>
              <w:widowControl/>
              <w:jc w:val="center"/>
              <w:rPr>
                <w:rFonts w:ascii="宋体" w:hAnsi="宋体" w:cs="宋体"/>
                <w:color w:val="000000"/>
                <w:kern w:val="0"/>
                <w:sz w:val="22"/>
                <w:szCs w:val="22"/>
              </w:rPr>
            </w:pPr>
            <w:r>
              <w:rPr>
                <w:rFonts w:hint="eastAsia" w:ascii="宋体" w:hAnsi="宋体" w:cs="宋体"/>
                <w:color w:val="000000"/>
                <w:kern w:val="0"/>
                <w:sz w:val="22"/>
                <w:szCs w:val="22"/>
                <w:lang w:val="en-US" w:eastAsia="zh-CN"/>
              </w:rPr>
              <w:t>62.50</w:t>
            </w:r>
            <w:r>
              <w:rPr>
                <w:rFonts w:hint="eastAsia" w:ascii="宋体" w:hAnsi="宋体" w:cs="宋体"/>
                <w:color w:val="000000"/>
                <w:kern w:val="0"/>
                <w:sz w:val="22"/>
                <w:szCs w:val="22"/>
              </w:rPr>
              <w:t>%</w:t>
            </w:r>
          </w:p>
        </w:tc>
        <w:tc>
          <w:tcPr>
            <w:tcW w:w="597" w:type="pct"/>
            <w:tcBorders>
              <w:top w:val="single" w:color="FFFFFF" w:sz="8" w:space="0"/>
              <w:left w:val="single" w:color="FFFFFF" w:sz="8" w:space="0"/>
              <w:bottom w:val="single" w:color="FFFFFF" w:sz="8" w:space="0"/>
              <w:right w:val="single" w:color="FFFFFF" w:sz="8" w:space="0"/>
            </w:tcBorders>
            <w:shd w:val="clear" w:color="auto" w:fill="D0D8E8"/>
            <w:noWrap/>
            <w:vAlign w:val="center"/>
          </w:tcPr>
          <w:p>
            <w:pPr>
              <w:widowControl/>
              <w:jc w:val="center"/>
              <w:rPr>
                <w:rFonts w:ascii="宋体" w:hAnsi="宋体" w:cs="宋体"/>
                <w:b/>
                <w:color w:val="000000"/>
                <w:kern w:val="0"/>
                <w:sz w:val="22"/>
                <w:szCs w:val="22"/>
              </w:rPr>
            </w:pPr>
            <w:r>
              <w:rPr>
                <w:rFonts w:hint="eastAsia" w:ascii="宋体" w:hAnsi="宋体" w:cs="宋体"/>
                <w:b/>
                <w:color w:val="FF0000"/>
                <w:kern w:val="0"/>
                <w:sz w:val="22"/>
                <w:szCs w:val="22"/>
                <w:lang w:val="en-US" w:eastAsia="zh-CN"/>
              </w:rPr>
              <w:t>100.00</w:t>
            </w:r>
            <w:r>
              <w:rPr>
                <w:rFonts w:hint="eastAsia" w:ascii="宋体" w:hAnsi="宋体" w:cs="宋体"/>
                <w:b/>
                <w:color w:val="FF0000"/>
                <w:kern w:val="0"/>
                <w:sz w:val="22"/>
                <w:szCs w:val="22"/>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38" w:type="pct"/>
            <w:tcBorders>
              <w:top w:val="single" w:color="FFFFFF" w:sz="8" w:space="0"/>
              <w:left w:val="single" w:color="FFFFFF" w:sz="8" w:space="0"/>
              <w:bottom w:val="single" w:color="FFFFFF" w:sz="8" w:space="0"/>
              <w:right w:val="single" w:color="FFFFFF" w:sz="8" w:space="0"/>
            </w:tcBorders>
            <w:shd w:val="clear" w:color="auto" w:fill="E9EDF4"/>
            <w:noWrap/>
            <w:vAlign w:val="center"/>
          </w:tcPr>
          <w:p>
            <w:pPr>
              <w:widowControl/>
              <w:jc w:val="center"/>
              <w:rPr>
                <w:rFonts w:ascii="宋体" w:hAnsi="宋体" w:cs="宋体"/>
                <w:b/>
                <w:bCs/>
                <w:color w:val="000000"/>
                <w:kern w:val="0"/>
                <w:sz w:val="22"/>
                <w:szCs w:val="22"/>
              </w:rPr>
            </w:pPr>
            <w:r>
              <w:rPr>
                <w:rFonts w:hint="eastAsia" w:ascii="宋体" w:hAnsi="宋体" w:cs="宋体"/>
                <w:b/>
                <w:bCs/>
                <w:color w:val="000000"/>
                <w:kern w:val="0"/>
                <w:sz w:val="22"/>
                <w:szCs w:val="22"/>
              </w:rPr>
              <w:t>金融学</w:t>
            </w:r>
          </w:p>
        </w:tc>
        <w:tc>
          <w:tcPr>
            <w:tcW w:w="513" w:type="pct"/>
            <w:gridSpan w:val="2"/>
            <w:tcBorders>
              <w:top w:val="single" w:color="FFFFFF" w:sz="8" w:space="0"/>
              <w:left w:val="single" w:color="FFFFFF" w:sz="8" w:space="0"/>
              <w:bottom w:val="single" w:color="FFFFFF" w:sz="8" w:space="0"/>
              <w:right w:val="single" w:color="FFFFFF" w:sz="8" w:space="0"/>
            </w:tcBorders>
            <w:shd w:val="clear" w:color="auto" w:fill="E9EDF4"/>
            <w:noWrap/>
            <w:vAlign w:val="center"/>
          </w:tcPr>
          <w:p>
            <w:pPr>
              <w:widowControl/>
              <w:jc w:val="center"/>
              <w:rPr>
                <w:rFonts w:hint="default" w:ascii="宋体" w:hAnsi="宋体" w:eastAsia="宋体" w:cs="宋体"/>
                <w:color w:val="000000"/>
                <w:kern w:val="0"/>
                <w:sz w:val="22"/>
                <w:szCs w:val="22"/>
                <w:lang w:val="en-US" w:eastAsia="zh-CN"/>
              </w:rPr>
            </w:pPr>
            <w:r>
              <w:rPr>
                <w:rFonts w:hint="eastAsia" w:ascii="宋体" w:hAnsi="宋体" w:cs="宋体"/>
                <w:color w:val="000000"/>
                <w:kern w:val="0"/>
                <w:sz w:val="22"/>
                <w:szCs w:val="22"/>
                <w:lang w:val="en-US" w:eastAsia="zh-CN"/>
              </w:rPr>
              <w:t>123</w:t>
            </w:r>
          </w:p>
        </w:tc>
        <w:tc>
          <w:tcPr>
            <w:tcW w:w="967" w:type="pct"/>
            <w:tcBorders>
              <w:top w:val="single" w:color="FFFFFF" w:sz="8" w:space="0"/>
              <w:left w:val="single" w:color="FFFFFF" w:sz="8" w:space="0"/>
              <w:bottom w:val="single" w:color="FFFFFF" w:sz="8" w:space="0"/>
              <w:right w:val="single" w:color="FFFFFF" w:sz="8" w:space="0"/>
            </w:tcBorders>
            <w:shd w:val="clear" w:color="auto" w:fill="E9EDF4"/>
            <w:noWrap/>
            <w:vAlign w:val="center"/>
          </w:tcPr>
          <w:p>
            <w:pPr>
              <w:widowControl/>
              <w:jc w:val="center"/>
              <w:rPr>
                <w:rFonts w:hint="default" w:ascii="宋体" w:hAnsi="宋体" w:eastAsia="宋体" w:cs="宋体"/>
                <w:color w:val="000000"/>
                <w:kern w:val="0"/>
                <w:sz w:val="22"/>
                <w:szCs w:val="22"/>
                <w:lang w:val="en-US" w:eastAsia="zh-CN"/>
              </w:rPr>
            </w:pPr>
            <w:r>
              <w:rPr>
                <w:rFonts w:hint="eastAsia" w:ascii="宋体" w:hAnsi="宋体" w:cs="宋体"/>
                <w:color w:val="000000"/>
                <w:kern w:val="0"/>
                <w:sz w:val="22"/>
                <w:szCs w:val="22"/>
                <w:lang w:val="en-US" w:eastAsia="zh-CN"/>
              </w:rPr>
              <w:t>83</w:t>
            </w:r>
          </w:p>
        </w:tc>
        <w:tc>
          <w:tcPr>
            <w:tcW w:w="474" w:type="pct"/>
            <w:tcBorders>
              <w:top w:val="single" w:color="FFFFFF" w:sz="8" w:space="0"/>
              <w:left w:val="single" w:color="FFFFFF" w:sz="8" w:space="0"/>
              <w:bottom w:val="single" w:color="FFFFFF" w:sz="8" w:space="0"/>
              <w:right w:val="single" w:color="FFFFFF" w:sz="8" w:space="0"/>
            </w:tcBorders>
            <w:shd w:val="clear" w:color="auto" w:fill="E9EDF4"/>
            <w:noWrap/>
            <w:vAlign w:val="center"/>
          </w:tcPr>
          <w:p>
            <w:pPr>
              <w:widowControl/>
              <w:jc w:val="center"/>
              <w:rPr>
                <w:rFonts w:hint="default" w:ascii="宋体" w:hAnsi="宋体" w:eastAsia="宋体" w:cs="宋体"/>
                <w:color w:val="000000"/>
                <w:kern w:val="0"/>
                <w:sz w:val="22"/>
                <w:szCs w:val="22"/>
                <w:lang w:val="en-US" w:eastAsia="zh-CN"/>
              </w:rPr>
            </w:pPr>
            <w:r>
              <w:rPr>
                <w:rFonts w:hint="eastAsia" w:ascii="宋体" w:hAnsi="宋体" w:cs="宋体"/>
                <w:b/>
                <w:bCs/>
                <w:color w:val="FF0000"/>
                <w:kern w:val="0"/>
                <w:sz w:val="22"/>
                <w:szCs w:val="22"/>
                <w:lang w:val="en-US" w:eastAsia="zh-CN"/>
              </w:rPr>
              <w:t>15</w:t>
            </w:r>
          </w:p>
        </w:tc>
        <w:tc>
          <w:tcPr>
            <w:tcW w:w="513" w:type="pct"/>
            <w:gridSpan w:val="2"/>
            <w:tcBorders>
              <w:top w:val="single" w:color="FFFFFF" w:sz="8" w:space="0"/>
              <w:left w:val="single" w:color="FFFFFF" w:sz="8" w:space="0"/>
              <w:bottom w:val="single" w:color="FFFFFF" w:sz="8" w:space="0"/>
              <w:right w:val="single" w:color="FFFFFF" w:sz="8" w:space="0"/>
            </w:tcBorders>
            <w:shd w:val="clear" w:color="auto" w:fill="E9EDF4"/>
            <w:noWrap/>
            <w:vAlign w:val="center"/>
          </w:tcPr>
          <w:p>
            <w:pPr>
              <w:widowControl/>
              <w:jc w:val="center"/>
              <w:rPr>
                <w:rFonts w:hint="eastAsia" w:ascii="宋体" w:hAnsi="宋体" w:eastAsia="宋体" w:cs="宋体"/>
                <w:color w:val="000000"/>
                <w:kern w:val="0"/>
                <w:sz w:val="22"/>
                <w:szCs w:val="22"/>
                <w:lang w:eastAsia="zh-CN"/>
              </w:rPr>
            </w:pPr>
            <w:r>
              <w:rPr>
                <w:rFonts w:hint="eastAsia" w:ascii="宋体" w:hAnsi="宋体" w:cs="宋体"/>
                <w:color w:val="000000"/>
                <w:kern w:val="0"/>
                <w:sz w:val="22"/>
                <w:szCs w:val="22"/>
                <w:lang w:val="en-US" w:eastAsia="zh-CN"/>
              </w:rPr>
              <w:t>3</w:t>
            </w:r>
          </w:p>
        </w:tc>
        <w:tc>
          <w:tcPr>
            <w:tcW w:w="630" w:type="pct"/>
            <w:gridSpan w:val="2"/>
            <w:tcBorders>
              <w:top w:val="single" w:color="FFFFFF" w:sz="8" w:space="0"/>
              <w:left w:val="single" w:color="FFFFFF" w:sz="8" w:space="0"/>
              <w:bottom w:val="single" w:color="FFFFFF" w:sz="8" w:space="0"/>
              <w:right w:val="single" w:color="FFFFFF" w:sz="8" w:space="0"/>
            </w:tcBorders>
            <w:shd w:val="clear" w:color="auto" w:fill="E9EDF4"/>
            <w:noWrap/>
            <w:vAlign w:val="center"/>
          </w:tcPr>
          <w:p>
            <w:pPr>
              <w:widowControl/>
              <w:jc w:val="center"/>
              <w:rPr>
                <w:rFonts w:hint="eastAsia" w:ascii="宋体" w:hAnsi="宋体" w:eastAsia="宋体" w:cs="宋体"/>
                <w:color w:val="000000"/>
                <w:kern w:val="0"/>
                <w:sz w:val="22"/>
                <w:szCs w:val="22"/>
                <w:lang w:eastAsia="zh-CN"/>
              </w:rPr>
            </w:pPr>
            <w:r>
              <w:rPr>
                <w:rFonts w:hint="eastAsia" w:ascii="宋体" w:hAnsi="宋体" w:cs="宋体"/>
                <w:color w:val="000000"/>
                <w:kern w:val="0"/>
                <w:sz w:val="22"/>
                <w:szCs w:val="22"/>
                <w:lang w:val="en-US" w:eastAsia="zh-CN"/>
              </w:rPr>
              <w:t>5</w:t>
            </w:r>
          </w:p>
        </w:tc>
        <w:tc>
          <w:tcPr>
            <w:tcW w:w="560" w:type="pct"/>
            <w:gridSpan w:val="3"/>
            <w:tcBorders>
              <w:top w:val="single" w:color="FFFFFF" w:sz="8" w:space="0"/>
              <w:left w:val="single" w:color="FFFFFF" w:sz="8" w:space="0"/>
              <w:bottom w:val="single" w:color="FFFFFF" w:sz="8" w:space="0"/>
              <w:right w:val="single" w:color="FFFFFF" w:sz="8" w:space="0"/>
            </w:tcBorders>
            <w:shd w:val="clear" w:color="auto" w:fill="E9EDF4"/>
            <w:noWrap/>
            <w:vAlign w:val="center"/>
          </w:tcPr>
          <w:p>
            <w:pPr>
              <w:widowControl/>
              <w:jc w:val="center"/>
              <w:rPr>
                <w:rFonts w:ascii="宋体" w:hAnsi="宋体" w:cs="宋体"/>
                <w:color w:val="000000"/>
                <w:kern w:val="0"/>
                <w:sz w:val="22"/>
                <w:szCs w:val="22"/>
              </w:rPr>
            </w:pPr>
            <w:r>
              <w:rPr>
                <w:rFonts w:hint="eastAsia" w:ascii="宋体" w:hAnsi="宋体" w:cs="宋体"/>
                <w:color w:val="000000"/>
                <w:kern w:val="0"/>
                <w:sz w:val="22"/>
                <w:szCs w:val="22"/>
                <w:lang w:val="en-US" w:eastAsia="zh-CN"/>
              </w:rPr>
              <w:t>67.48</w:t>
            </w:r>
            <w:r>
              <w:rPr>
                <w:rFonts w:ascii="宋体" w:hAnsi="宋体" w:cs="宋体"/>
                <w:color w:val="000000"/>
                <w:kern w:val="0"/>
                <w:sz w:val="22"/>
                <w:szCs w:val="22"/>
              </w:rPr>
              <w:t>%</w:t>
            </w:r>
          </w:p>
        </w:tc>
        <w:tc>
          <w:tcPr>
            <w:tcW w:w="600" w:type="pct"/>
            <w:gridSpan w:val="3"/>
            <w:tcBorders>
              <w:top w:val="single" w:color="FFFFFF" w:sz="8" w:space="0"/>
              <w:left w:val="single" w:color="FFFFFF" w:sz="8" w:space="0"/>
              <w:bottom w:val="single" w:color="FFFFFF" w:sz="8" w:space="0"/>
              <w:right w:val="single" w:color="FFFFFF" w:sz="8" w:space="0"/>
            </w:tcBorders>
            <w:shd w:val="clear" w:color="auto" w:fill="E9EDF4"/>
            <w:noWrap/>
            <w:vAlign w:val="center"/>
          </w:tcPr>
          <w:p>
            <w:pPr>
              <w:widowControl/>
              <w:jc w:val="center"/>
              <w:rPr>
                <w:rFonts w:ascii="宋体" w:hAnsi="宋体" w:cs="宋体"/>
                <w:b/>
                <w:color w:val="000000"/>
                <w:kern w:val="0"/>
                <w:sz w:val="22"/>
                <w:szCs w:val="22"/>
              </w:rPr>
            </w:pPr>
            <w:r>
              <w:rPr>
                <w:rFonts w:hint="eastAsia" w:ascii="宋体" w:hAnsi="宋体" w:cs="宋体"/>
                <w:b/>
                <w:color w:val="000000"/>
                <w:kern w:val="0"/>
                <w:sz w:val="22"/>
                <w:szCs w:val="22"/>
                <w:lang w:val="en-US" w:eastAsia="zh-CN"/>
              </w:rPr>
              <w:t>86.18</w:t>
            </w:r>
            <w:r>
              <w:rPr>
                <w:rFonts w:ascii="宋体" w:hAnsi="宋体" w:cs="宋体"/>
                <w:b/>
                <w:color w:val="000000"/>
                <w:kern w:val="0"/>
                <w:sz w:val="22"/>
                <w:szCs w:val="22"/>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38" w:type="pct"/>
            <w:tcBorders>
              <w:top w:val="single" w:color="FFFFFF" w:sz="8" w:space="0"/>
              <w:left w:val="single" w:color="FFFFFF" w:sz="8" w:space="0"/>
              <w:bottom w:val="single" w:color="FFFFFF" w:sz="8" w:space="0"/>
              <w:right w:val="single" w:color="FFFFFF" w:sz="8" w:space="0"/>
            </w:tcBorders>
            <w:shd w:val="clear" w:color="auto" w:fill="D0D8E8"/>
            <w:noWrap/>
            <w:vAlign w:val="center"/>
          </w:tcPr>
          <w:p>
            <w:pPr>
              <w:widowControl/>
              <w:jc w:val="center"/>
              <w:rPr>
                <w:rFonts w:hint="default" w:ascii="宋体" w:hAnsi="宋体" w:eastAsia="宋体" w:cs="宋体"/>
                <w:b/>
                <w:bCs/>
                <w:color w:val="000000"/>
                <w:kern w:val="0"/>
                <w:sz w:val="22"/>
                <w:szCs w:val="22"/>
                <w:lang w:val="en-US" w:eastAsia="zh-CN"/>
              </w:rPr>
            </w:pPr>
            <w:r>
              <w:rPr>
                <w:rFonts w:hint="eastAsia" w:ascii="宋体" w:hAnsi="宋体" w:cs="宋体"/>
                <w:b/>
                <w:bCs/>
                <w:color w:val="000000"/>
                <w:kern w:val="0"/>
                <w:sz w:val="21"/>
                <w:szCs w:val="21"/>
                <w:lang w:val="en-US" w:eastAsia="zh-CN"/>
              </w:rPr>
              <w:t>国际经济与贸易</w:t>
            </w:r>
          </w:p>
        </w:tc>
        <w:tc>
          <w:tcPr>
            <w:tcW w:w="513" w:type="pct"/>
            <w:gridSpan w:val="2"/>
            <w:tcBorders>
              <w:top w:val="single" w:color="FFFFFF" w:sz="8" w:space="0"/>
              <w:left w:val="single" w:color="FFFFFF" w:sz="8" w:space="0"/>
              <w:bottom w:val="single" w:color="FFFFFF" w:sz="8" w:space="0"/>
              <w:right w:val="single" w:color="FFFFFF" w:sz="8" w:space="0"/>
            </w:tcBorders>
            <w:shd w:val="clear" w:color="auto" w:fill="D0D8E8"/>
            <w:noWrap/>
            <w:vAlign w:val="center"/>
          </w:tcPr>
          <w:p>
            <w:pPr>
              <w:widowControl/>
              <w:jc w:val="center"/>
              <w:rPr>
                <w:rFonts w:hint="default" w:ascii="宋体" w:hAnsi="宋体" w:eastAsia="宋体" w:cs="宋体"/>
                <w:color w:val="000000"/>
                <w:kern w:val="0"/>
                <w:sz w:val="22"/>
                <w:szCs w:val="22"/>
                <w:lang w:val="en-US" w:eastAsia="zh-CN"/>
              </w:rPr>
            </w:pPr>
            <w:r>
              <w:rPr>
                <w:rFonts w:hint="eastAsia" w:ascii="宋体" w:hAnsi="宋体" w:cs="宋体"/>
                <w:color w:val="000000"/>
                <w:kern w:val="0"/>
                <w:sz w:val="22"/>
                <w:szCs w:val="22"/>
                <w:lang w:val="en-US" w:eastAsia="zh-CN"/>
              </w:rPr>
              <w:t>71</w:t>
            </w:r>
          </w:p>
        </w:tc>
        <w:tc>
          <w:tcPr>
            <w:tcW w:w="967" w:type="pct"/>
            <w:tcBorders>
              <w:top w:val="single" w:color="FFFFFF" w:sz="8" w:space="0"/>
              <w:left w:val="single" w:color="FFFFFF" w:sz="8" w:space="0"/>
              <w:bottom w:val="single" w:color="FFFFFF" w:sz="8" w:space="0"/>
              <w:right w:val="single" w:color="FFFFFF" w:sz="8" w:space="0"/>
            </w:tcBorders>
            <w:shd w:val="clear" w:color="auto" w:fill="D0D8E8"/>
            <w:noWrap/>
            <w:vAlign w:val="center"/>
          </w:tcPr>
          <w:p>
            <w:pPr>
              <w:widowControl/>
              <w:jc w:val="center"/>
              <w:rPr>
                <w:rFonts w:hint="default" w:ascii="宋体" w:hAnsi="宋体" w:eastAsia="宋体" w:cs="宋体"/>
                <w:color w:val="000000"/>
                <w:kern w:val="0"/>
                <w:sz w:val="22"/>
                <w:szCs w:val="22"/>
                <w:lang w:val="en-US" w:eastAsia="zh-CN"/>
              </w:rPr>
            </w:pPr>
            <w:r>
              <w:rPr>
                <w:rFonts w:hint="eastAsia" w:ascii="宋体" w:hAnsi="宋体" w:cs="宋体"/>
                <w:color w:val="000000"/>
                <w:kern w:val="0"/>
                <w:sz w:val="22"/>
                <w:szCs w:val="22"/>
                <w:lang w:val="en-US" w:eastAsia="zh-CN"/>
              </w:rPr>
              <w:t>57</w:t>
            </w:r>
          </w:p>
        </w:tc>
        <w:tc>
          <w:tcPr>
            <w:tcW w:w="474" w:type="pct"/>
            <w:tcBorders>
              <w:top w:val="single" w:color="FFFFFF" w:sz="8" w:space="0"/>
              <w:left w:val="single" w:color="FFFFFF" w:sz="8" w:space="0"/>
              <w:bottom w:val="single" w:color="FFFFFF" w:sz="8" w:space="0"/>
              <w:right w:val="single" w:color="FFFFFF" w:sz="8" w:space="0"/>
            </w:tcBorders>
            <w:shd w:val="clear" w:color="auto" w:fill="D0D8E8"/>
            <w:noWrap/>
            <w:vAlign w:val="center"/>
          </w:tcPr>
          <w:p>
            <w:pPr>
              <w:widowControl/>
              <w:jc w:val="center"/>
              <w:rPr>
                <w:rFonts w:hint="eastAsia" w:ascii="宋体" w:hAnsi="宋体" w:eastAsia="宋体" w:cs="宋体"/>
                <w:color w:val="000000"/>
                <w:kern w:val="0"/>
                <w:sz w:val="22"/>
                <w:szCs w:val="22"/>
                <w:lang w:eastAsia="zh-CN"/>
              </w:rPr>
            </w:pPr>
            <w:r>
              <w:rPr>
                <w:rFonts w:hint="eastAsia" w:ascii="宋体" w:hAnsi="宋体" w:cs="宋体"/>
                <w:color w:val="000000"/>
                <w:kern w:val="0"/>
                <w:sz w:val="22"/>
                <w:szCs w:val="22"/>
                <w:lang w:val="en-US" w:eastAsia="zh-CN"/>
              </w:rPr>
              <w:t>4</w:t>
            </w:r>
          </w:p>
        </w:tc>
        <w:tc>
          <w:tcPr>
            <w:tcW w:w="513" w:type="pct"/>
            <w:gridSpan w:val="2"/>
            <w:tcBorders>
              <w:top w:val="single" w:color="FFFFFF" w:sz="8" w:space="0"/>
              <w:left w:val="single" w:color="FFFFFF" w:sz="8" w:space="0"/>
              <w:bottom w:val="single" w:color="FFFFFF" w:sz="8" w:space="0"/>
              <w:right w:val="single" w:color="FFFFFF" w:sz="8" w:space="0"/>
            </w:tcBorders>
            <w:shd w:val="clear" w:color="auto" w:fill="D0D8E8"/>
            <w:noWrap/>
            <w:vAlign w:val="center"/>
          </w:tcPr>
          <w:p>
            <w:pPr>
              <w:widowControl/>
              <w:jc w:val="center"/>
              <w:rPr>
                <w:rFonts w:ascii="宋体" w:hAnsi="宋体" w:cs="宋体"/>
                <w:color w:val="000000"/>
                <w:kern w:val="0"/>
                <w:sz w:val="22"/>
                <w:szCs w:val="22"/>
              </w:rPr>
            </w:pPr>
            <w:r>
              <w:rPr>
                <w:rFonts w:hint="eastAsia" w:ascii="宋体" w:hAnsi="宋体" w:cs="宋体"/>
                <w:color w:val="000000"/>
                <w:kern w:val="0"/>
                <w:sz w:val="22"/>
                <w:szCs w:val="22"/>
              </w:rPr>
              <w:t>1</w:t>
            </w:r>
          </w:p>
        </w:tc>
        <w:tc>
          <w:tcPr>
            <w:tcW w:w="630" w:type="pct"/>
            <w:gridSpan w:val="2"/>
            <w:tcBorders>
              <w:top w:val="single" w:color="FFFFFF" w:sz="8" w:space="0"/>
              <w:left w:val="single" w:color="FFFFFF" w:sz="8" w:space="0"/>
              <w:bottom w:val="single" w:color="FFFFFF" w:sz="8" w:space="0"/>
              <w:right w:val="single" w:color="FFFFFF" w:sz="8" w:space="0"/>
            </w:tcBorders>
            <w:shd w:val="clear" w:color="auto" w:fill="D0D8E8"/>
            <w:noWrap/>
            <w:vAlign w:val="center"/>
          </w:tcPr>
          <w:p>
            <w:pPr>
              <w:widowControl/>
              <w:jc w:val="center"/>
              <w:rPr>
                <w:rFonts w:hint="eastAsia" w:ascii="宋体" w:hAnsi="宋体" w:eastAsia="宋体" w:cs="宋体"/>
                <w:color w:val="000000"/>
                <w:kern w:val="0"/>
                <w:sz w:val="22"/>
                <w:szCs w:val="22"/>
                <w:lang w:eastAsia="zh-CN"/>
              </w:rPr>
            </w:pPr>
            <w:r>
              <w:rPr>
                <w:rFonts w:hint="eastAsia" w:ascii="宋体" w:hAnsi="宋体" w:cs="宋体"/>
                <w:color w:val="000000"/>
                <w:kern w:val="0"/>
                <w:sz w:val="22"/>
                <w:szCs w:val="22"/>
                <w:lang w:val="en-US" w:eastAsia="zh-CN"/>
              </w:rPr>
              <w:t>4</w:t>
            </w:r>
          </w:p>
        </w:tc>
        <w:tc>
          <w:tcPr>
            <w:tcW w:w="560" w:type="pct"/>
            <w:gridSpan w:val="3"/>
            <w:tcBorders>
              <w:top w:val="single" w:color="FFFFFF" w:sz="8" w:space="0"/>
              <w:left w:val="single" w:color="FFFFFF" w:sz="8" w:space="0"/>
              <w:bottom w:val="single" w:color="FFFFFF" w:sz="8" w:space="0"/>
              <w:right w:val="single" w:color="FFFFFF" w:sz="8" w:space="0"/>
            </w:tcBorders>
            <w:shd w:val="clear" w:color="auto" w:fill="D0D8E8"/>
            <w:noWrap/>
            <w:vAlign w:val="center"/>
          </w:tcPr>
          <w:p>
            <w:pPr>
              <w:widowControl/>
              <w:jc w:val="center"/>
              <w:rPr>
                <w:rFonts w:ascii="宋体" w:hAnsi="宋体" w:cs="宋体"/>
                <w:color w:val="000000"/>
                <w:kern w:val="0"/>
                <w:sz w:val="22"/>
                <w:szCs w:val="22"/>
              </w:rPr>
            </w:pPr>
            <w:r>
              <w:rPr>
                <w:rFonts w:hint="eastAsia" w:ascii="宋体" w:hAnsi="宋体" w:cs="宋体"/>
                <w:color w:val="000000"/>
                <w:kern w:val="0"/>
                <w:sz w:val="22"/>
                <w:szCs w:val="22"/>
                <w:lang w:val="en-US" w:eastAsia="zh-CN"/>
              </w:rPr>
              <w:t>80.28</w:t>
            </w:r>
            <w:r>
              <w:rPr>
                <w:rFonts w:ascii="宋体" w:hAnsi="宋体" w:cs="宋体"/>
                <w:color w:val="000000"/>
                <w:kern w:val="0"/>
                <w:sz w:val="22"/>
                <w:szCs w:val="22"/>
              </w:rPr>
              <w:t>%</w:t>
            </w:r>
          </w:p>
        </w:tc>
        <w:tc>
          <w:tcPr>
            <w:tcW w:w="600" w:type="pct"/>
            <w:gridSpan w:val="3"/>
            <w:tcBorders>
              <w:top w:val="single" w:color="FFFFFF" w:sz="8" w:space="0"/>
              <w:left w:val="single" w:color="FFFFFF" w:sz="8" w:space="0"/>
              <w:bottom w:val="single" w:color="FFFFFF" w:sz="8" w:space="0"/>
              <w:right w:val="single" w:color="FFFFFF" w:sz="8" w:space="0"/>
            </w:tcBorders>
            <w:shd w:val="clear" w:color="auto" w:fill="D0D8E8"/>
            <w:noWrap/>
            <w:vAlign w:val="center"/>
          </w:tcPr>
          <w:p>
            <w:pPr>
              <w:widowControl/>
              <w:jc w:val="center"/>
              <w:rPr>
                <w:rFonts w:ascii="宋体" w:hAnsi="宋体" w:cs="宋体"/>
                <w:b/>
                <w:color w:val="000000"/>
                <w:kern w:val="0"/>
                <w:sz w:val="22"/>
                <w:szCs w:val="22"/>
              </w:rPr>
            </w:pPr>
            <w:r>
              <w:rPr>
                <w:rFonts w:hint="eastAsia" w:ascii="宋体" w:hAnsi="宋体" w:cs="宋体"/>
                <w:b/>
                <w:color w:val="000000"/>
                <w:kern w:val="0"/>
                <w:sz w:val="22"/>
                <w:szCs w:val="22"/>
                <w:lang w:val="en-US" w:eastAsia="zh-CN"/>
              </w:rPr>
              <w:t>92.96</w:t>
            </w:r>
            <w:r>
              <w:rPr>
                <w:rFonts w:ascii="宋体" w:hAnsi="宋体" w:cs="宋体"/>
                <w:b/>
                <w:color w:val="000000"/>
                <w:kern w:val="0"/>
                <w:sz w:val="22"/>
                <w:szCs w:val="22"/>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38" w:type="pct"/>
            <w:tcBorders>
              <w:top w:val="single" w:color="FFFFFF" w:sz="8" w:space="0"/>
              <w:left w:val="single" w:color="FFFFFF" w:sz="8" w:space="0"/>
              <w:bottom w:val="single" w:color="FFFFFF" w:sz="8" w:space="0"/>
              <w:right w:val="single" w:color="FFFFFF" w:sz="8" w:space="0"/>
            </w:tcBorders>
            <w:shd w:val="clear" w:color="auto" w:fill="E9EDF4"/>
            <w:noWrap/>
            <w:vAlign w:val="center"/>
          </w:tcPr>
          <w:p>
            <w:pPr>
              <w:widowControl/>
              <w:jc w:val="center"/>
              <w:rPr>
                <w:rFonts w:hint="default" w:ascii="宋体" w:hAnsi="宋体" w:eastAsia="宋体" w:cs="宋体"/>
                <w:b/>
                <w:bCs/>
                <w:color w:val="000000"/>
                <w:kern w:val="0"/>
                <w:sz w:val="22"/>
                <w:szCs w:val="22"/>
                <w:lang w:val="en-US" w:eastAsia="zh-CN"/>
              </w:rPr>
            </w:pPr>
            <w:r>
              <w:rPr>
                <w:rFonts w:hint="eastAsia" w:ascii="宋体" w:hAnsi="宋体" w:cs="宋体"/>
                <w:b/>
                <w:bCs/>
                <w:color w:val="000000"/>
                <w:kern w:val="0"/>
                <w:sz w:val="22"/>
                <w:szCs w:val="22"/>
                <w:lang w:val="en-US" w:eastAsia="zh-CN"/>
              </w:rPr>
              <w:t>经济工程</w:t>
            </w:r>
          </w:p>
        </w:tc>
        <w:tc>
          <w:tcPr>
            <w:tcW w:w="513" w:type="pct"/>
            <w:gridSpan w:val="2"/>
            <w:tcBorders>
              <w:top w:val="single" w:color="FFFFFF" w:sz="8" w:space="0"/>
              <w:left w:val="single" w:color="FFFFFF" w:sz="8" w:space="0"/>
              <w:bottom w:val="single" w:color="FFFFFF" w:sz="8" w:space="0"/>
              <w:right w:val="single" w:color="FFFFFF" w:sz="8" w:space="0"/>
            </w:tcBorders>
            <w:shd w:val="clear" w:color="auto" w:fill="E9EDF4"/>
            <w:noWrap/>
            <w:vAlign w:val="center"/>
          </w:tcPr>
          <w:p>
            <w:pPr>
              <w:widowControl/>
              <w:jc w:val="center"/>
              <w:rPr>
                <w:rFonts w:hint="default" w:ascii="宋体" w:hAnsi="宋体" w:cs="宋体"/>
                <w:color w:val="000000"/>
                <w:kern w:val="0"/>
                <w:sz w:val="22"/>
                <w:szCs w:val="22"/>
                <w:lang w:val="en-US" w:eastAsia="zh-CN"/>
              </w:rPr>
            </w:pPr>
            <w:r>
              <w:rPr>
                <w:rFonts w:hint="eastAsia" w:ascii="宋体" w:hAnsi="宋体" w:cs="宋体"/>
                <w:color w:val="000000"/>
                <w:kern w:val="0"/>
                <w:sz w:val="22"/>
                <w:szCs w:val="22"/>
                <w:lang w:val="en-US" w:eastAsia="zh-CN"/>
              </w:rPr>
              <w:t>34</w:t>
            </w:r>
          </w:p>
        </w:tc>
        <w:tc>
          <w:tcPr>
            <w:tcW w:w="968" w:type="pct"/>
            <w:tcBorders>
              <w:top w:val="single" w:color="FFFFFF" w:sz="8" w:space="0"/>
              <w:left w:val="single" w:color="FFFFFF" w:sz="8" w:space="0"/>
              <w:bottom w:val="single" w:color="FFFFFF" w:sz="8" w:space="0"/>
              <w:right w:val="single" w:color="FFFFFF" w:sz="8" w:space="0"/>
            </w:tcBorders>
            <w:shd w:val="clear" w:color="auto" w:fill="E9EDF4"/>
            <w:noWrap/>
            <w:vAlign w:val="center"/>
          </w:tcPr>
          <w:p>
            <w:pPr>
              <w:widowControl/>
              <w:jc w:val="center"/>
              <w:rPr>
                <w:rFonts w:hint="default" w:ascii="宋体" w:hAnsi="宋体" w:cs="宋体"/>
                <w:color w:val="000000"/>
                <w:kern w:val="0"/>
                <w:sz w:val="22"/>
                <w:szCs w:val="22"/>
                <w:lang w:val="en-US" w:eastAsia="zh-CN"/>
              </w:rPr>
            </w:pPr>
            <w:r>
              <w:rPr>
                <w:rFonts w:hint="eastAsia" w:ascii="宋体" w:hAnsi="宋体" w:cs="宋体"/>
                <w:color w:val="000000"/>
                <w:kern w:val="0"/>
                <w:sz w:val="22"/>
                <w:szCs w:val="22"/>
                <w:lang w:val="en-US" w:eastAsia="zh-CN"/>
              </w:rPr>
              <w:t>25</w:t>
            </w:r>
          </w:p>
        </w:tc>
        <w:tc>
          <w:tcPr>
            <w:tcW w:w="475" w:type="pct"/>
            <w:gridSpan w:val="2"/>
            <w:tcBorders>
              <w:top w:val="single" w:color="FFFFFF" w:sz="8" w:space="0"/>
              <w:left w:val="single" w:color="FFFFFF" w:sz="8" w:space="0"/>
              <w:bottom w:val="single" w:color="FFFFFF" w:sz="8" w:space="0"/>
              <w:right w:val="single" w:color="FFFFFF" w:sz="8" w:space="0"/>
            </w:tcBorders>
            <w:shd w:val="clear" w:color="auto" w:fill="E9EDF4"/>
            <w:noWrap/>
            <w:vAlign w:val="center"/>
          </w:tcPr>
          <w:p>
            <w:pPr>
              <w:widowControl/>
              <w:jc w:val="center"/>
              <w:rPr>
                <w:rFonts w:hint="default" w:ascii="宋体" w:hAnsi="宋体" w:cs="宋体"/>
                <w:color w:val="000000"/>
                <w:kern w:val="0"/>
                <w:sz w:val="22"/>
                <w:szCs w:val="22"/>
                <w:lang w:val="en-US" w:eastAsia="zh-CN"/>
              </w:rPr>
            </w:pPr>
            <w:r>
              <w:rPr>
                <w:rFonts w:hint="eastAsia" w:ascii="宋体" w:hAnsi="宋体" w:cs="宋体"/>
                <w:color w:val="000000"/>
                <w:kern w:val="0"/>
                <w:sz w:val="22"/>
                <w:szCs w:val="22"/>
                <w:lang w:val="en-US" w:eastAsia="zh-CN"/>
              </w:rPr>
              <w:t>3</w:t>
            </w:r>
          </w:p>
        </w:tc>
        <w:tc>
          <w:tcPr>
            <w:tcW w:w="513" w:type="pct"/>
            <w:gridSpan w:val="2"/>
            <w:tcBorders>
              <w:top w:val="single" w:color="FFFFFF" w:sz="8" w:space="0"/>
              <w:left w:val="single" w:color="FFFFFF" w:sz="8" w:space="0"/>
              <w:bottom w:val="single" w:color="FFFFFF" w:sz="8" w:space="0"/>
              <w:right w:val="single" w:color="FFFFFF" w:sz="8" w:space="0"/>
            </w:tcBorders>
            <w:shd w:val="clear" w:color="auto" w:fill="E9EDF4"/>
            <w:noWrap/>
            <w:vAlign w:val="center"/>
          </w:tcPr>
          <w:p>
            <w:pPr>
              <w:widowControl/>
              <w:jc w:val="center"/>
              <w:rPr>
                <w:rFonts w:hint="eastAsia" w:ascii="宋体" w:hAnsi="宋体" w:eastAsia="宋体" w:cs="宋体"/>
                <w:color w:val="000000"/>
                <w:kern w:val="0"/>
                <w:sz w:val="22"/>
                <w:szCs w:val="22"/>
                <w:lang w:val="en-US" w:eastAsia="zh-CN"/>
              </w:rPr>
            </w:pPr>
            <w:r>
              <w:rPr>
                <w:rFonts w:hint="eastAsia" w:ascii="宋体" w:hAnsi="宋体" w:cs="宋体"/>
                <w:color w:val="000000"/>
                <w:kern w:val="0"/>
                <w:sz w:val="22"/>
                <w:szCs w:val="22"/>
                <w:lang w:val="en-US" w:eastAsia="zh-CN"/>
              </w:rPr>
              <w:t>0</w:t>
            </w:r>
          </w:p>
        </w:tc>
        <w:tc>
          <w:tcPr>
            <w:tcW w:w="630" w:type="pct"/>
            <w:gridSpan w:val="2"/>
            <w:tcBorders>
              <w:top w:val="single" w:color="FFFFFF" w:sz="8" w:space="0"/>
              <w:left w:val="single" w:color="FFFFFF" w:sz="8" w:space="0"/>
              <w:bottom w:val="single" w:color="FFFFFF" w:sz="8" w:space="0"/>
              <w:right w:val="single" w:color="FFFFFF" w:sz="8" w:space="0"/>
            </w:tcBorders>
            <w:shd w:val="clear" w:color="auto" w:fill="E9EDF4"/>
            <w:noWrap/>
            <w:vAlign w:val="center"/>
          </w:tcPr>
          <w:p>
            <w:pPr>
              <w:widowControl/>
              <w:jc w:val="center"/>
              <w:rPr>
                <w:rFonts w:hint="default" w:ascii="宋体" w:hAnsi="宋体" w:cs="宋体"/>
                <w:color w:val="000000"/>
                <w:kern w:val="0"/>
                <w:sz w:val="22"/>
                <w:szCs w:val="22"/>
                <w:lang w:val="en-US" w:eastAsia="zh-CN"/>
              </w:rPr>
            </w:pPr>
            <w:r>
              <w:rPr>
                <w:rFonts w:hint="eastAsia" w:ascii="宋体" w:hAnsi="宋体" w:cs="宋体"/>
                <w:color w:val="000000"/>
                <w:kern w:val="0"/>
                <w:sz w:val="22"/>
                <w:szCs w:val="22"/>
                <w:lang w:val="en-US" w:eastAsia="zh-CN"/>
              </w:rPr>
              <w:t>3</w:t>
            </w:r>
          </w:p>
        </w:tc>
        <w:tc>
          <w:tcPr>
            <w:tcW w:w="560" w:type="pct"/>
            <w:gridSpan w:val="3"/>
            <w:tcBorders>
              <w:top w:val="single" w:color="FFFFFF" w:sz="8" w:space="0"/>
              <w:left w:val="single" w:color="FFFFFF" w:sz="8" w:space="0"/>
              <w:bottom w:val="single" w:color="FFFFFF" w:sz="8" w:space="0"/>
              <w:right w:val="single" w:color="FFFFFF" w:sz="8" w:space="0"/>
            </w:tcBorders>
            <w:shd w:val="clear" w:color="auto" w:fill="E9EDF4"/>
            <w:noWrap/>
            <w:vAlign w:val="center"/>
          </w:tcPr>
          <w:p>
            <w:pPr>
              <w:widowControl/>
              <w:jc w:val="center"/>
              <w:rPr>
                <w:rFonts w:hint="default" w:ascii="宋体" w:hAnsi="宋体" w:cs="宋体"/>
                <w:color w:val="000000"/>
                <w:kern w:val="0"/>
                <w:sz w:val="22"/>
                <w:szCs w:val="22"/>
                <w:lang w:val="en-US" w:eastAsia="zh-CN"/>
              </w:rPr>
            </w:pPr>
            <w:r>
              <w:rPr>
                <w:rFonts w:hint="eastAsia" w:ascii="宋体" w:hAnsi="宋体" w:cs="宋体"/>
                <w:color w:val="000000"/>
                <w:kern w:val="0"/>
                <w:sz w:val="22"/>
                <w:szCs w:val="22"/>
                <w:lang w:val="en-US" w:eastAsia="zh-CN"/>
              </w:rPr>
              <w:t>73.53%</w:t>
            </w:r>
          </w:p>
        </w:tc>
        <w:tc>
          <w:tcPr>
            <w:tcW w:w="599" w:type="pct"/>
            <w:gridSpan w:val="2"/>
            <w:tcBorders>
              <w:top w:val="single" w:color="FFFFFF" w:sz="8" w:space="0"/>
              <w:left w:val="single" w:color="FFFFFF" w:sz="8" w:space="0"/>
              <w:bottom w:val="single" w:color="FFFFFF" w:sz="8" w:space="0"/>
              <w:right w:val="single" w:color="FFFFFF" w:sz="8" w:space="0"/>
            </w:tcBorders>
            <w:shd w:val="clear" w:color="auto" w:fill="E9EDF4"/>
            <w:noWrap/>
            <w:vAlign w:val="center"/>
          </w:tcPr>
          <w:p>
            <w:pPr>
              <w:widowControl/>
              <w:jc w:val="center"/>
              <w:rPr>
                <w:rFonts w:hint="default" w:ascii="宋体" w:hAnsi="宋体" w:cs="宋体"/>
                <w:b/>
                <w:color w:val="000000"/>
                <w:kern w:val="0"/>
                <w:sz w:val="22"/>
                <w:szCs w:val="22"/>
                <w:lang w:val="en-US" w:eastAsia="zh-CN"/>
              </w:rPr>
            </w:pPr>
            <w:r>
              <w:rPr>
                <w:rFonts w:hint="eastAsia" w:ascii="宋体" w:hAnsi="宋体" w:cs="宋体"/>
                <w:b/>
                <w:color w:val="000000"/>
                <w:kern w:val="0"/>
                <w:sz w:val="22"/>
                <w:szCs w:val="22"/>
                <w:lang w:val="en-US" w:eastAsia="zh-CN"/>
              </w:rPr>
              <w:t>91.18%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38" w:type="pct"/>
            <w:tcBorders>
              <w:top w:val="single" w:color="FFFFFF" w:sz="8" w:space="0"/>
              <w:left w:val="single" w:color="FFFFFF" w:sz="8" w:space="0"/>
              <w:bottom w:val="single" w:color="FFFFFF" w:sz="8" w:space="0"/>
              <w:right w:val="single" w:color="FFFFFF" w:sz="8" w:space="0"/>
            </w:tcBorders>
            <w:shd w:val="clear" w:color="auto" w:fill="D0D8E8"/>
            <w:noWrap/>
            <w:vAlign w:val="center"/>
          </w:tcPr>
          <w:p>
            <w:pPr>
              <w:widowControl/>
              <w:jc w:val="center"/>
              <w:rPr>
                <w:rFonts w:ascii="宋体" w:hAnsi="宋体" w:cs="宋体"/>
                <w:b/>
                <w:bCs/>
                <w:color w:val="000000"/>
                <w:kern w:val="0"/>
                <w:sz w:val="22"/>
                <w:szCs w:val="22"/>
              </w:rPr>
            </w:pPr>
            <w:r>
              <w:rPr>
                <w:rFonts w:hint="eastAsia" w:ascii="宋体" w:hAnsi="宋体" w:cs="宋体"/>
                <w:b/>
                <w:bCs/>
                <w:color w:val="000000"/>
                <w:kern w:val="0"/>
                <w:sz w:val="22"/>
                <w:szCs w:val="22"/>
              </w:rPr>
              <w:t>财务管理</w:t>
            </w:r>
          </w:p>
        </w:tc>
        <w:tc>
          <w:tcPr>
            <w:tcW w:w="513" w:type="pct"/>
            <w:gridSpan w:val="2"/>
            <w:tcBorders>
              <w:top w:val="single" w:color="FFFFFF" w:sz="8" w:space="0"/>
              <w:left w:val="single" w:color="FFFFFF" w:sz="8" w:space="0"/>
              <w:bottom w:val="single" w:color="FFFFFF" w:sz="8" w:space="0"/>
              <w:right w:val="single" w:color="FFFFFF" w:sz="8" w:space="0"/>
            </w:tcBorders>
            <w:shd w:val="clear" w:color="auto" w:fill="D0D8E8"/>
            <w:noWrap/>
            <w:vAlign w:val="center"/>
          </w:tcPr>
          <w:p>
            <w:pPr>
              <w:widowControl/>
              <w:jc w:val="center"/>
              <w:rPr>
                <w:rFonts w:hint="default" w:ascii="宋体" w:hAnsi="宋体" w:eastAsia="宋体" w:cs="宋体"/>
                <w:color w:val="000000"/>
                <w:kern w:val="0"/>
                <w:sz w:val="22"/>
                <w:szCs w:val="22"/>
                <w:lang w:val="en-US" w:eastAsia="zh-CN"/>
              </w:rPr>
            </w:pPr>
            <w:r>
              <w:rPr>
                <w:rFonts w:hint="eastAsia" w:ascii="宋体" w:hAnsi="宋体" w:cs="宋体"/>
                <w:color w:val="000000"/>
                <w:kern w:val="0"/>
                <w:sz w:val="22"/>
                <w:szCs w:val="22"/>
                <w:lang w:val="en-US" w:eastAsia="zh-CN"/>
              </w:rPr>
              <w:t>41</w:t>
            </w:r>
          </w:p>
        </w:tc>
        <w:tc>
          <w:tcPr>
            <w:tcW w:w="967" w:type="pct"/>
            <w:tcBorders>
              <w:top w:val="single" w:color="FFFFFF" w:sz="8" w:space="0"/>
              <w:left w:val="single" w:color="FFFFFF" w:sz="8" w:space="0"/>
              <w:bottom w:val="single" w:color="FFFFFF" w:sz="8" w:space="0"/>
              <w:right w:val="single" w:color="FFFFFF" w:sz="8" w:space="0"/>
            </w:tcBorders>
            <w:shd w:val="clear" w:color="auto" w:fill="D0D8E8"/>
            <w:noWrap/>
            <w:vAlign w:val="center"/>
          </w:tcPr>
          <w:p>
            <w:pPr>
              <w:widowControl/>
              <w:jc w:val="center"/>
              <w:rPr>
                <w:rFonts w:hint="default" w:ascii="宋体" w:hAnsi="宋体" w:eastAsia="宋体" w:cs="宋体"/>
                <w:color w:val="000000"/>
                <w:kern w:val="0"/>
                <w:sz w:val="22"/>
                <w:szCs w:val="22"/>
                <w:lang w:val="en-US" w:eastAsia="zh-CN"/>
              </w:rPr>
            </w:pPr>
            <w:r>
              <w:rPr>
                <w:rFonts w:hint="eastAsia" w:ascii="宋体" w:hAnsi="宋体" w:cs="宋体"/>
                <w:color w:val="000000"/>
                <w:kern w:val="0"/>
                <w:sz w:val="22"/>
                <w:szCs w:val="22"/>
                <w:lang w:val="en-US" w:eastAsia="zh-CN"/>
              </w:rPr>
              <w:t>33</w:t>
            </w:r>
          </w:p>
        </w:tc>
        <w:tc>
          <w:tcPr>
            <w:tcW w:w="474" w:type="pct"/>
            <w:tcBorders>
              <w:top w:val="single" w:color="FFFFFF" w:sz="8" w:space="0"/>
              <w:left w:val="single" w:color="FFFFFF" w:sz="8" w:space="0"/>
              <w:bottom w:val="single" w:color="FFFFFF" w:sz="8" w:space="0"/>
              <w:right w:val="single" w:color="FFFFFF" w:sz="8" w:space="0"/>
            </w:tcBorders>
            <w:shd w:val="clear" w:color="auto" w:fill="D0D8E8"/>
            <w:noWrap/>
            <w:vAlign w:val="center"/>
          </w:tcPr>
          <w:p>
            <w:pPr>
              <w:widowControl/>
              <w:jc w:val="center"/>
              <w:rPr>
                <w:rFonts w:hint="default" w:ascii="宋体" w:hAnsi="宋体" w:eastAsia="宋体" w:cs="宋体"/>
                <w:color w:val="000000"/>
                <w:kern w:val="0"/>
                <w:sz w:val="22"/>
                <w:szCs w:val="22"/>
                <w:lang w:val="en-US" w:eastAsia="zh-CN"/>
              </w:rPr>
            </w:pPr>
            <w:r>
              <w:rPr>
                <w:rFonts w:hint="eastAsia" w:ascii="宋体" w:hAnsi="宋体" w:cs="宋体"/>
                <w:color w:val="000000"/>
                <w:kern w:val="0"/>
                <w:sz w:val="22"/>
                <w:szCs w:val="22"/>
                <w:lang w:val="en-US" w:eastAsia="zh-CN"/>
              </w:rPr>
              <w:t>4</w:t>
            </w:r>
          </w:p>
        </w:tc>
        <w:tc>
          <w:tcPr>
            <w:tcW w:w="513" w:type="pct"/>
            <w:gridSpan w:val="2"/>
            <w:tcBorders>
              <w:top w:val="single" w:color="FFFFFF" w:sz="8" w:space="0"/>
              <w:left w:val="single" w:color="FFFFFF" w:sz="8" w:space="0"/>
              <w:bottom w:val="single" w:color="FFFFFF" w:sz="8" w:space="0"/>
              <w:right w:val="single" w:color="FFFFFF" w:sz="8" w:space="0"/>
            </w:tcBorders>
            <w:shd w:val="clear" w:color="auto" w:fill="D0D8E8"/>
            <w:noWrap/>
            <w:vAlign w:val="center"/>
          </w:tcPr>
          <w:p>
            <w:pPr>
              <w:widowControl/>
              <w:jc w:val="center"/>
              <w:rPr>
                <w:rFonts w:ascii="宋体" w:hAnsi="宋体" w:cs="宋体"/>
                <w:color w:val="000000"/>
                <w:kern w:val="0"/>
                <w:sz w:val="22"/>
                <w:szCs w:val="22"/>
              </w:rPr>
            </w:pPr>
            <w:r>
              <w:rPr>
                <w:rFonts w:hint="eastAsia" w:ascii="宋体" w:hAnsi="宋体" w:cs="宋体"/>
                <w:color w:val="000000"/>
                <w:kern w:val="0"/>
                <w:sz w:val="22"/>
                <w:szCs w:val="22"/>
              </w:rPr>
              <w:t>0</w:t>
            </w:r>
          </w:p>
        </w:tc>
        <w:tc>
          <w:tcPr>
            <w:tcW w:w="630" w:type="pct"/>
            <w:gridSpan w:val="2"/>
            <w:tcBorders>
              <w:top w:val="single" w:color="FFFFFF" w:sz="8" w:space="0"/>
              <w:left w:val="single" w:color="FFFFFF" w:sz="8" w:space="0"/>
              <w:bottom w:val="single" w:color="FFFFFF" w:sz="8" w:space="0"/>
              <w:right w:val="single" w:color="FFFFFF" w:sz="8" w:space="0"/>
            </w:tcBorders>
            <w:shd w:val="clear" w:color="auto" w:fill="D0D8E8"/>
            <w:noWrap/>
            <w:vAlign w:val="center"/>
          </w:tcPr>
          <w:p>
            <w:pPr>
              <w:widowControl/>
              <w:jc w:val="center"/>
              <w:rPr>
                <w:rFonts w:hint="eastAsia" w:ascii="宋体" w:hAnsi="宋体" w:eastAsia="宋体" w:cs="宋体"/>
                <w:color w:val="000000"/>
                <w:kern w:val="0"/>
                <w:sz w:val="22"/>
                <w:szCs w:val="22"/>
                <w:lang w:eastAsia="zh-CN"/>
              </w:rPr>
            </w:pPr>
            <w:r>
              <w:rPr>
                <w:rFonts w:hint="eastAsia" w:ascii="宋体" w:hAnsi="宋体" w:cs="宋体"/>
                <w:color w:val="000000"/>
                <w:kern w:val="0"/>
                <w:sz w:val="22"/>
                <w:szCs w:val="22"/>
                <w:lang w:val="en-US" w:eastAsia="zh-CN"/>
              </w:rPr>
              <w:t>2</w:t>
            </w:r>
          </w:p>
        </w:tc>
        <w:tc>
          <w:tcPr>
            <w:tcW w:w="560" w:type="pct"/>
            <w:gridSpan w:val="3"/>
            <w:tcBorders>
              <w:top w:val="single" w:color="FFFFFF" w:sz="8" w:space="0"/>
              <w:left w:val="single" w:color="FFFFFF" w:sz="8" w:space="0"/>
              <w:bottom w:val="single" w:color="FFFFFF" w:sz="8" w:space="0"/>
              <w:right w:val="single" w:color="FFFFFF" w:sz="8" w:space="0"/>
            </w:tcBorders>
            <w:shd w:val="clear" w:color="auto" w:fill="D0D8E8"/>
            <w:noWrap/>
            <w:vAlign w:val="center"/>
          </w:tcPr>
          <w:p>
            <w:pPr>
              <w:widowControl/>
              <w:jc w:val="center"/>
              <w:rPr>
                <w:rFonts w:ascii="宋体" w:hAnsi="宋体" w:cs="宋体"/>
                <w:color w:val="000000"/>
                <w:kern w:val="0"/>
                <w:sz w:val="22"/>
                <w:szCs w:val="22"/>
              </w:rPr>
            </w:pPr>
            <w:r>
              <w:rPr>
                <w:rFonts w:hint="eastAsia" w:ascii="宋体" w:hAnsi="宋体" w:cs="宋体"/>
                <w:color w:val="000000"/>
                <w:kern w:val="0"/>
                <w:sz w:val="22"/>
                <w:szCs w:val="22"/>
                <w:lang w:val="en-US" w:eastAsia="zh-CN"/>
              </w:rPr>
              <w:t>80.49</w:t>
            </w:r>
            <w:r>
              <w:rPr>
                <w:rFonts w:hint="eastAsia" w:ascii="宋体" w:hAnsi="宋体" w:cs="宋体"/>
                <w:color w:val="000000"/>
                <w:kern w:val="0"/>
                <w:sz w:val="22"/>
                <w:szCs w:val="22"/>
              </w:rPr>
              <w:t>%</w:t>
            </w:r>
          </w:p>
        </w:tc>
        <w:tc>
          <w:tcPr>
            <w:tcW w:w="600" w:type="pct"/>
            <w:gridSpan w:val="3"/>
            <w:tcBorders>
              <w:top w:val="single" w:color="FFFFFF" w:sz="8" w:space="0"/>
              <w:left w:val="single" w:color="FFFFFF" w:sz="8" w:space="0"/>
              <w:bottom w:val="single" w:color="FFFFFF" w:sz="8" w:space="0"/>
              <w:right w:val="single" w:color="FFFFFF" w:sz="8" w:space="0"/>
            </w:tcBorders>
            <w:shd w:val="clear" w:color="auto" w:fill="D0D8E8"/>
            <w:noWrap/>
            <w:vAlign w:val="center"/>
          </w:tcPr>
          <w:p>
            <w:pPr>
              <w:widowControl/>
              <w:jc w:val="center"/>
              <w:rPr>
                <w:rFonts w:ascii="宋体" w:hAnsi="宋体" w:cs="宋体"/>
                <w:b/>
                <w:color w:val="000000"/>
                <w:kern w:val="0"/>
                <w:sz w:val="22"/>
                <w:szCs w:val="22"/>
              </w:rPr>
            </w:pPr>
            <w:r>
              <w:rPr>
                <w:rFonts w:hint="eastAsia" w:ascii="宋体" w:hAnsi="宋体" w:cs="宋体"/>
                <w:b/>
                <w:color w:val="000000"/>
                <w:kern w:val="0"/>
                <w:sz w:val="22"/>
                <w:szCs w:val="22"/>
                <w:lang w:val="en-US" w:eastAsia="zh-CN"/>
              </w:rPr>
              <w:t>95.12</w:t>
            </w:r>
            <w:r>
              <w:rPr>
                <w:rFonts w:hint="eastAsia" w:ascii="宋体" w:hAnsi="宋体" w:cs="宋体"/>
                <w:b/>
                <w:color w:val="000000"/>
                <w:kern w:val="0"/>
                <w:sz w:val="22"/>
                <w:szCs w:val="22"/>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38" w:type="pct"/>
            <w:tcBorders>
              <w:top w:val="single" w:color="FFFFFF" w:sz="8" w:space="0"/>
              <w:left w:val="single" w:color="FFFFFF" w:sz="8" w:space="0"/>
              <w:bottom w:val="single" w:color="FFFFFF" w:sz="8" w:space="0"/>
              <w:right w:val="single" w:color="FFFFFF" w:sz="8" w:space="0"/>
            </w:tcBorders>
            <w:shd w:val="clear" w:color="auto" w:fill="E9EDF4"/>
            <w:noWrap/>
            <w:vAlign w:val="center"/>
          </w:tcPr>
          <w:p>
            <w:pPr>
              <w:widowControl/>
              <w:jc w:val="center"/>
              <w:rPr>
                <w:rFonts w:ascii="宋体" w:hAnsi="宋体" w:cs="宋体"/>
                <w:b/>
                <w:bCs/>
                <w:color w:val="000000"/>
                <w:kern w:val="0"/>
                <w:sz w:val="22"/>
                <w:szCs w:val="22"/>
              </w:rPr>
            </w:pPr>
            <w:r>
              <w:rPr>
                <w:rFonts w:hint="eastAsia" w:ascii="宋体" w:hAnsi="宋体" w:cs="宋体"/>
                <w:b/>
                <w:bCs/>
                <w:color w:val="000000"/>
                <w:kern w:val="0"/>
                <w:sz w:val="22"/>
                <w:szCs w:val="22"/>
              </w:rPr>
              <w:t>工商管理</w:t>
            </w:r>
          </w:p>
        </w:tc>
        <w:tc>
          <w:tcPr>
            <w:tcW w:w="513" w:type="pct"/>
            <w:gridSpan w:val="2"/>
            <w:tcBorders>
              <w:top w:val="single" w:color="FFFFFF" w:sz="8" w:space="0"/>
              <w:left w:val="single" w:color="FFFFFF" w:sz="8" w:space="0"/>
              <w:bottom w:val="single" w:color="FFFFFF" w:sz="8" w:space="0"/>
              <w:right w:val="single" w:color="FFFFFF" w:sz="8" w:space="0"/>
            </w:tcBorders>
            <w:shd w:val="clear" w:color="auto" w:fill="E9EDF4"/>
            <w:noWrap/>
            <w:vAlign w:val="center"/>
          </w:tcPr>
          <w:p>
            <w:pPr>
              <w:widowControl/>
              <w:jc w:val="center"/>
              <w:rPr>
                <w:rFonts w:hint="default" w:ascii="宋体" w:hAnsi="宋体" w:eastAsia="宋体" w:cs="宋体"/>
                <w:color w:val="000000"/>
                <w:kern w:val="0"/>
                <w:sz w:val="22"/>
                <w:szCs w:val="22"/>
                <w:lang w:val="en-US" w:eastAsia="zh-CN"/>
              </w:rPr>
            </w:pPr>
            <w:r>
              <w:rPr>
                <w:rFonts w:hint="eastAsia" w:ascii="宋体" w:hAnsi="宋体" w:cs="宋体"/>
                <w:color w:val="000000"/>
                <w:kern w:val="0"/>
                <w:sz w:val="22"/>
                <w:szCs w:val="22"/>
                <w:lang w:val="en-US" w:eastAsia="zh-CN"/>
              </w:rPr>
              <w:t>40</w:t>
            </w:r>
          </w:p>
        </w:tc>
        <w:tc>
          <w:tcPr>
            <w:tcW w:w="967" w:type="pct"/>
            <w:tcBorders>
              <w:top w:val="single" w:color="FFFFFF" w:sz="8" w:space="0"/>
              <w:left w:val="single" w:color="FFFFFF" w:sz="8" w:space="0"/>
              <w:bottom w:val="single" w:color="FFFFFF" w:sz="8" w:space="0"/>
              <w:right w:val="single" w:color="FFFFFF" w:sz="8" w:space="0"/>
            </w:tcBorders>
            <w:shd w:val="clear" w:color="auto" w:fill="E9EDF4"/>
            <w:noWrap/>
            <w:vAlign w:val="center"/>
          </w:tcPr>
          <w:p>
            <w:pPr>
              <w:widowControl/>
              <w:jc w:val="center"/>
              <w:rPr>
                <w:rFonts w:hint="default" w:ascii="宋体" w:hAnsi="宋体" w:eastAsia="宋体" w:cs="宋体"/>
                <w:color w:val="000000"/>
                <w:kern w:val="0"/>
                <w:sz w:val="22"/>
                <w:szCs w:val="22"/>
                <w:lang w:val="en-US" w:eastAsia="zh-CN"/>
              </w:rPr>
            </w:pPr>
            <w:r>
              <w:rPr>
                <w:rFonts w:hint="eastAsia" w:ascii="宋体" w:hAnsi="宋体" w:cs="宋体"/>
                <w:color w:val="000000"/>
                <w:kern w:val="0"/>
                <w:sz w:val="22"/>
                <w:szCs w:val="22"/>
                <w:lang w:val="en-US" w:eastAsia="zh-CN"/>
              </w:rPr>
              <w:t>28</w:t>
            </w:r>
          </w:p>
        </w:tc>
        <w:tc>
          <w:tcPr>
            <w:tcW w:w="474" w:type="pct"/>
            <w:tcBorders>
              <w:top w:val="single" w:color="FFFFFF" w:sz="8" w:space="0"/>
              <w:left w:val="single" w:color="FFFFFF" w:sz="8" w:space="0"/>
              <w:bottom w:val="single" w:color="FFFFFF" w:sz="8" w:space="0"/>
              <w:right w:val="single" w:color="FFFFFF" w:sz="8" w:space="0"/>
            </w:tcBorders>
            <w:shd w:val="clear" w:color="auto" w:fill="E9EDF4"/>
            <w:noWrap/>
            <w:vAlign w:val="center"/>
          </w:tcPr>
          <w:p>
            <w:pPr>
              <w:widowControl/>
              <w:jc w:val="center"/>
              <w:rPr>
                <w:rFonts w:ascii="宋体" w:hAnsi="宋体" w:cs="宋体"/>
                <w:color w:val="000000"/>
                <w:kern w:val="0"/>
                <w:sz w:val="22"/>
                <w:szCs w:val="22"/>
              </w:rPr>
            </w:pPr>
            <w:r>
              <w:rPr>
                <w:rFonts w:hint="eastAsia" w:ascii="宋体" w:hAnsi="宋体" w:cs="宋体"/>
                <w:color w:val="000000"/>
                <w:kern w:val="0"/>
                <w:sz w:val="22"/>
                <w:szCs w:val="22"/>
              </w:rPr>
              <w:t>4</w:t>
            </w:r>
          </w:p>
        </w:tc>
        <w:tc>
          <w:tcPr>
            <w:tcW w:w="513" w:type="pct"/>
            <w:gridSpan w:val="2"/>
            <w:tcBorders>
              <w:top w:val="single" w:color="FFFFFF" w:sz="8" w:space="0"/>
              <w:left w:val="single" w:color="FFFFFF" w:sz="8" w:space="0"/>
              <w:bottom w:val="single" w:color="FFFFFF" w:sz="8" w:space="0"/>
              <w:right w:val="single" w:color="FFFFFF" w:sz="8" w:space="0"/>
            </w:tcBorders>
            <w:shd w:val="clear" w:color="auto" w:fill="E9EDF4"/>
            <w:noWrap/>
            <w:vAlign w:val="center"/>
          </w:tcPr>
          <w:p>
            <w:pPr>
              <w:widowControl/>
              <w:jc w:val="center"/>
              <w:rPr>
                <w:rFonts w:hint="eastAsia" w:ascii="宋体" w:hAnsi="宋体" w:eastAsia="宋体" w:cs="宋体"/>
                <w:color w:val="000000"/>
                <w:kern w:val="0"/>
                <w:sz w:val="22"/>
                <w:szCs w:val="22"/>
                <w:lang w:eastAsia="zh-CN"/>
              </w:rPr>
            </w:pPr>
            <w:r>
              <w:rPr>
                <w:rFonts w:hint="eastAsia" w:ascii="宋体" w:hAnsi="宋体" w:cs="宋体"/>
                <w:color w:val="000000"/>
                <w:kern w:val="0"/>
                <w:sz w:val="22"/>
                <w:szCs w:val="22"/>
                <w:lang w:val="en-US" w:eastAsia="zh-CN"/>
              </w:rPr>
              <w:t>3</w:t>
            </w:r>
          </w:p>
        </w:tc>
        <w:tc>
          <w:tcPr>
            <w:tcW w:w="630" w:type="pct"/>
            <w:gridSpan w:val="2"/>
            <w:tcBorders>
              <w:top w:val="single" w:color="FFFFFF" w:sz="8" w:space="0"/>
              <w:left w:val="single" w:color="FFFFFF" w:sz="8" w:space="0"/>
              <w:bottom w:val="single" w:color="FFFFFF" w:sz="8" w:space="0"/>
              <w:right w:val="single" w:color="FFFFFF" w:sz="8" w:space="0"/>
            </w:tcBorders>
            <w:shd w:val="clear" w:color="auto" w:fill="E9EDF4"/>
            <w:noWrap/>
            <w:vAlign w:val="center"/>
          </w:tcPr>
          <w:p>
            <w:pPr>
              <w:widowControl/>
              <w:jc w:val="center"/>
              <w:rPr>
                <w:rFonts w:hint="eastAsia" w:ascii="宋体" w:hAnsi="宋体" w:eastAsia="宋体" w:cs="宋体"/>
                <w:color w:val="000000"/>
                <w:kern w:val="0"/>
                <w:sz w:val="22"/>
                <w:szCs w:val="22"/>
                <w:lang w:eastAsia="zh-CN"/>
              </w:rPr>
            </w:pPr>
            <w:r>
              <w:rPr>
                <w:rFonts w:hint="eastAsia" w:ascii="宋体" w:hAnsi="宋体" w:cs="宋体"/>
                <w:color w:val="000000"/>
                <w:kern w:val="0"/>
                <w:sz w:val="22"/>
                <w:szCs w:val="22"/>
                <w:lang w:val="en-US" w:eastAsia="zh-CN"/>
              </w:rPr>
              <w:t>2</w:t>
            </w:r>
          </w:p>
        </w:tc>
        <w:tc>
          <w:tcPr>
            <w:tcW w:w="560" w:type="pct"/>
            <w:gridSpan w:val="3"/>
            <w:tcBorders>
              <w:top w:val="single" w:color="FFFFFF" w:sz="8" w:space="0"/>
              <w:left w:val="single" w:color="FFFFFF" w:sz="8" w:space="0"/>
              <w:bottom w:val="single" w:color="FFFFFF" w:sz="8" w:space="0"/>
              <w:right w:val="single" w:color="FFFFFF" w:sz="8" w:space="0"/>
            </w:tcBorders>
            <w:shd w:val="clear" w:color="auto" w:fill="E9EDF4"/>
            <w:noWrap/>
            <w:vAlign w:val="center"/>
          </w:tcPr>
          <w:p>
            <w:pPr>
              <w:widowControl/>
              <w:jc w:val="center"/>
              <w:rPr>
                <w:rFonts w:ascii="宋体" w:hAnsi="宋体" w:cs="宋体"/>
                <w:color w:val="000000"/>
                <w:kern w:val="0"/>
                <w:sz w:val="22"/>
                <w:szCs w:val="22"/>
              </w:rPr>
            </w:pPr>
            <w:r>
              <w:rPr>
                <w:rFonts w:hint="eastAsia" w:ascii="宋体" w:hAnsi="宋体" w:cs="宋体"/>
                <w:color w:val="000000"/>
                <w:kern w:val="0"/>
                <w:sz w:val="22"/>
                <w:szCs w:val="22"/>
                <w:lang w:val="en-US" w:eastAsia="zh-CN"/>
              </w:rPr>
              <w:t>70.00</w:t>
            </w:r>
            <w:r>
              <w:rPr>
                <w:rFonts w:ascii="宋体" w:hAnsi="宋体" w:cs="宋体"/>
                <w:color w:val="000000"/>
                <w:kern w:val="0"/>
                <w:sz w:val="22"/>
                <w:szCs w:val="22"/>
              </w:rPr>
              <w:t>%</w:t>
            </w:r>
          </w:p>
        </w:tc>
        <w:tc>
          <w:tcPr>
            <w:tcW w:w="600" w:type="pct"/>
            <w:gridSpan w:val="3"/>
            <w:tcBorders>
              <w:top w:val="single" w:color="FFFFFF" w:sz="8" w:space="0"/>
              <w:left w:val="single" w:color="FFFFFF" w:sz="8" w:space="0"/>
              <w:bottom w:val="single" w:color="FFFFFF" w:sz="8" w:space="0"/>
              <w:right w:val="single" w:color="FFFFFF" w:sz="8" w:space="0"/>
            </w:tcBorders>
            <w:shd w:val="clear" w:color="auto" w:fill="E9EDF4"/>
            <w:noWrap/>
            <w:vAlign w:val="center"/>
          </w:tcPr>
          <w:p>
            <w:pPr>
              <w:widowControl/>
              <w:jc w:val="center"/>
              <w:rPr>
                <w:rFonts w:ascii="宋体" w:hAnsi="宋体" w:cs="宋体"/>
                <w:b/>
                <w:color w:val="000000"/>
                <w:kern w:val="0"/>
                <w:sz w:val="22"/>
                <w:szCs w:val="22"/>
              </w:rPr>
            </w:pPr>
            <w:r>
              <w:rPr>
                <w:rFonts w:hint="eastAsia" w:ascii="宋体" w:hAnsi="宋体" w:cs="宋体"/>
                <w:b/>
                <w:color w:val="000000"/>
                <w:kern w:val="0"/>
                <w:sz w:val="22"/>
                <w:szCs w:val="22"/>
                <w:lang w:val="en-US" w:eastAsia="zh-CN"/>
              </w:rPr>
              <w:t>92.50</w:t>
            </w:r>
            <w:r>
              <w:rPr>
                <w:rFonts w:ascii="宋体" w:hAnsi="宋体" w:cs="宋体"/>
                <w:b/>
                <w:color w:val="000000"/>
                <w:kern w:val="0"/>
                <w:sz w:val="22"/>
                <w:szCs w:val="22"/>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38" w:type="pct"/>
            <w:tcBorders>
              <w:top w:val="single" w:color="FFFFFF" w:sz="8" w:space="0"/>
              <w:left w:val="single" w:color="FFFFFF" w:sz="8" w:space="0"/>
              <w:bottom w:val="single" w:color="FFFFFF" w:sz="8" w:space="0"/>
              <w:right w:val="single" w:color="FFFFFF" w:sz="8" w:space="0"/>
            </w:tcBorders>
            <w:shd w:val="clear" w:color="auto" w:fill="D0D8E8"/>
            <w:noWrap/>
            <w:vAlign w:val="center"/>
          </w:tcPr>
          <w:p>
            <w:pPr>
              <w:widowControl/>
              <w:jc w:val="center"/>
              <w:rPr>
                <w:rFonts w:ascii="宋体" w:hAnsi="宋体" w:cs="宋体"/>
                <w:b/>
                <w:bCs/>
                <w:color w:val="000000"/>
                <w:kern w:val="0"/>
                <w:sz w:val="22"/>
                <w:szCs w:val="22"/>
              </w:rPr>
            </w:pPr>
            <w:r>
              <w:rPr>
                <w:rFonts w:hint="eastAsia" w:ascii="宋体" w:hAnsi="宋体" w:cs="宋体"/>
                <w:b/>
                <w:bCs/>
                <w:color w:val="000000"/>
                <w:kern w:val="0"/>
                <w:sz w:val="22"/>
                <w:szCs w:val="22"/>
              </w:rPr>
              <w:t>会计学</w:t>
            </w:r>
          </w:p>
        </w:tc>
        <w:tc>
          <w:tcPr>
            <w:tcW w:w="513" w:type="pct"/>
            <w:gridSpan w:val="2"/>
            <w:tcBorders>
              <w:top w:val="single" w:color="FFFFFF" w:sz="8" w:space="0"/>
              <w:left w:val="single" w:color="FFFFFF" w:sz="8" w:space="0"/>
              <w:bottom w:val="single" w:color="FFFFFF" w:sz="8" w:space="0"/>
              <w:right w:val="single" w:color="FFFFFF" w:sz="8" w:space="0"/>
            </w:tcBorders>
            <w:shd w:val="clear" w:color="auto" w:fill="D0D8E8"/>
            <w:noWrap/>
            <w:vAlign w:val="center"/>
          </w:tcPr>
          <w:p>
            <w:pPr>
              <w:widowControl/>
              <w:jc w:val="center"/>
              <w:rPr>
                <w:rFonts w:hint="default" w:ascii="宋体" w:hAnsi="宋体" w:eastAsia="宋体" w:cs="宋体"/>
                <w:color w:val="000000"/>
                <w:kern w:val="0"/>
                <w:sz w:val="22"/>
                <w:szCs w:val="22"/>
                <w:lang w:val="en-US" w:eastAsia="zh-CN"/>
              </w:rPr>
            </w:pPr>
            <w:r>
              <w:rPr>
                <w:rFonts w:hint="eastAsia" w:ascii="宋体" w:hAnsi="宋体" w:cs="宋体"/>
                <w:color w:val="000000"/>
                <w:kern w:val="0"/>
                <w:sz w:val="22"/>
                <w:szCs w:val="22"/>
                <w:lang w:val="en-US" w:eastAsia="zh-CN"/>
              </w:rPr>
              <w:t>89</w:t>
            </w:r>
          </w:p>
        </w:tc>
        <w:tc>
          <w:tcPr>
            <w:tcW w:w="967" w:type="pct"/>
            <w:tcBorders>
              <w:top w:val="single" w:color="FFFFFF" w:sz="8" w:space="0"/>
              <w:left w:val="single" w:color="FFFFFF" w:sz="8" w:space="0"/>
              <w:bottom w:val="single" w:color="FFFFFF" w:sz="8" w:space="0"/>
              <w:right w:val="single" w:color="FFFFFF" w:sz="8" w:space="0"/>
            </w:tcBorders>
            <w:shd w:val="clear" w:color="auto" w:fill="D0D8E8"/>
            <w:noWrap/>
            <w:vAlign w:val="center"/>
          </w:tcPr>
          <w:p>
            <w:pPr>
              <w:widowControl/>
              <w:jc w:val="center"/>
              <w:rPr>
                <w:rFonts w:hint="default" w:ascii="宋体" w:hAnsi="宋体" w:eastAsia="宋体" w:cs="宋体"/>
                <w:color w:val="000000"/>
                <w:kern w:val="0"/>
                <w:sz w:val="22"/>
                <w:szCs w:val="22"/>
                <w:lang w:val="en-US" w:eastAsia="zh-CN"/>
              </w:rPr>
            </w:pPr>
            <w:r>
              <w:rPr>
                <w:rFonts w:hint="eastAsia" w:ascii="宋体" w:hAnsi="宋体" w:cs="宋体"/>
                <w:color w:val="000000"/>
                <w:kern w:val="0"/>
                <w:sz w:val="22"/>
                <w:szCs w:val="22"/>
                <w:lang w:val="en-US" w:eastAsia="zh-CN"/>
              </w:rPr>
              <w:t>57</w:t>
            </w:r>
          </w:p>
        </w:tc>
        <w:tc>
          <w:tcPr>
            <w:tcW w:w="474" w:type="pct"/>
            <w:tcBorders>
              <w:top w:val="single" w:color="FFFFFF" w:sz="8" w:space="0"/>
              <w:left w:val="single" w:color="FFFFFF" w:sz="8" w:space="0"/>
              <w:bottom w:val="single" w:color="FFFFFF" w:sz="8" w:space="0"/>
              <w:right w:val="single" w:color="FFFFFF" w:sz="8" w:space="0"/>
            </w:tcBorders>
            <w:shd w:val="clear" w:color="auto" w:fill="D0D8E8"/>
            <w:noWrap/>
            <w:vAlign w:val="center"/>
          </w:tcPr>
          <w:p>
            <w:pPr>
              <w:widowControl/>
              <w:jc w:val="center"/>
              <w:rPr>
                <w:rFonts w:hint="eastAsia" w:ascii="宋体" w:hAnsi="宋体" w:eastAsia="宋体" w:cs="宋体"/>
                <w:color w:val="000000"/>
                <w:kern w:val="0"/>
                <w:sz w:val="22"/>
                <w:szCs w:val="22"/>
                <w:lang w:eastAsia="zh-CN"/>
              </w:rPr>
            </w:pPr>
            <w:r>
              <w:rPr>
                <w:rFonts w:hint="eastAsia" w:ascii="宋体" w:hAnsi="宋体" w:cs="宋体"/>
                <w:color w:val="000000"/>
                <w:kern w:val="0"/>
                <w:sz w:val="22"/>
                <w:szCs w:val="22"/>
                <w:lang w:val="en-US" w:eastAsia="zh-CN"/>
              </w:rPr>
              <w:t>7</w:t>
            </w:r>
          </w:p>
        </w:tc>
        <w:tc>
          <w:tcPr>
            <w:tcW w:w="513" w:type="pct"/>
            <w:gridSpan w:val="2"/>
            <w:tcBorders>
              <w:top w:val="single" w:color="FFFFFF" w:sz="8" w:space="0"/>
              <w:left w:val="single" w:color="FFFFFF" w:sz="8" w:space="0"/>
              <w:bottom w:val="single" w:color="FFFFFF" w:sz="8" w:space="0"/>
              <w:right w:val="single" w:color="FFFFFF" w:sz="8" w:space="0"/>
            </w:tcBorders>
            <w:shd w:val="clear" w:color="auto" w:fill="D0D8E8"/>
            <w:noWrap/>
            <w:vAlign w:val="center"/>
          </w:tcPr>
          <w:p>
            <w:pPr>
              <w:widowControl/>
              <w:jc w:val="center"/>
              <w:rPr>
                <w:rFonts w:hint="eastAsia" w:ascii="宋体" w:hAnsi="宋体" w:eastAsia="宋体" w:cs="宋体"/>
                <w:color w:val="000000"/>
                <w:kern w:val="0"/>
                <w:sz w:val="22"/>
                <w:szCs w:val="22"/>
                <w:lang w:eastAsia="zh-CN"/>
              </w:rPr>
            </w:pPr>
            <w:r>
              <w:rPr>
                <w:rFonts w:hint="eastAsia" w:ascii="宋体" w:hAnsi="宋体" w:cs="宋体"/>
                <w:color w:val="000000"/>
                <w:kern w:val="0"/>
                <w:sz w:val="22"/>
                <w:szCs w:val="22"/>
                <w:lang w:val="en-US" w:eastAsia="zh-CN"/>
              </w:rPr>
              <w:t>2</w:t>
            </w:r>
          </w:p>
        </w:tc>
        <w:tc>
          <w:tcPr>
            <w:tcW w:w="630" w:type="pct"/>
            <w:gridSpan w:val="2"/>
            <w:tcBorders>
              <w:top w:val="single" w:color="FFFFFF" w:sz="8" w:space="0"/>
              <w:left w:val="single" w:color="FFFFFF" w:sz="8" w:space="0"/>
              <w:bottom w:val="single" w:color="FFFFFF" w:sz="8" w:space="0"/>
              <w:right w:val="single" w:color="FFFFFF" w:sz="8" w:space="0"/>
            </w:tcBorders>
            <w:shd w:val="clear" w:color="auto" w:fill="D0D8E8"/>
            <w:noWrap/>
            <w:vAlign w:val="center"/>
          </w:tcPr>
          <w:p>
            <w:pPr>
              <w:widowControl/>
              <w:jc w:val="center"/>
              <w:rPr>
                <w:rFonts w:hint="eastAsia" w:ascii="宋体" w:hAnsi="宋体" w:eastAsia="宋体" w:cs="宋体"/>
                <w:color w:val="000000"/>
                <w:kern w:val="0"/>
                <w:sz w:val="22"/>
                <w:szCs w:val="22"/>
                <w:lang w:eastAsia="zh-CN"/>
              </w:rPr>
            </w:pPr>
            <w:r>
              <w:rPr>
                <w:rFonts w:hint="eastAsia" w:ascii="宋体" w:hAnsi="宋体" w:cs="宋体"/>
                <w:color w:val="000000"/>
                <w:kern w:val="0"/>
                <w:sz w:val="22"/>
                <w:szCs w:val="22"/>
                <w:lang w:val="en-US" w:eastAsia="zh-CN"/>
              </w:rPr>
              <w:t>7</w:t>
            </w:r>
          </w:p>
        </w:tc>
        <w:tc>
          <w:tcPr>
            <w:tcW w:w="560" w:type="pct"/>
            <w:gridSpan w:val="3"/>
            <w:tcBorders>
              <w:top w:val="single" w:color="FFFFFF" w:sz="8" w:space="0"/>
              <w:left w:val="single" w:color="FFFFFF" w:sz="8" w:space="0"/>
              <w:bottom w:val="single" w:color="FFFFFF" w:sz="8" w:space="0"/>
              <w:right w:val="single" w:color="FFFFFF" w:sz="8" w:space="0"/>
            </w:tcBorders>
            <w:shd w:val="clear" w:color="auto" w:fill="D0D8E8"/>
            <w:noWrap/>
            <w:vAlign w:val="center"/>
          </w:tcPr>
          <w:p>
            <w:pPr>
              <w:widowControl/>
              <w:jc w:val="center"/>
              <w:rPr>
                <w:rFonts w:ascii="宋体" w:hAnsi="宋体" w:cs="宋体"/>
                <w:color w:val="000000"/>
                <w:kern w:val="0"/>
                <w:sz w:val="22"/>
                <w:szCs w:val="22"/>
              </w:rPr>
            </w:pPr>
            <w:r>
              <w:rPr>
                <w:rFonts w:hint="eastAsia" w:ascii="宋体" w:hAnsi="宋体" w:cs="宋体"/>
                <w:color w:val="000000"/>
                <w:kern w:val="0"/>
                <w:sz w:val="22"/>
                <w:szCs w:val="22"/>
                <w:lang w:val="en-US" w:eastAsia="zh-CN"/>
              </w:rPr>
              <w:t>64.04</w:t>
            </w:r>
            <w:r>
              <w:rPr>
                <w:rFonts w:ascii="宋体" w:hAnsi="宋体" w:cs="宋体"/>
                <w:color w:val="000000"/>
                <w:kern w:val="0"/>
                <w:sz w:val="22"/>
                <w:szCs w:val="22"/>
              </w:rPr>
              <w:t>%</w:t>
            </w:r>
          </w:p>
        </w:tc>
        <w:tc>
          <w:tcPr>
            <w:tcW w:w="600" w:type="pct"/>
            <w:gridSpan w:val="3"/>
            <w:tcBorders>
              <w:top w:val="single" w:color="FFFFFF" w:sz="8" w:space="0"/>
              <w:left w:val="single" w:color="FFFFFF" w:sz="8" w:space="0"/>
              <w:bottom w:val="single" w:color="FFFFFF" w:sz="8" w:space="0"/>
              <w:right w:val="single" w:color="FFFFFF" w:sz="8" w:space="0"/>
            </w:tcBorders>
            <w:shd w:val="clear" w:color="auto" w:fill="D0D8E8"/>
            <w:noWrap/>
            <w:vAlign w:val="center"/>
          </w:tcPr>
          <w:p>
            <w:pPr>
              <w:widowControl/>
              <w:jc w:val="center"/>
              <w:rPr>
                <w:rFonts w:ascii="宋体" w:hAnsi="宋体" w:cs="宋体"/>
                <w:b/>
                <w:color w:val="000000"/>
                <w:kern w:val="0"/>
                <w:sz w:val="22"/>
                <w:szCs w:val="22"/>
              </w:rPr>
            </w:pPr>
            <w:r>
              <w:rPr>
                <w:rFonts w:hint="eastAsia" w:ascii="宋体" w:hAnsi="宋体" w:cs="宋体"/>
                <w:b/>
                <w:color w:val="000000"/>
                <w:kern w:val="0"/>
                <w:sz w:val="22"/>
                <w:szCs w:val="22"/>
                <w:lang w:val="en-US" w:eastAsia="zh-CN"/>
              </w:rPr>
              <w:t>82.02</w:t>
            </w:r>
            <w:r>
              <w:rPr>
                <w:rFonts w:ascii="宋体" w:hAnsi="宋体" w:cs="宋体"/>
                <w:b/>
                <w:color w:val="000000"/>
                <w:kern w:val="0"/>
                <w:sz w:val="22"/>
                <w:szCs w:val="22"/>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38" w:type="pct"/>
            <w:tcBorders>
              <w:top w:val="single" w:color="FFFFFF" w:sz="8" w:space="0"/>
              <w:left w:val="single" w:color="FFFFFF" w:sz="8" w:space="0"/>
              <w:bottom w:val="single" w:color="FFFFFF" w:sz="8" w:space="0"/>
              <w:right w:val="single" w:color="FFFFFF" w:sz="8" w:space="0"/>
            </w:tcBorders>
            <w:shd w:val="clear" w:color="auto" w:fill="E9EDF4"/>
            <w:noWrap/>
            <w:vAlign w:val="center"/>
          </w:tcPr>
          <w:p>
            <w:pPr>
              <w:widowControl/>
              <w:jc w:val="center"/>
              <w:rPr>
                <w:rFonts w:ascii="宋体" w:hAnsi="宋体" w:cs="宋体"/>
                <w:b/>
                <w:bCs/>
                <w:color w:val="000000"/>
                <w:kern w:val="0"/>
                <w:sz w:val="22"/>
                <w:szCs w:val="22"/>
              </w:rPr>
            </w:pPr>
            <w:r>
              <w:rPr>
                <w:rFonts w:hint="eastAsia" w:ascii="宋体" w:hAnsi="宋体" w:cs="宋体"/>
                <w:b/>
                <w:bCs/>
                <w:color w:val="000000"/>
                <w:kern w:val="0"/>
                <w:sz w:val="22"/>
                <w:szCs w:val="22"/>
              </w:rPr>
              <w:t>物流管理</w:t>
            </w:r>
          </w:p>
        </w:tc>
        <w:tc>
          <w:tcPr>
            <w:tcW w:w="513" w:type="pct"/>
            <w:gridSpan w:val="2"/>
            <w:tcBorders>
              <w:top w:val="single" w:color="FFFFFF" w:sz="8" w:space="0"/>
              <w:left w:val="single" w:color="FFFFFF" w:sz="8" w:space="0"/>
              <w:bottom w:val="single" w:color="FFFFFF" w:sz="8" w:space="0"/>
              <w:right w:val="single" w:color="FFFFFF" w:sz="8" w:space="0"/>
            </w:tcBorders>
            <w:shd w:val="clear" w:color="auto" w:fill="E9EDF4"/>
            <w:noWrap/>
            <w:vAlign w:val="center"/>
          </w:tcPr>
          <w:p>
            <w:pPr>
              <w:widowControl/>
              <w:jc w:val="center"/>
              <w:rPr>
                <w:rFonts w:hint="default" w:ascii="宋体" w:hAnsi="宋体" w:eastAsia="宋体" w:cs="宋体"/>
                <w:color w:val="000000"/>
                <w:kern w:val="0"/>
                <w:sz w:val="22"/>
                <w:szCs w:val="22"/>
                <w:lang w:val="en-US" w:eastAsia="zh-CN"/>
              </w:rPr>
            </w:pPr>
            <w:r>
              <w:rPr>
                <w:rFonts w:hint="eastAsia" w:ascii="宋体" w:hAnsi="宋体" w:cs="宋体"/>
                <w:color w:val="000000"/>
                <w:kern w:val="0"/>
                <w:sz w:val="22"/>
                <w:szCs w:val="22"/>
                <w:lang w:val="en-US" w:eastAsia="zh-CN"/>
              </w:rPr>
              <w:t>68</w:t>
            </w:r>
          </w:p>
        </w:tc>
        <w:tc>
          <w:tcPr>
            <w:tcW w:w="967" w:type="pct"/>
            <w:tcBorders>
              <w:top w:val="single" w:color="FFFFFF" w:sz="8" w:space="0"/>
              <w:left w:val="single" w:color="FFFFFF" w:sz="8" w:space="0"/>
              <w:bottom w:val="single" w:color="FFFFFF" w:sz="8" w:space="0"/>
              <w:right w:val="single" w:color="FFFFFF" w:sz="8" w:space="0"/>
            </w:tcBorders>
            <w:shd w:val="clear" w:color="auto" w:fill="E9EDF4"/>
            <w:noWrap/>
            <w:vAlign w:val="center"/>
          </w:tcPr>
          <w:p>
            <w:pPr>
              <w:widowControl/>
              <w:jc w:val="center"/>
              <w:rPr>
                <w:rFonts w:hint="default" w:ascii="宋体" w:hAnsi="宋体" w:eastAsia="宋体" w:cs="宋体"/>
                <w:color w:val="000000"/>
                <w:kern w:val="0"/>
                <w:sz w:val="22"/>
                <w:szCs w:val="22"/>
                <w:lang w:val="en-US" w:eastAsia="zh-CN"/>
              </w:rPr>
            </w:pPr>
            <w:r>
              <w:rPr>
                <w:rFonts w:hint="eastAsia" w:ascii="宋体" w:hAnsi="宋体" w:cs="宋体"/>
                <w:color w:val="000000"/>
                <w:kern w:val="0"/>
                <w:sz w:val="22"/>
                <w:szCs w:val="22"/>
                <w:lang w:val="en-US" w:eastAsia="zh-CN"/>
              </w:rPr>
              <w:t>51</w:t>
            </w:r>
          </w:p>
        </w:tc>
        <w:tc>
          <w:tcPr>
            <w:tcW w:w="474" w:type="pct"/>
            <w:tcBorders>
              <w:top w:val="single" w:color="FFFFFF" w:sz="8" w:space="0"/>
              <w:left w:val="single" w:color="FFFFFF" w:sz="8" w:space="0"/>
              <w:bottom w:val="single" w:color="FFFFFF" w:sz="8" w:space="0"/>
              <w:right w:val="single" w:color="FFFFFF" w:sz="8" w:space="0"/>
            </w:tcBorders>
            <w:shd w:val="clear" w:color="auto" w:fill="E9EDF4"/>
            <w:noWrap/>
            <w:vAlign w:val="center"/>
          </w:tcPr>
          <w:p>
            <w:pPr>
              <w:widowControl/>
              <w:jc w:val="center"/>
              <w:rPr>
                <w:rFonts w:hint="eastAsia" w:ascii="宋体" w:hAnsi="宋体" w:eastAsia="宋体" w:cs="宋体"/>
                <w:color w:val="000000"/>
                <w:kern w:val="0"/>
                <w:sz w:val="22"/>
                <w:szCs w:val="22"/>
                <w:lang w:eastAsia="zh-CN"/>
              </w:rPr>
            </w:pPr>
            <w:r>
              <w:rPr>
                <w:rFonts w:hint="eastAsia" w:ascii="宋体" w:hAnsi="宋体" w:cs="宋体"/>
                <w:color w:val="000000"/>
                <w:kern w:val="0"/>
                <w:sz w:val="22"/>
                <w:szCs w:val="22"/>
                <w:lang w:val="en-US" w:eastAsia="zh-CN"/>
              </w:rPr>
              <w:t>7</w:t>
            </w:r>
          </w:p>
        </w:tc>
        <w:tc>
          <w:tcPr>
            <w:tcW w:w="513" w:type="pct"/>
            <w:gridSpan w:val="2"/>
            <w:tcBorders>
              <w:top w:val="single" w:color="FFFFFF" w:sz="8" w:space="0"/>
              <w:left w:val="single" w:color="FFFFFF" w:sz="8" w:space="0"/>
              <w:bottom w:val="single" w:color="FFFFFF" w:sz="8" w:space="0"/>
              <w:right w:val="single" w:color="FFFFFF" w:sz="8" w:space="0"/>
            </w:tcBorders>
            <w:shd w:val="clear" w:color="auto" w:fill="E9EDF4"/>
            <w:noWrap/>
            <w:vAlign w:val="center"/>
          </w:tcPr>
          <w:p>
            <w:pPr>
              <w:widowControl/>
              <w:jc w:val="center"/>
              <w:rPr>
                <w:rFonts w:hint="eastAsia" w:ascii="宋体" w:hAnsi="宋体" w:eastAsia="宋体" w:cs="宋体"/>
                <w:color w:val="000000"/>
                <w:kern w:val="0"/>
                <w:sz w:val="22"/>
                <w:szCs w:val="22"/>
                <w:lang w:eastAsia="zh-CN"/>
              </w:rPr>
            </w:pPr>
            <w:r>
              <w:rPr>
                <w:rFonts w:hint="eastAsia" w:ascii="宋体" w:hAnsi="宋体" w:cs="宋体"/>
                <w:color w:val="000000"/>
                <w:kern w:val="0"/>
                <w:sz w:val="22"/>
                <w:szCs w:val="22"/>
                <w:lang w:val="en-US" w:eastAsia="zh-CN"/>
              </w:rPr>
              <w:t>2</w:t>
            </w:r>
          </w:p>
        </w:tc>
        <w:tc>
          <w:tcPr>
            <w:tcW w:w="630" w:type="pct"/>
            <w:gridSpan w:val="2"/>
            <w:tcBorders>
              <w:top w:val="single" w:color="FFFFFF" w:sz="8" w:space="0"/>
              <w:left w:val="single" w:color="FFFFFF" w:sz="8" w:space="0"/>
              <w:bottom w:val="single" w:color="FFFFFF" w:sz="8" w:space="0"/>
              <w:right w:val="single" w:color="FFFFFF" w:sz="8" w:space="0"/>
            </w:tcBorders>
            <w:shd w:val="clear" w:color="auto" w:fill="E9EDF4"/>
            <w:noWrap/>
            <w:vAlign w:val="center"/>
          </w:tcPr>
          <w:p>
            <w:pPr>
              <w:widowControl/>
              <w:jc w:val="center"/>
              <w:rPr>
                <w:rFonts w:hint="eastAsia" w:ascii="宋体" w:hAnsi="宋体" w:eastAsia="宋体" w:cs="宋体"/>
                <w:color w:val="000000"/>
                <w:kern w:val="0"/>
                <w:sz w:val="22"/>
                <w:szCs w:val="22"/>
                <w:lang w:eastAsia="zh-CN"/>
              </w:rPr>
            </w:pPr>
            <w:r>
              <w:rPr>
                <w:rFonts w:hint="eastAsia" w:ascii="宋体" w:hAnsi="宋体" w:cs="宋体"/>
                <w:b/>
                <w:bCs/>
                <w:color w:val="FF0000"/>
                <w:kern w:val="0"/>
                <w:sz w:val="22"/>
                <w:szCs w:val="22"/>
                <w:lang w:val="en-US" w:eastAsia="zh-CN"/>
              </w:rPr>
              <w:t>7</w:t>
            </w:r>
          </w:p>
        </w:tc>
        <w:tc>
          <w:tcPr>
            <w:tcW w:w="560" w:type="pct"/>
            <w:gridSpan w:val="3"/>
            <w:tcBorders>
              <w:top w:val="single" w:color="FFFFFF" w:sz="8" w:space="0"/>
              <w:left w:val="single" w:color="FFFFFF" w:sz="8" w:space="0"/>
              <w:bottom w:val="single" w:color="FFFFFF" w:sz="8" w:space="0"/>
              <w:right w:val="single" w:color="FFFFFF" w:sz="8" w:space="0"/>
            </w:tcBorders>
            <w:shd w:val="clear" w:color="auto" w:fill="E9EDF4"/>
            <w:noWrap/>
            <w:vAlign w:val="center"/>
          </w:tcPr>
          <w:p>
            <w:pPr>
              <w:widowControl/>
              <w:jc w:val="center"/>
              <w:rPr>
                <w:rFonts w:ascii="宋体" w:hAnsi="宋体" w:cs="宋体"/>
                <w:color w:val="000000"/>
                <w:kern w:val="0"/>
                <w:sz w:val="22"/>
                <w:szCs w:val="22"/>
              </w:rPr>
            </w:pPr>
            <w:r>
              <w:rPr>
                <w:rFonts w:hint="eastAsia" w:ascii="宋体" w:hAnsi="宋体" w:cs="宋体"/>
                <w:color w:val="000000"/>
                <w:kern w:val="0"/>
                <w:sz w:val="22"/>
                <w:szCs w:val="22"/>
                <w:lang w:val="en-US" w:eastAsia="zh-CN"/>
              </w:rPr>
              <w:t>75.00</w:t>
            </w:r>
            <w:r>
              <w:rPr>
                <w:rFonts w:ascii="宋体" w:hAnsi="宋体" w:cs="宋体"/>
                <w:color w:val="000000"/>
                <w:kern w:val="0"/>
                <w:sz w:val="22"/>
                <w:szCs w:val="22"/>
              </w:rPr>
              <w:t>%</w:t>
            </w:r>
          </w:p>
        </w:tc>
        <w:tc>
          <w:tcPr>
            <w:tcW w:w="600" w:type="pct"/>
            <w:gridSpan w:val="3"/>
            <w:tcBorders>
              <w:top w:val="single" w:color="FFFFFF" w:sz="8" w:space="0"/>
              <w:left w:val="single" w:color="FFFFFF" w:sz="8" w:space="0"/>
              <w:bottom w:val="single" w:color="FFFFFF" w:sz="8" w:space="0"/>
              <w:right w:val="single" w:color="FFFFFF" w:sz="8" w:space="0"/>
            </w:tcBorders>
            <w:shd w:val="clear" w:color="auto" w:fill="E9EDF4"/>
            <w:noWrap/>
            <w:vAlign w:val="center"/>
          </w:tcPr>
          <w:p>
            <w:pPr>
              <w:widowControl/>
              <w:jc w:val="center"/>
              <w:rPr>
                <w:rFonts w:ascii="宋体" w:hAnsi="宋体" w:cs="宋体"/>
                <w:b/>
                <w:color w:val="000000"/>
                <w:kern w:val="0"/>
                <w:sz w:val="22"/>
                <w:szCs w:val="22"/>
              </w:rPr>
            </w:pPr>
            <w:r>
              <w:rPr>
                <w:rFonts w:hint="eastAsia" w:ascii="宋体" w:hAnsi="宋体" w:cs="宋体"/>
                <w:b/>
                <w:color w:val="000000"/>
                <w:kern w:val="0"/>
                <w:sz w:val="22"/>
                <w:szCs w:val="22"/>
                <w:lang w:val="en-US" w:eastAsia="zh-CN"/>
              </w:rPr>
              <w:t>98.53</w:t>
            </w:r>
            <w:r>
              <w:rPr>
                <w:rFonts w:ascii="宋体" w:hAnsi="宋体" w:cs="宋体"/>
                <w:b/>
                <w:color w:val="000000"/>
                <w:kern w:val="0"/>
                <w:sz w:val="22"/>
                <w:szCs w:val="22"/>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738" w:type="pct"/>
            <w:tcBorders>
              <w:top w:val="single" w:color="FFFFFF" w:sz="8" w:space="0"/>
              <w:left w:val="single" w:color="FFFFFF" w:sz="8" w:space="0"/>
              <w:bottom w:val="single" w:color="FFFFFF" w:sz="8" w:space="0"/>
              <w:right w:val="single" w:color="FFFFFF" w:sz="8" w:space="0"/>
            </w:tcBorders>
            <w:shd w:val="clear" w:color="auto" w:fill="D0D8E8"/>
            <w:noWrap w:val="0"/>
            <w:vAlign w:val="center"/>
          </w:tcPr>
          <w:p>
            <w:pPr>
              <w:widowControl/>
              <w:jc w:val="center"/>
              <w:rPr>
                <w:rFonts w:ascii="宋体" w:hAnsi="宋体" w:cs="宋体"/>
                <w:b/>
                <w:bCs/>
                <w:color w:val="000000"/>
                <w:kern w:val="0"/>
                <w:sz w:val="22"/>
                <w:szCs w:val="22"/>
              </w:rPr>
            </w:pPr>
            <w:r>
              <w:rPr>
                <w:rFonts w:hint="eastAsia" w:ascii="宋体" w:hAnsi="宋体" w:cs="宋体"/>
                <w:b/>
                <w:bCs/>
                <w:color w:val="000000"/>
                <w:kern w:val="0"/>
                <w:sz w:val="21"/>
                <w:szCs w:val="21"/>
              </w:rPr>
              <w:t>物流管理（中外）</w:t>
            </w:r>
          </w:p>
        </w:tc>
        <w:tc>
          <w:tcPr>
            <w:tcW w:w="513" w:type="pct"/>
            <w:gridSpan w:val="2"/>
            <w:tcBorders>
              <w:top w:val="single" w:color="FFFFFF" w:sz="8" w:space="0"/>
              <w:left w:val="single" w:color="FFFFFF" w:sz="8" w:space="0"/>
              <w:bottom w:val="single" w:color="FFFFFF" w:sz="8" w:space="0"/>
              <w:right w:val="single" w:color="FFFFFF" w:sz="8" w:space="0"/>
            </w:tcBorders>
            <w:shd w:val="clear" w:color="auto" w:fill="D0D8E8"/>
            <w:noWrap/>
            <w:vAlign w:val="center"/>
          </w:tcPr>
          <w:p>
            <w:pPr>
              <w:widowControl/>
              <w:jc w:val="center"/>
              <w:rPr>
                <w:rFonts w:hint="default" w:ascii="宋体" w:hAnsi="宋体" w:eastAsia="宋体" w:cs="宋体"/>
                <w:color w:val="000000"/>
                <w:kern w:val="0"/>
                <w:sz w:val="22"/>
                <w:szCs w:val="22"/>
                <w:lang w:val="en-US" w:eastAsia="zh-CN"/>
              </w:rPr>
            </w:pPr>
            <w:r>
              <w:rPr>
                <w:rFonts w:hint="eastAsia" w:ascii="宋体" w:hAnsi="宋体" w:cs="宋体"/>
                <w:color w:val="000000"/>
                <w:kern w:val="0"/>
                <w:sz w:val="22"/>
                <w:szCs w:val="22"/>
                <w:lang w:val="en-US" w:eastAsia="zh-CN"/>
              </w:rPr>
              <w:t>54</w:t>
            </w:r>
          </w:p>
        </w:tc>
        <w:tc>
          <w:tcPr>
            <w:tcW w:w="967" w:type="pct"/>
            <w:tcBorders>
              <w:top w:val="single" w:color="FFFFFF" w:sz="8" w:space="0"/>
              <w:left w:val="single" w:color="FFFFFF" w:sz="8" w:space="0"/>
              <w:bottom w:val="single" w:color="FFFFFF" w:sz="8" w:space="0"/>
              <w:right w:val="single" w:color="FFFFFF" w:sz="8" w:space="0"/>
            </w:tcBorders>
            <w:shd w:val="clear" w:color="auto" w:fill="D0D8E8"/>
            <w:noWrap/>
            <w:vAlign w:val="center"/>
          </w:tcPr>
          <w:p>
            <w:pPr>
              <w:widowControl/>
              <w:jc w:val="center"/>
              <w:rPr>
                <w:rFonts w:hint="default" w:ascii="宋体" w:hAnsi="宋体" w:eastAsia="宋体" w:cs="宋体"/>
                <w:color w:val="000000"/>
                <w:kern w:val="0"/>
                <w:sz w:val="22"/>
                <w:szCs w:val="22"/>
                <w:lang w:val="en-US" w:eastAsia="zh-CN"/>
              </w:rPr>
            </w:pPr>
            <w:r>
              <w:rPr>
                <w:rFonts w:hint="eastAsia" w:ascii="宋体" w:hAnsi="宋体" w:cs="宋体"/>
                <w:color w:val="000000"/>
                <w:kern w:val="0"/>
                <w:sz w:val="22"/>
                <w:szCs w:val="22"/>
                <w:lang w:val="en-US" w:eastAsia="zh-CN"/>
              </w:rPr>
              <w:t>48</w:t>
            </w:r>
          </w:p>
        </w:tc>
        <w:tc>
          <w:tcPr>
            <w:tcW w:w="474" w:type="pct"/>
            <w:tcBorders>
              <w:top w:val="single" w:color="FFFFFF" w:sz="8" w:space="0"/>
              <w:left w:val="single" w:color="FFFFFF" w:sz="8" w:space="0"/>
              <w:bottom w:val="single" w:color="FFFFFF" w:sz="8" w:space="0"/>
              <w:right w:val="single" w:color="FFFFFF" w:sz="8" w:space="0"/>
            </w:tcBorders>
            <w:shd w:val="clear" w:color="auto" w:fill="D0D8E8"/>
            <w:noWrap/>
            <w:vAlign w:val="center"/>
          </w:tcPr>
          <w:p>
            <w:pPr>
              <w:widowControl/>
              <w:jc w:val="center"/>
              <w:rPr>
                <w:rFonts w:hint="eastAsia" w:ascii="宋体" w:hAnsi="宋体" w:eastAsia="宋体" w:cs="宋体"/>
                <w:color w:val="000000"/>
                <w:kern w:val="0"/>
                <w:sz w:val="22"/>
                <w:szCs w:val="22"/>
                <w:lang w:eastAsia="zh-CN"/>
              </w:rPr>
            </w:pPr>
            <w:r>
              <w:rPr>
                <w:rFonts w:hint="eastAsia" w:ascii="宋体" w:hAnsi="宋体" w:cs="宋体"/>
                <w:color w:val="000000"/>
                <w:kern w:val="0"/>
                <w:sz w:val="22"/>
                <w:szCs w:val="22"/>
                <w:lang w:val="en-US" w:eastAsia="zh-CN"/>
              </w:rPr>
              <w:t>2</w:t>
            </w:r>
          </w:p>
        </w:tc>
        <w:tc>
          <w:tcPr>
            <w:tcW w:w="513" w:type="pct"/>
            <w:gridSpan w:val="2"/>
            <w:tcBorders>
              <w:top w:val="single" w:color="FFFFFF" w:sz="8" w:space="0"/>
              <w:left w:val="single" w:color="FFFFFF" w:sz="8" w:space="0"/>
              <w:bottom w:val="single" w:color="FFFFFF" w:sz="8" w:space="0"/>
              <w:right w:val="single" w:color="FFFFFF" w:sz="8" w:space="0"/>
            </w:tcBorders>
            <w:shd w:val="clear" w:color="auto" w:fill="D0D8E8"/>
            <w:noWrap/>
            <w:vAlign w:val="center"/>
          </w:tcPr>
          <w:p>
            <w:pPr>
              <w:widowControl/>
              <w:jc w:val="center"/>
              <w:rPr>
                <w:rFonts w:hint="eastAsia" w:ascii="宋体" w:hAnsi="宋体" w:eastAsia="宋体" w:cs="宋体"/>
                <w:color w:val="000000"/>
                <w:kern w:val="0"/>
                <w:sz w:val="22"/>
                <w:szCs w:val="22"/>
                <w:lang w:eastAsia="zh-CN"/>
              </w:rPr>
            </w:pPr>
            <w:r>
              <w:rPr>
                <w:rFonts w:hint="eastAsia" w:ascii="宋体" w:hAnsi="宋体" w:cs="宋体"/>
                <w:color w:val="000000"/>
                <w:kern w:val="0"/>
                <w:sz w:val="22"/>
                <w:szCs w:val="22"/>
                <w:lang w:val="en-US" w:eastAsia="zh-CN"/>
              </w:rPr>
              <w:t>0</w:t>
            </w:r>
          </w:p>
        </w:tc>
        <w:tc>
          <w:tcPr>
            <w:tcW w:w="630" w:type="pct"/>
            <w:gridSpan w:val="2"/>
            <w:tcBorders>
              <w:top w:val="single" w:color="FFFFFF" w:sz="8" w:space="0"/>
              <w:left w:val="single" w:color="FFFFFF" w:sz="8" w:space="0"/>
              <w:bottom w:val="single" w:color="FFFFFF" w:sz="8" w:space="0"/>
              <w:right w:val="single" w:color="FFFFFF" w:sz="8" w:space="0"/>
            </w:tcBorders>
            <w:shd w:val="clear" w:color="auto" w:fill="D0D8E8"/>
            <w:noWrap/>
            <w:vAlign w:val="center"/>
          </w:tcPr>
          <w:p>
            <w:pPr>
              <w:widowControl/>
              <w:jc w:val="center"/>
              <w:rPr>
                <w:rFonts w:hint="eastAsia" w:ascii="宋体" w:hAnsi="宋体" w:eastAsia="宋体" w:cs="宋体"/>
                <w:color w:val="000000"/>
                <w:kern w:val="0"/>
                <w:sz w:val="22"/>
                <w:szCs w:val="22"/>
                <w:lang w:eastAsia="zh-CN"/>
              </w:rPr>
            </w:pPr>
            <w:r>
              <w:rPr>
                <w:rFonts w:hint="eastAsia" w:ascii="宋体" w:hAnsi="宋体" w:cs="宋体"/>
                <w:color w:val="000000"/>
                <w:kern w:val="0"/>
                <w:sz w:val="22"/>
                <w:szCs w:val="22"/>
                <w:lang w:val="en-US" w:eastAsia="zh-CN"/>
              </w:rPr>
              <w:t>3</w:t>
            </w:r>
          </w:p>
        </w:tc>
        <w:tc>
          <w:tcPr>
            <w:tcW w:w="560" w:type="pct"/>
            <w:gridSpan w:val="3"/>
            <w:tcBorders>
              <w:top w:val="single" w:color="FFFFFF" w:sz="8" w:space="0"/>
              <w:left w:val="single" w:color="FFFFFF" w:sz="8" w:space="0"/>
              <w:bottom w:val="single" w:color="FFFFFF" w:sz="8" w:space="0"/>
              <w:right w:val="single" w:color="FFFFFF" w:sz="8" w:space="0"/>
            </w:tcBorders>
            <w:shd w:val="clear" w:color="auto" w:fill="D0D8E8"/>
            <w:noWrap/>
            <w:vAlign w:val="center"/>
          </w:tcPr>
          <w:p>
            <w:pPr>
              <w:widowControl/>
              <w:jc w:val="center"/>
              <w:rPr>
                <w:rFonts w:ascii="宋体" w:hAnsi="宋体" w:cs="宋体"/>
                <w:color w:val="000000"/>
                <w:kern w:val="0"/>
                <w:sz w:val="22"/>
                <w:szCs w:val="22"/>
              </w:rPr>
            </w:pPr>
            <w:r>
              <w:rPr>
                <w:rFonts w:hint="eastAsia" w:ascii="宋体" w:hAnsi="宋体" w:cs="宋体"/>
                <w:color w:val="000000"/>
                <w:kern w:val="0"/>
                <w:sz w:val="22"/>
                <w:szCs w:val="22"/>
                <w:lang w:val="en-US" w:eastAsia="zh-CN"/>
              </w:rPr>
              <w:t>88.89</w:t>
            </w:r>
            <w:r>
              <w:rPr>
                <w:rFonts w:ascii="宋体" w:hAnsi="宋体" w:cs="宋体"/>
                <w:color w:val="000000"/>
                <w:kern w:val="0"/>
                <w:sz w:val="22"/>
                <w:szCs w:val="22"/>
              </w:rPr>
              <w:t>%</w:t>
            </w:r>
          </w:p>
        </w:tc>
        <w:tc>
          <w:tcPr>
            <w:tcW w:w="600" w:type="pct"/>
            <w:gridSpan w:val="3"/>
            <w:tcBorders>
              <w:top w:val="single" w:color="FFFFFF" w:sz="8" w:space="0"/>
              <w:left w:val="single" w:color="FFFFFF" w:sz="8" w:space="0"/>
              <w:bottom w:val="single" w:color="FFFFFF" w:sz="8" w:space="0"/>
              <w:right w:val="single" w:color="FFFFFF" w:sz="8" w:space="0"/>
            </w:tcBorders>
            <w:shd w:val="clear" w:color="auto" w:fill="D0D8E8"/>
            <w:noWrap/>
            <w:vAlign w:val="center"/>
          </w:tcPr>
          <w:p>
            <w:pPr>
              <w:widowControl/>
              <w:jc w:val="center"/>
              <w:rPr>
                <w:rFonts w:ascii="宋体" w:hAnsi="宋体" w:cs="宋体"/>
                <w:b/>
                <w:color w:val="000000"/>
                <w:kern w:val="0"/>
                <w:sz w:val="22"/>
                <w:szCs w:val="22"/>
              </w:rPr>
            </w:pPr>
            <w:r>
              <w:rPr>
                <w:rFonts w:hint="eastAsia" w:ascii="宋体" w:hAnsi="宋体" w:cs="宋体"/>
                <w:b/>
                <w:color w:val="000000"/>
                <w:kern w:val="0"/>
                <w:sz w:val="22"/>
                <w:szCs w:val="22"/>
                <w:lang w:val="en-US" w:eastAsia="zh-CN"/>
              </w:rPr>
              <w:t>98.15</w:t>
            </w:r>
            <w:r>
              <w:rPr>
                <w:rFonts w:ascii="宋体" w:hAnsi="宋体" w:cs="宋体"/>
                <w:b/>
                <w:color w:val="000000"/>
                <w:kern w:val="0"/>
                <w:sz w:val="22"/>
                <w:szCs w:val="22"/>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38" w:type="pct"/>
            <w:tcBorders>
              <w:top w:val="single" w:color="FFFFFF" w:sz="8" w:space="0"/>
              <w:left w:val="single" w:color="FFFFFF" w:sz="8" w:space="0"/>
              <w:bottom w:val="single" w:color="FFFFFF" w:sz="8" w:space="0"/>
              <w:right w:val="single" w:color="FFFFFF" w:sz="8" w:space="0"/>
            </w:tcBorders>
            <w:shd w:val="clear" w:color="auto" w:fill="E9EDF4"/>
            <w:noWrap/>
            <w:vAlign w:val="center"/>
          </w:tcPr>
          <w:p>
            <w:pPr>
              <w:widowControl/>
              <w:jc w:val="center"/>
              <w:rPr>
                <w:rFonts w:ascii="宋体" w:hAnsi="宋体" w:cs="宋体"/>
                <w:b/>
                <w:bCs/>
                <w:color w:val="000000"/>
                <w:kern w:val="0"/>
                <w:sz w:val="22"/>
                <w:szCs w:val="22"/>
              </w:rPr>
            </w:pPr>
            <w:r>
              <w:rPr>
                <w:rFonts w:hint="eastAsia" w:ascii="宋体" w:hAnsi="宋体" w:cs="宋体"/>
                <w:b/>
                <w:bCs/>
                <w:color w:val="000000"/>
                <w:kern w:val="0"/>
                <w:sz w:val="22"/>
                <w:szCs w:val="22"/>
              </w:rPr>
              <w:t>总计</w:t>
            </w:r>
          </w:p>
        </w:tc>
        <w:tc>
          <w:tcPr>
            <w:tcW w:w="513" w:type="pct"/>
            <w:gridSpan w:val="2"/>
            <w:tcBorders>
              <w:top w:val="single" w:color="FFFFFF" w:sz="8" w:space="0"/>
              <w:left w:val="single" w:color="FFFFFF" w:sz="8" w:space="0"/>
              <w:bottom w:val="single" w:color="FFFFFF" w:sz="8" w:space="0"/>
              <w:right w:val="single" w:color="FFFFFF" w:sz="8" w:space="0"/>
            </w:tcBorders>
            <w:shd w:val="clear" w:color="auto" w:fill="E9EDF4"/>
            <w:noWrap/>
            <w:vAlign w:val="center"/>
          </w:tcPr>
          <w:p>
            <w:pPr>
              <w:widowControl/>
              <w:jc w:val="center"/>
              <w:rPr>
                <w:rFonts w:hint="default" w:ascii="宋体" w:hAnsi="宋体" w:eastAsia="宋体" w:cs="宋体"/>
                <w:color w:val="000000"/>
                <w:kern w:val="0"/>
                <w:sz w:val="22"/>
                <w:szCs w:val="22"/>
                <w:lang w:val="en-US" w:eastAsia="zh-CN"/>
              </w:rPr>
            </w:pPr>
            <w:r>
              <w:rPr>
                <w:rFonts w:hint="eastAsia" w:ascii="宋体" w:hAnsi="宋体" w:cs="宋体"/>
                <w:color w:val="000000"/>
                <w:kern w:val="0"/>
                <w:sz w:val="22"/>
                <w:szCs w:val="22"/>
                <w:lang w:val="en-US" w:eastAsia="zh-CN"/>
              </w:rPr>
              <w:t>617</w:t>
            </w:r>
          </w:p>
        </w:tc>
        <w:tc>
          <w:tcPr>
            <w:tcW w:w="967" w:type="pct"/>
            <w:tcBorders>
              <w:top w:val="single" w:color="FFFFFF" w:sz="8" w:space="0"/>
              <w:left w:val="single" w:color="FFFFFF" w:sz="8" w:space="0"/>
              <w:bottom w:val="single" w:color="FFFFFF" w:sz="8" w:space="0"/>
              <w:right w:val="single" w:color="FFFFFF" w:sz="8" w:space="0"/>
            </w:tcBorders>
            <w:shd w:val="clear" w:color="auto" w:fill="E9EDF4"/>
            <w:noWrap/>
            <w:vAlign w:val="center"/>
          </w:tcPr>
          <w:p>
            <w:pPr>
              <w:widowControl/>
              <w:jc w:val="center"/>
              <w:rPr>
                <w:rFonts w:hint="default" w:ascii="宋体" w:hAnsi="宋体" w:eastAsia="宋体" w:cs="宋体"/>
                <w:color w:val="000000"/>
                <w:kern w:val="0"/>
                <w:sz w:val="22"/>
                <w:szCs w:val="22"/>
                <w:lang w:val="en-US" w:eastAsia="zh-CN"/>
              </w:rPr>
            </w:pPr>
            <w:r>
              <w:rPr>
                <w:rFonts w:hint="eastAsia" w:ascii="宋体" w:hAnsi="宋体" w:cs="宋体"/>
                <w:color w:val="000000"/>
                <w:kern w:val="0"/>
                <w:sz w:val="22"/>
                <w:szCs w:val="22"/>
                <w:lang w:val="en-US" w:eastAsia="zh-CN"/>
              </w:rPr>
              <w:t>446</w:t>
            </w:r>
          </w:p>
        </w:tc>
        <w:tc>
          <w:tcPr>
            <w:tcW w:w="474" w:type="pct"/>
            <w:tcBorders>
              <w:top w:val="single" w:color="FFFFFF" w:sz="8" w:space="0"/>
              <w:left w:val="single" w:color="FFFFFF" w:sz="8" w:space="0"/>
              <w:bottom w:val="single" w:color="FFFFFF" w:sz="8" w:space="0"/>
              <w:right w:val="single" w:color="FFFFFF" w:sz="8" w:space="0"/>
            </w:tcBorders>
            <w:shd w:val="clear" w:color="auto" w:fill="E9EDF4"/>
            <w:noWrap/>
            <w:vAlign w:val="center"/>
          </w:tcPr>
          <w:p>
            <w:pPr>
              <w:widowControl/>
              <w:jc w:val="center"/>
              <w:rPr>
                <w:rFonts w:hint="default" w:ascii="宋体" w:hAnsi="宋体" w:eastAsia="宋体" w:cs="宋体"/>
                <w:color w:val="000000"/>
                <w:kern w:val="0"/>
                <w:sz w:val="22"/>
                <w:szCs w:val="22"/>
                <w:lang w:val="en-US" w:eastAsia="zh-CN"/>
              </w:rPr>
            </w:pPr>
            <w:r>
              <w:rPr>
                <w:rFonts w:hint="eastAsia" w:ascii="宋体" w:hAnsi="宋体" w:cs="宋体"/>
                <w:color w:val="000000"/>
                <w:kern w:val="0"/>
                <w:sz w:val="22"/>
                <w:szCs w:val="22"/>
                <w:lang w:val="en-US" w:eastAsia="zh-CN"/>
              </w:rPr>
              <w:t>49</w:t>
            </w:r>
          </w:p>
        </w:tc>
        <w:tc>
          <w:tcPr>
            <w:tcW w:w="513" w:type="pct"/>
            <w:gridSpan w:val="2"/>
            <w:tcBorders>
              <w:top w:val="single" w:color="FFFFFF" w:sz="8" w:space="0"/>
              <w:left w:val="single" w:color="FFFFFF" w:sz="8" w:space="0"/>
              <w:bottom w:val="single" w:color="FFFFFF" w:sz="8" w:space="0"/>
              <w:right w:val="single" w:color="FFFFFF" w:sz="8" w:space="0"/>
            </w:tcBorders>
            <w:shd w:val="clear" w:color="auto" w:fill="E9EDF4"/>
            <w:noWrap/>
            <w:vAlign w:val="center"/>
          </w:tcPr>
          <w:p>
            <w:pPr>
              <w:widowControl/>
              <w:jc w:val="center"/>
              <w:rPr>
                <w:rFonts w:hint="default" w:ascii="宋体" w:hAnsi="宋体" w:eastAsia="宋体" w:cs="宋体"/>
                <w:color w:val="000000"/>
                <w:kern w:val="0"/>
                <w:sz w:val="22"/>
                <w:szCs w:val="22"/>
                <w:lang w:val="en-US" w:eastAsia="zh-CN"/>
              </w:rPr>
            </w:pPr>
            <w:r>
              <w:rPr>
                <w:rFonts w:hint="eastAsia" w:ascii="宋体" w:hAnsi="宋体" w:cs="宋体"/>
                <w:color w:val="000000"/>
                <w:kern w:val="0"/>
                <w:sz w:val="22"/>
                <w:szCs w:val="22"/>
                <w:lang w:val="en-US" w:eastAsia="zh-CN"/>
              </w:rPr>
              <w:t>22</w:t>
            </w:r>
          </w:p>
        </w:tc>
        <w:tc>
          <w:tcPr>
            <w:tcW w:w="630" w:type="pct"/>
            <w:gridSpan w:val="2"/>
            <w:tcBorders>
              <w:top w:val="single" w:color="FFFFFF" w:sz="8" w:space="0"/>
              <w:left w:val="single" w:color="FFFFFF" w:sz="8" w:space="0"/>
              <w:bottom w:val="single" w:color="FFFFFF" w:sz="8" w:space="0"/>
              <w:right w:val="single" w:color="FFFFFF" w:sz="8" w:space="0"/>
            </w:tcBorders>
            <w:shd w:val="clear" w:color="auto" w:fill="E9EDF4"/>
            <w:noWrap/>
            <w:vAlign w:val="center"/>
          </w:tcPr>
          <w:p>
            <w:pPr>
              <w:widowControl/>
              <w:jc w:val="center"/>
              <w:rPr>
                <w:rFonts w:hint="default" w:ascii="宋体" w:hAnsi="宋体" w:eastAsia="宋体" w:cs="宋体"/>
                <w:color w:val="000000"/>
                <w:kern w:val="0"/>
                <w:sz w:val="22"/>
                <w:szCs w:val="22"/>
                <w:lang w:val="en-US" w:eastAsia="zh-CN"/>
              </w:rPr>
            </w:pPr>
            <w:r>
              <w:rPr>
                <w:rFonts w:hint="eastAsia" w:ascii="宋体" w:hAnsi="宋体" w:cs="宋体"/>
                <w:color w:val="000000"/>
                <w:kern w:val="0"/>
                <w:sz w:val="22"/>
                <w:szCs w:val="22"/>
                <w:lang w:val="en-US" w:eastAsia="zh-CN"/>
              </w:rPr>
              <w:t>39</w:t>
            </w:r>
          </w:p>
        </w:tc>
        <w:tc>
          <w:tcPr>
            <w:tcW w:w="560" w:type="pct"/>
            <w:gridSpan w:val="3"/>
            <w:tcBorders>
              <w:top w:val="single" w:color="FFFFFF" w:sz="8" w:space="0"/>
              <w:left w:val="single" w:color="FFFFFF" w:sz="8" w:space="0"/>
              <w:bottom w:val="single" w:color="FFFFFF" w:sz="8" w:space="0"/>
              <w:right w:val="single" w:color="FFFFFF" w:sz="8" w:space="0"/>
            </w:tcBorders>
            <w:shd w:val="clear" w:color="auto" w:fill="E9EDF4"/>
            <w:noWrap/>
            <w:vAlign w:val="center"/>
          </w:tcPr>
          <w:p>
            <w:pPr>
              <w:widowControl/>
              <w:jc w:val="center"/>
              <w:rPr>
                <w:rFonts w:ascii="宋体" w:hAnsi="宋体" w:cs="宋体"/>
                <w:color w:val="000000"/>
                <w:kern w:val="0"/>
                <w:sz w:val="22"/>
                <w:szCs w:val="22"/>
              </w:rPr>
            </w:pPr>
            <w:r>
              <w:rPr>
                <w:rFonts w:hint="eastAsia" w:ascii="宋体" w:hAnsi="宋体" w:cs="宋体"/>
                <w:color w:val="000000"/>
                <w:kern w:val="0"/>
                <w:sz w:val="22"/>
                <w:szCs w:val="22"/>
                <w:lang w:val="en-US" w:eastAsia="zh-CN"/>
              </w:rPr>
              <w:t>72.29</w:t>
            </w:r>
            <w:r>
              <w:rPr>
                <w:rFonts w:ascii="宋体" w:hAnsi="宋体" w:cs="宋体"/>
                <w:color w:val="000000"/>
                <w:kern w:val="0"/>
                <w:sz w:val="22"/>
                <w:szCs w:val="22"/>
              </w:rPr>
              <w:t>%</w:t>
            </w:r>
          </w:p>
        </w:tc>
        <w:tc>
          <w:tcPr>
            <w:tcW w:w="600" w:type="pct"/>
            <w:gridSpan w:val="3"/>
            <w:tcBorders>
              <w:top w:val="single" w:color="FFFFFF" w:sz="8" w:space="0"/>
              <w:left w:val="single" w:color="FFFFFF" w:sz="8" w:space="0"/>
              <w:bottom w:val="single" w:color="FFFFFF" w:sz="8" w:space="0"/>
              <w:right w:val="single" w:color="FFFFFF" w:sz="8" w:space="0"/>
            </w:tcBorders>
            <w:shd w:val="clear" w:color="auto" w:fill="E9EDF4"/>
            <w:noWrap/>
            <w:vAlign w:val="center"/>
          </w:tcPr>
          <w:p>
            <w:pPr>
              <w:widowControl/>
              <w:jc w:val="center"/>
              <w:rPr>
                <w:rFonts w:ascii="宋体" w:hAnsi="宋体" w:cs="宋体"/>
                <w:b/>
                <w:color w:val="000000"/>
                <w:kern w:val="0"/>
                <w:sz w:val="22"/>
                <w:szCs w:val="22"/>
              </w:rPr>
            </w:pPr>
            <w:r>
              <w:rPr>
                <w:rFonts w:hint="eastAsia" w:ascii="宋体" w:hAnsi="宋体" w:cs="宋体"/>
                <w:b/>
                <w:color w:val="000000"/>
                <w:kern w:val="0"/>
                <w:sz w:val="22"/>
                <w:szCs w:val="22"/>
              </w:rPr>
              <w:t>9</w:t>
            </w:r>
            <w:r>
              <w:rPr>
                <w:rFonts w:hint="eastAsia" w:ascii="宋体" w:hAnsi="宋体" w:cs="宋体"/>
                <w:b/>
                <w:color w:val="000000"/>
                <w:kern w:val="0"/>
                <w:sz w:val="22"/>
                <w:szCs w:val="22"/>
                <w:lang w:val="en-US" w:eastAsia="zh-CN"/>
              </w:rPr>
              <w:t>0.11</w:t>
            </w:r>
            <w:r>
              <w:rPr>
                <w:rFonts w:ascii="宋体" w:hAnsi="宋体" w:cs="宋体"/>
                <w:b/>
                <w:color w:val="000000"/>
                <w:kern w:val="0"/>
                <w:sz w:val="22"/>
                <w:szCs w:val="22"/>
              </w:rPr>
              <w:t>%</w:t>
            </w:r>
          </w:p>
        </w:tc>
      </w:tr>
    </w:tbl>
    <w:p>
      <w:pPr>
        <w:adjustRightInd w:val="0"/>
        <w:snapToGrid w:val="0"/>
        <w:spacing w:line="360" w:lineRule="auto"/>
        <w:jc w:val="right"/>
        <w:rPr>
          <w:rFonts w:hint="default" w:ascii="仿宋_GB2312" w:hAnsi="宋体" w:eastAsia="仿宋_GB2312"/>
          <w:b/>
          <w:sz w:val="24"/>
          <w:lang w:val="en-US" w:eastAsia="zh-CN"/>
        </w:rPr>
      </w:pPr>
      <w:r>
        <w:rPr>
          <w:rFonts w:hint="eastAsia" w:ascii="仿宋_GB2312" w:hAnsi="宋体" w:eastAsia="仿宋_GB2312"/>
          <w:b/>
          <w:szCs w:val="21"/>
        </w:rPr>
        <w:t>截止时间：202</w:t>
      </w:r>
      <w:r>
        <w:rPr>
          <w:rFonts w:hint="eastAsia" w:ascii="仿宋_GB2312" w:hAnsi="宋体" w:eastAsia="仿宋_GB2312"/>
          <w:b/>
          <w:szCs w:val="21"/>
          <w:lang w:val="en-US" w:eastAsia="zh-CN"/>
        </w:rPr>
        <w:t>2</w:t>
      </w:r>
      <w:r>
        <w:rPr>
          <w:rFonts w:hint="eastAsia" w:ascii="仿宋_GB2312" w:hAnsi="宋体" w:eastAsia="仿宋_GB2312"/>
          <w:b/>
          <w:szCs w:val="21"/>
        </w:rPr>
        <w:t>年</w:t>
      </w:r>
      <w:r>
        <w:rPr>
          <w:rFonts w:hint="eastAsia" w:ascii="仿宋_GB2312" w:hAnsi="宋体" w:eastAsia="仿宋_GB2312"/>
          <w:b/>
          <w:szCs w:val="21"/>
          <w:lang w:val="en-US" w:eastAsia="zh-CN"/>
        </w:rPr>
        <w:t>12</w:t>
      </w:r>
      <w:r>
        <w:rPr>
          <w:rFonts w:hint="eastAsia" w:ascii="仿宋_GB2312" w:hAnsi="宋体" w:eastAsia="仿宋_GB2312"/>
          <w:b/>
          <w:szCs w:val="21"/>
        </w:rPr>
        <w:t>月</w:t>
      </w:r>
      <w:r>
        <w:rPr>
          <w:rFonts w:hint="eastAsia" w:ascii="仿宋_GB2312" w:hAnsi="宋体" w:eastAsia="仿宋_GB2312"/>
          <w:b/>
          <w:szCs w:val="21"/>
          <w:lang w:val="en-US" w:eastAsia="zh-CN"/>
        </w:rPr>
        <w:t>16日</w:t>
      </w:r>
    </w:p>
    <w:p>
      <w:pPr>
        <w:spacing w:line="360" w:lineRule="auto"/>
        <w:ind w:firstLine="479" w:firstLineChars="199"/>
        <w:rPr>
          <w:rFonts w:hint="eastAsia" w:ascii="宋体" w:hAnsi="宋体"/>
          <w:b/>
          <w:sz w:val="24"/>
        </w:rPr>
      </w:pPr>
      <w:r>
        <w:rPr>
          <w:rFonts w:hint="eastAsia" w:ascii="宋体" w:hAnsi="宋体"/>
          <w:b/>
          <w:sz w:val="24"/>
        </w:rPr>
        <w:t>第二部分：经济与管理学院各专业就业结构分析情况</w:t>
      </w:r>
    </w:p>
    <w:p>
      <w:pPr>
        <w:spacing w:line="360" w:lineRule="auto"/>
        <w:ind w:firstLine="480" w:firstLineChars="200"/>
        <w:rPr>
          <w:rFonts w:ascii="宋体" w:hAnsi="宋体" w:cs="宋体"/>
          <w:color w:val="000000"/>
          <w:sz w:val="24"/>
          <w:highlight w:val="yellow"/>
        </w:rPr>
      </w:pPr>
      <w:r>
        <w:rPr>
          <w:rFonts w:hint="eastAsia" w:ascii="宋体" w:hAnsi="宋体" w:cs="宋体"/>
          <w:color w:val="000000"/>
          <w:sz w:val="24"/>
        </w:rPr>
        <w:t>经济与管理学院202</w:t>
      </w:r>
      <w:r>
        <w:rPr>
          <w:rFonts w:hint="eastAsia" w:ascii="宋体" w:hAnsi="宋体" w:cs="宋体"/>
          <w:color w:val="000000"/>
          <w:sz w:val="24"/>
          <w:lang w:val="en-US" w:eastAsia="zh-CN"/>
        </w:rPr>
        <w:t>2</w:t>
      </w:r>
      <w:r>
        <w:rPr>
          <w:rFonts w:hint="eastAsia" w:ascii="宋体" w:hAnsi="宋体" w:cs="宋体"/>
          <w:color w:val="000000"/>
          <w:sz w:val="24"/>
        </w:rPr>
        <w:t>届毕业人数</w:t>
      </w:r>
      <w:r>
        <w:rPr>
          <w:rFonts w:hint="eastAsia" w:ascii="宋体" w:hAnsi="宋体" w:cs="宋体"/>
          <w:color w:val="000000"/>
          <w:sz w:val="24"/>
          <w:lang w:val="en-US" w:eastAsia="zh-CN"/>
        </w:rPr>
        <w:t>617</w:t>
      </w:r>
      <w:r>
        <w:rPr>
          <w:rFonts w:hint="eastAsia" w:ascii="宋体" w:hAnsi="宋体" w:cs="宋体"/>
          <w:color w:val="000000"/>
          <w:sz w:val="24"/>
        </w:rPr>
        <w:t>人，</w:t>
      </w:r>
      <w:r>
        <w:rPr>
          <w:rFonts w:hint="eastAsia" w:ascii="宋体" w:hAnsi="宋体" w:cs="宋体"/>
          <w:color w:val="000000"/>
          <w:sz w:val="24"/>
          <w:highlight w:val="none"/>
        </w:rPr>
        <w:t>毕业生人数在所有二级学院中</w:t>
      </w:r>
      <w:r>
        <w:rPr>
          <w:rFonts w:hint="eastAsia" w:ascii="宋体" w:hAnsi="宋体" w:cs="宋体"/>
          <w:color w:val="000000"/>
          <w:sz w:val="24"/>
          <w:highlight w:val="none"/>
          <w:lang w:val="en-US" w:eastAsia="zh-CN"/>
        </w:rPr>
        <w:t>依旧</w:t>
      </w:r>
      <w:r>
        <w:rPr>
          <w:rFonts w:hint="eastAsia" w:ascii="宋体" w:hAnsi="宋体" w:cs="宋体"/>
          <w:color w:val="000000"/>
          <w:sz w:val="24"/>
          <w:highlight w:val="none"/>
        </w:rPr>
        <w:t>排名第一,就业体量大。常态化疫情下，就业形势</w:t>
      </w:r>
      <w:r>
        <w:rPr>
          <w:rFonts w:hint="eastAsia" w:ascii="宋体" w:hAnsi="宋体" w:cs="宋体"/>
          <w:color w:val="000000"/>
          <w:sz w:val="24"/>
          <w:highlight w:val="none"/>
          <w:lang w:val="en-US" w:eastAsia="zh-CN"/>
        </w:rPr>
        <w:t>持续</w:t>
      </w:r>
      <w:r>
        <w:rPr>
          <w:rFonts w:hint="eastAsia" w:ascii="宋体" w:hAnsi="宋体" w:cs="宋体"/>
          <w:color w:val="000000"/>
          <w:sz w:val="24"/>
          <w:highlight w:val="none"/>
        </w:rPr>
        <w:t>严峻，就业竞争更加激烈，工作压力不断增加，稳定工作便成为毕业生追捧的对象。学生考研、考公意向更加强烈，以考代就业现象成为常态。考研、考公难度不断增加，就业结构性矛盾相比以往更加突出。我院对毕业生就业情况进行统计，现对就业类型结构作出如下分析：</w:t>
      </w:r>
    </w:p>
    <w:p>
      <w:pPr>
        <w:spacing w:line="360" w:lineRule="auto"/>
        <w:ind w:firstLine="482" w:firstLineChars="200"/>
        <w:rPr>
          <w:rFonts w:hint="eastAsia" w:ascii="宋体" w:hAnsi="宋体" w:cs="宋体"/>
          <w:b/>
          <w:sz w:val="24"/>
        </w:rPr>
      </w:pPr>
      <w:r>
        <w:rPr>
          <w:rFonts w:hint="eastAsia" w:ascii="宋体" w:hAnsi="宋体" w:cs="宋体"/>
          <w:b/>
          <w:sz w:val="24"/>
        </w:rPr>
        <w:t>一、就业类型结构</w:t>
      </w:r>
    </w:p>
    <w:tbl>
      <w:tblPr>
        <w:tblStyle w:val="13"/>
        <w:tblW w:w="8445" w:type="dxa"/>
        <w:jc w:val="center"/>
        <w:tblLayout w:type="fixed"/>
        <w:tblCellMar>
          <w:top w:w="0" w:type="dxa"/>
          <w:left w:w="108" w:type="dxa"/>
          <w:bottom w:w="0" w:type="dxa"/>
          <w:right w:w="108" w:type="dxa"/>
        </w:tblCellMar>
      </w:tblPr>
      <w:tblGrid>
        <w:gridCol w:w="1380"/>
        <w:gridCol w:w="588"/>
        <w:gridCol w:w="589"/>
        <w:gridCol w:w="589"/>
        <w:gridCol w:w="589"/>
        <w:gridCol w:w="588"/>
        <w:gridCol w:w="589"/>
        <w:gridCol w:w="589"/>
        <w:gridCol w:w="589"/>
        <w:gridCol w:w="588"/>
        <w:gridCol w:w="589"/>
        <w:gridCol w:w="589"/>
        <w:gridCol w:w="589"/>
      </w:tblGrid>
      <w:tr>
        <w:tblPrEx>
          <w:tblCellMar>
            <w:top w:w="0" w:type="dxa"/>
            <w:left w:w="108" w:type="dxa"/>
            <w:bottom w:w="0" w:type="dxa"/>
            <w:right w:w="108" w:type="dxa"/>
          </w:tblCellMar>
        </w:tblPrEx>
        <w:trPr>
          <w:trHeight w:val="390" w:hRule="atLeast"/>
          <w:jc w:val="center"/>
        </w:trPr>
        <w:tc>
          <w:tcPr>
            <w:tcW w:w="1380" w:type="dxa"/>
            <w:tcBorders>
              <w:top w:val="single" w:color="FFFFFF" w:sz="8" w:space="0"/>
              <w:left w:val="single" w:color="FFFFFF" w:sz="8" w:space="0"/>
              <w:bottom w:val="single" w:color="FFFFFF" w:sz="18" w:space="0"/>
              <w:right w:val="single" w:color="FFFFFF" w:sz="8" w:space="0"/>
              <w:tl2br w:val="single" w:color="auto" w:sz="4" w:space="0"/>
            </w:tcBorders>
            <w:shd w:val="clear" w:color="auto" w:fill="4F81BD"/>
            <w:noWrap/>
            <w:vAlign w:val="center"/>
          </w:tcPr>
          <w:p>
            <w:pPr>
              <w:rPr>
                <w:rFonts w:hint="eastAsia" w:ascii="宋体" w:hAnsi="宋体" w:cs="宋体"/>
                <w:b/>
                <w:color w:val="FFFFFF"/>
                <w:sz w:val="22"/>
                <w:szCs w:val="22"/>
              </w:rPr>
            </w:pPr>
            <w:r>
              <w:rPr>
                <w:rFonts w:hint="eastAsia" w:ascii="宋体" w:hAnsi="宋体" w:cs="宋体"/>
                <w:color w:val="FFFFFF"/>
                <w:sz w:val="22"/>
                <w:szCs w:val="22"/>
              </w:rPr>
              <w:t xml:space="preserve">    </w:t>
            </w:r>
            <w:r>
              <w:rPr>
                <w:rFonts w:ascii="宋体" w:hAnsi="宋体" w:cs="宋体"/>
                <w:color w:val="FFFFFF"/>
                <w:sz w:val="22"/>
                <w:szCs w:val="22"/>
              </w:rPr>
              <w:t xml:space="preserve">  </w:t>
            </w:r>
            <w:r>
              <w:rPr>
                <w:rFonts w:hint="eastAsia" w:ascii="宋体" w:hAnsi="宋体" w:cs="宋体"/>
                <w:b/>
                <w:color w:val="FFFFFF"/>
                <w:sz w:val="22"/>
                <w:szCs w:val="22"/>
              </w:rPr>
              <w:t>结构</w:t>
            </w:r>
          </w:p>
          <w:p>
            <w:pPr>
              <w:rPr>
                <w:rFonts w:ascii="宋体" w:hAnsi="宋体" w:cs="宋体"/>
                <w:b/>
                <w:color w:val="FFFFFF"/>
                <w:sz w:val="22"/>
                <w:szCs w:val="22"/>
              </w:rPr>
            </w:pPr>
            <w:r>
              <w:rPr>
                <w:rFonts w:ascii="宋体" w:hAnsi="宋体" w:cs="宋体"/>
                <w:b/>
                <w:color w:val="FFFFFF"/>
                <w:sz w:val="22"/>
                <w:szCs w:val="22"/>
              </w:rPr>
              <w:t>专业</w:t>
            </w:r>
          </w:p>
        </w:tc>
        <w:tc>
          <w:tcPr>
            <w:tcW w:w="588" w:type="dxa"/>
            <w:tcBorders>
              <w:top w:val="single" w:color="FFFFFF" w:sz="8" w:space="0"/>
              <w:left w:val="single" w:color="FFFFFF" w:sz="8" w:space="0"/>
              <w:bottom w:val="single" w:color="FFFFFF" w:sz="18" w:space="0"/>
              <w:right w:val="single" w:color="FFFFFF" w:sz="8" w:space="0"/>
            </w:tcBorders>
            <w:shd w:val="clear" w:color="auto" w:fill="4F81BD"/>
            <w:noWrap/>
            <w:vAlign w:val="center"/>
          </w:tcPr>
          <w:p>
            <w:pPr>
              <w:jc w:val="center"/>
              <w:rPr>
                <w:rFonts w:ascii="宋体" w:hAnsi="宋体" w:cs="宋体"/>
                <w:b/>
                <w:color w:val="FFFFFF"/>
                <w:sz w:val="22"/>
                <w:szCs w:val="22"/>
              </w:rPr>
            </w:pPr>
            <w:r>
              <w:rPr>
                <w:rFonts w:hint="eastAsia"/>
                <w:b/>
                <w:color w:val="FFFFFF"/>
                <w:sz w:val="22"/>
                <w:szCs w:val="22"/>
              </w:rPr>
              <w:t>总人数</w:t>
            </w:r>
          </w:p>
        </w:tc>
        <w:tc>
          <w:tcPr>
            <w:tcW w:w="589" w:type="dxa"/>
            <w:tcBorders>
              <w:top w:val="single" w:color="FFFFFF" w:sz="8" w:space="0"/>
              <w:left w:val="single" w:color="FFFFFF" w:sz="8" w:space="0"/>
              <w:bottom w:val="single" w:color="FFFFFF" w:sz="18" w:space="0"/>
              <w:right w:val="single" w:color="FFFFFF" w:sz="8" w:space="0"/>
            </w:tcBorders>
            <w:shd w:val="clear" w:color="auto" w:fill="4F81BD"/>
            <w:noWrap/>
            <w:vAlign w:val="center"/>
          </w:tcPr>
          <w:p>
            <w:pPr>
              <w:jc w:val="center"/>
              <w:rPr>
                <w:rFonts w:ascii="宋体" w:hAnsi="宋体" w:cs="宋体"/>
                <w:b/>
                <w:color w:val="FFFFFF"/>
                <w:sz w:val="22"/>
                <w:szCs w:val="22"/>
              </w:rPr>
            </w:pPr>
            <w:r>
              <w:rPr>
                <w:rFonts w:hint="eastAsia"/>
                <w:b/>
                <w:color w:val="FFFFFF"/>
                <w:sz w:val="22"/>
                <w:szCs w:val="22"/>
              </w:rPr>
              <w:t>就业数</w:t>
            </w:r>
          </w:p>
        </w:tc>
        <w:tc>
          <w:tcPr>
            <w:tcW w:w="589" w:type="dxa"/>
            <w:tcBorders>
              <w:top w:val="single" w:color="FFFFFF" w:sz="8" w:space="0"/>
              <w:left w:val="single" w:color="FFFFFF" w:sz="8" w:space="0"/>
              <w:bottom w:val="single" w:color="FFFFFF" w:sz="18" w:space="0"/>
              <w:right w:val="single" w:color="FFFFFF" w:sz="8" w:space="0"/>
            </w:tcBorders>
            <w:shd w:val="clear" w:color="auto" w:fill="4F81BD"/>
            <w:noWrap/>
            <w:vAlign w:val="center"/>
          </w:tcPr>
          <w:p>
            <w:pPr>
              <w:jc w:val="center"/>
              <w:rPr>
                <w:rFonts w:ascii="宋体" w:hAnsi="宋体" w:cs="宋体"/>
                <w:b/>
                <w:color w:val="FFFFFF"/>
                <w:sz w:val="22"/>
                <w:szCs w:val="22"/>
              </w:rPr>
            </w:pPr>
            <w:r>
              <w:rPr>
                <w:rFonts w:hint="eastAsia"/>
                <w:b/>
                <w:color w:val="FFFFFF"/>
                <w:sz w:val="22"/>
                <w:szCs w:val="22"/>
                <w:lang w:val="en-US" w:eastAsia="zh-CN"/>
              </w:rPr>
              <w:t>国内</w:t>
            </w:r>
            <w:r>
              <w:rPr>
                <w:rFonts w:hint="eastAsia"/>
                <w:b/>
                <w:color w:val="FFFFFF"/>
                <w:sz w:val="22"/>
                <w:szCs w:val="22"/>
              </w:rPr>
              <w:t>升学</w:t>
            </w:r>
          </w:p>
        </w:tc>
        <w:tc>
          <w:tcPr>
            <w:tcW w:w="589" w:type="dxa"/>
            <w:tcBorders>
              <w:top w:val="single" w:color="FFFFFF" w:sz="8" w:space="0"/>
              <w:left w:val="single" w:color="FFFFFF" w:sz="8" w:space="0"/>
              <w:bottom w:val="single" w:color="FFFFFF" w:sz="18" w:space="0"/>
              <w:right w:val="single" w:color="FFFFFF" w:sz="8" w:space="0"/>
            </w:tcBorders>
            <w:shd w:val="clear" w:color="auto" w:fill="4F81BD"/>
            <w:noWrap/>
            <w:vAlign w:val="center"/>
          </w:tcPr>
          <w:p>
            <w:pPr>
              <w:jc w:val="center"/>
              <w:rPr>
                <w:rFonts w:hint="eastAsia"/>
                <w:b/>
                <w:color w:val="FFFFFF"/>
                <w:sz w:val="22"/>
                <w:szCs w:val="22"/>
              </w:rPr>
            </w:pPr>
            <w:r>
              <w:rPr>
                <w:rFonts w:hint="eastAsia"/>
                <w:b/>
                <w:color w:val="FFFFFF"/>
                <w:sz w:val="22"/>
                <w:szCs w:val="22"/>
              </w:rPr>
              <w:t>出国</w:t>
            </w:r>
          </w:p>
          <w:p>
            <w:pPr>
              <w:jc w:val="center"/>
              <w:rPr>
                <w:rFonts w:hint="eastAsia"/>
                <w:b/>
                <w:color w:val="FFFFFF"/>
                <w:sz w:val="22"/>
                <w:szCs w:val="22"/>
                <w:lang w:eastAsia="zh-CN"/>
              </w:rPr>
            </w:pPr>
            <w:r>
              <w:rPr>
                <w:rFonts w:hint="eastAsia"/>
                <w:b/>
                <w:color w:val="FFFFFF"/>
                <w:sz w:val="22"/>
                <w:szCs w:val="22"/>
                <w:lang w:eastAsia="zh-CN"/>
              </w:rPr>
              <w:t>、</w:t>
            </w:r>
          </w:p>
          <w:p>
            <w:pPr>
              <w:jc w:val="center"/>
              <w:rPr>
                <w:rFonts w:hint="default" w:ascii="宋体" w:hAnsi="宋体" w:eastAsia="宋体" w:cs="宋体"/>
                <w:b/>
                <w:color w:val="FFFFFF"/>
                <w:sz w:val="22"/>
                <w:szCs w:val="22"/>
                <w:lang w:val="en-US" w:eastAsia="zh-CN"/>
              </w:rPr>
            </w:pPr>
            <w:r>
              <w:rPr>
                <w:rFonts w:hint="eastAsia"/>
                <w:b/>
                <w:color w:val="FFFFFF"/>
                <w:sz w:val="22"/>
                <w:szCs w:val="22"/>
                <w:lang w:val="en-US" w:eastAsia="zh-CN"/>
              </w:rPr>
              <w:t>出境</w:t>
            </w:r>
          </w:p>
        </w:tc>
        <w:tc>
          <w:tcPr>
            <w:tcW w:w="588" w:type="dxa"/>
            <w:tcBorders>
              <w:top w:val="single" w:color="FFFFFF" w:sz="8" w:space="0"/>
              <w:left w:val="single" w:color="FFFFFF" w:sz="8" w:space="0"/>
              <w:bottom w:val="single" w:color="FFFFFF" w:sz="18" w:space="0"/>
              <w:right w:val="single" w:color="FFFFFF" w:sz="8" w:space="0"/>
            </w:tcBorders>
            <w:shd w:val="clear" w:color="auto" w:fill="4F81BD"/>
            <w:noWrap/>
            <w:vAlign w:val="center"/>
          </w:tcPr>
          <w:p>
            <w:pPr>
              <w:jc w:val="center"/>
              <w:rPr>
                <w:b/>
                <w:color w:val="FFFFFF"/>
                <w:sz w:val="22"/>
                <w:szCs w:val="22"/>
              </w:rPr>
            </w:pPr>
            <w:r>
              <w:rPr>
                <w:rFonts w:hint="eastAsia"/>
                <w:b/>
                <w:color w:val="FFFFFF"/>
                <w:sz w:val="22"/>
                <w:szCs w:val="22"/>
              </w:rPr>
              <w:t>公</w:t>
            </w:r>
          </w:p>
          <w:p>
            <w:pPr>
              <w:jc w:val="center"/>
              <w:rPr>
                <w:b/>
                <w:color w:val="FFFFFF"/>
                <w:sz w:val="22"/>
                <w:szCs w:val="22"/>
              </w:rPr>
            </w:pPr>
            <w:r>
              <w:rPr>
                <w:rFonts w:hint="eastAsia"/>
                <w:b/>
                <w:color w:val="FFFFFF"/>
                <w:sz w:val="22"/>
                <w:szCs w:val="22"/>
              </w:rPr>
              <w:t>务</w:t>
            </w:r>
          </w:p>
          <w:p>
            <w:pPr>
              <w:jc w:val="center"/>
              <w:rPr>
                <w:rFonts w:hint="eastAsia" w:ascii="宋体" w:hAnsi="宋体" w:eastAsia="宋体" w:cs="宋体"/>
                <w:b/>
                <w:color w:val="FFFFFF"/>
                <w:sz w:val="22"/>
                <w:szCs w:val="22"/>
                <w:lang w:eastAsia="zh-CN"/>
              </w:rPr>
            </w:pPr>
            <w:r>
              <w:rPr>
                <w:rFonts w:hint="eastAsia"/>
                <w:b/>
                <w:color w:val="FFFFFF"/>
                <w:sz w:val="22"/>
                <w:szCs w:val="22"/>
              </w:rPr>
              <w:t>员</w:t>
            </w:r>
            <w:r>
              <w:rPr>
                <w:rFonts w:hint="eastAsia"/>
                <w:b/>
                <w:color w:val="FFFFFF"/>
                <w:sz w:val="18"/>
                <w:szCs w:val="18"/>
                <w:lang w:eastAsia="zh-CN"/>
              </w:rPr>
              <w:t>（</w:t>
            </w:r>
            <w:r>
              <w:rPr>
                <w:rFonts w:hint="eastAsia"/>
                <w:b/>
                <w:color w:val="FFFFFF"/>
                <w:sz w:val="18"/>
                <w:szCs w:val="18"/>
                <w:lang w:val="en-US" w:eastAsia="zh-CN"/>
              </w:rPr>
              <w:t>含选调生</w:t>
            </w:r>
            <w:r>
              <w:rPr>
                <w:rFonts w:hint="eastAsia"/>
                <w:b/>
                <w:color w:val="FFFFFF"/>
                <w:sz w:val="18"/>
                <w:szCs w:val="18"/>
                <w:lang w:eastAsia="zh-CN"/>
              </w:rPr>
              <w:t>）</w:t>
            </w:r>
          </w:p>
        </w:tc>
        <w:tc>
          <w:tcPr>
            <w:tcW w:w="589" w:type="dxa"/>
            <w:tcBorders>
              <w:top w:val="single" w:color="FFFFFF" w:sz="8" w:space="0"/>
              <w:left w:val="single" w:color="FFFFFF" w:sz="8" w:space="0"/>
              <w:bottom w:val="single" w:color="FFFFFF" w:sz="18" w:space="0"/>
              <w:right w:val="single" w:color="FFFFFF" w:sz="8" w:space="0"/>
            </w:tcBorders>
            <w:shd w:val="clear" w:color="auto" w:fill="4F81BD"/>
            <w:noWrap/>
            <w:vAlign w:val="center"/>
          </w:tcPr>
          <w:p>
            <w:pPr>
              <w:jc w:val="center"/>
              <w:rPr>
                <w:b/>
                <w:color w:val="FFFFFF"/>
                <w:sz w:val="22"/>
                <w:szCs w:val="22"/>
              </w:rPr>
            </w:pPr>
            <w:r>
              <w:rPr>
                <w:rFonts w:hint="eastAsia"/>
                <w:b/>
                <w:color w:val="FFFFFF"/>
                <w:sz w:val="22"/>
                <w:szCs w:val="22"/>
              </w:rPr>
              <w:t>事</w:t>
            </w:r>
          </w:p>
          <w:p>
            <w:pPr>
              <w:jc w:val="center"/>
              <w:rPr>
                <w:b/>
                <w:color w:val="FFFFFF"/>
                <w:sz w:val="22"/>
                <w:szCs w:val="22"/>
              </w:rPr>
            </w:pPr>
            <w:r>
              <w:rPr>
                <w:rFonts w:hint="eastAsia"/>
                <w:b/>
                <w:color w:val="FFFFFF"/>
                <w:sz w:val="22"/>
                <w:szCs w:val="22"/>
              </w:rPr>
              <w:t>业</w:t>
            </w:r>
          </w:p>
          <w:p>
            <w:pPr>
              <w:jc w:val="center"/>
              <w:rPr>
                <w:b/>
                <w:color w:val="FFFFFF"/>
                <w:sz w:val="22"/>
                <w:szCs w:val="22"/>
              </w:rPr>
            </w:pPr>
            <w:r>
              <w:rPr>
                <w:rFonts w:hint="eastAsia"/>
                <w:b/>
                <w:color w:val="FFFFFF"/>
                <w:sz w:val="22"/>
                <w:szCs w:val="22"/>
              </w:rPr>
              <w:t>单</w:t>
            </w:r>
          </w:p>
          <w:p>
            <w:pPr>
              <w:jc w:val="center"/>
              <w:rPr>
                <w:rFonts w:ascii="宋体" w:hAnsi="宋体" w:cs="宋体"/>
                <w:b/>
                <w:color w:val="FFFFFF"/>
                <w:sz w:val="22"/>
                <w:szCs w:val="22"/>
              </w:rPr>
            </w:pPr>
            <w:r>
              <w:rPr>
                <w:rFonts w:hint="eastAsia"/>
                <w:b/>
                <w:color w:val="FFFFFF"/>
                <w:sz w:val="22"/>
                <w:szCs w:val="22"/>
              </w:rPr>
              <w:t>位</w:t>
            </w:r>
          </w:p>
        </w:tc>
        <w:tc>
          <w:tcPr>
            <w:tcW w:w="589" w:type="dxa"/>
            <w:tcBorders>
              <w:top w:val="single" w:color="FFFFFF" w:sz="8" w:space="0"/>
              <w:left w:val="single" w:color="FFFFFF" w:sz="8" w:space="0"/>
              <w:bottom w:val="single" w:color="FFFFFF" w:sz="18" w:space="0"/>
              <w:right w:val="single" w:color="FFFFFF" w:sz="8" w:space="0"/>
            </w:tcBorders>
            <w:shd w:val="clear" w:color="auto" w:fill="4F81BD"/>
            <w:noWrap/>
            <w:vAlign w:val="center"/>
          </w:tcPr>
          <w:p>
            <w:pPr>
              <w:jc w:val="center"/>
              <w:rPr>
                <w:rFonts w:hint="default" w:ascii="宋体" w:hAnsi="宋体" w:eastAsia="宋体" w:cs="宋体"/>
                <w:b/>
                <w:color w:val="FFFFFF"/>
                <w:sz w:val="22"/>
                <w:szCs w:val="22"/>
                <w:lang w:val="en-US" w:eastAsia="zh-CN"/>
              </w:rPr>
            </w:pPr>
            <w:r>
              <w:rPr>
                <w:rFonts w:hint="eastAsia" w:ascii="宋体" w:hAnsi="宋体" w:cs="宋体"/>
                <w:b/>
                <w:color w:val="FFFFFF"/>
                <w:sz w:val="22"/>
                <w:szCs w:val="22"/>
                <w:lang w:val="en-US" w:eastAsia="zh-CN"/>
              </w:rPr>
              <w:t>基层项目</w:t>
            </w:r>
          </w:p>
        </w:tc>
        <w:tc>
          <w:tcPr>
            <w:tcW w:w="589" w:type="dxa"/>
            <w:tcBorders>
              <w:top w:val="single" w:color="FFFFFF" w:sz="8" w:space="0"/>
              <w:left w:val="single" w:color="FFFFFF" w:sz="8" w:space="0"/>
              <w:bottom w:val="single" w:color="FFFFFF" w:sz="18" w:space="0"/>
              <w:right w:val="single" w:color="FFFFFF" w:sz="8" w:space="0"/>
            </w:tcBorders>
            <w:shd w:val="clear" w:color="auto" w:fill="4F81BD"/>
            <w:noWrap/>
            <w:vAlign w:val="center"/>
          </w:tcPr>
          <w:p>
            <w:pPr>
              <w:jc w:val="center"/>
              <w:rPr>
                <w:rFonts w:ascii="宋体" w:hAnsi="宋体" w:cs="宋体"/>
                <w:b/>
                <w:color w:val="FFFFFF"/>
                <w:sz w:val="22"/>
                <w:szCs w:val="22"/>
              </w:rPr>
            </w:pPr>
            <w:r>
              <w:rPr>
                <w:rFonts w:hint="eastAsia"/>
                <w:b/>
                <w:color w:val="FFFFFF"/>
                <w:sz w:val="22"/>
                <w:szCs w:val="22"/>
              </w:rPr>
              <w:t>自主创业</w:t>
            </w:r>
          </w:p>
        </w:tc>
        <w:tc>
          <w:tcPr>
            <w:tcW w:w="588" w:type="dxa"/>
            <w:tcBorders>
              <w:top w:val="single" w:color="FFFFFF" w:sz="8" w:space="0"/>
              <w:left w:val="single" w:color="FFFFFF" w:sz="8" w:space="0"/>
              <w:bottom w:val="single" w:color="FFFFFF" w:sz="18" w:space="0"/>
              <w:right w:val="single" w:color="FFFFFF" w:sz="8" w:space="0"/>
            </w:tcBorders>
            <w:shd w:val="clear" w:color="auto" w:fill="4F81BD"/>
            <w:noWrap w:val="0"/>
            <w:vAlign w:val="center"/>
          </w:tcPr>
          <w:p>
            <w:pPr>
              <w:jc w:val="center"/>
              <w:rPr>
                <w:b/>
                <w:color w:val="FFFFFF"/>
                <w:sz w:val="22"/>
                <w:szCs w:val="22"/>
              </w:rPr>
            </w:pPr>
            <w:r>
              <w:rPr>
                <w:rFonts w:hint="eastAsia"/>
                <w:b/>
                <w:color w:val="FFFFFF"/>
                <w:sz w:val="22"/>
                <w:szCs w:val="22"/>
              </w:rPr>
              <w:t>当兵</w:t>
            </w:r>
          </w:p>
          <w:p>
            <w:pPr>
              <w:jc w:val="center"/>
              <w:rPr>
                <w:rFonts w:hint="eastAsia"/>
                <w:b/>
                <w:color w:val="FFFFFF"/>
                <w:sz w:val="22"/>
                <w:szCs w:val="22"/>
              </w:rPr>
            </w:pPr>
            <w:r>
              <w:rPr>
                <w:rFonts w:hint="eastAsia"/>
                <w:b/>
                <w:color w:val="FFFFFF"/>
                <w:sz w:val="22"/>
                <w:szCs w:val="22"/>
              </w:rPr>
              <w:t>入伍</w:t>
            </w:r>
          </w:p>
        </w:tc>
        <w:tc>
          <w:tcPr>
            <w:tcW w:w="589" w:type="dxa"/>
            <w:tcBorders>
              <w:top w:val="single" w:color="FFFFFF" w:sz="8" w:space="0"/>
              <w:left w:val="single" w:color="FFFFFF" w:sz="8" w:space="0"/>
              <w:bottom w:val="single" w:color="FFFFFF" w:sz="18" w:space="0"/>
              <w:right w:val="single" w:color="FFFFFF" w:sz="8" w:space="0"/>
            </w:tcBorders>
            <w:shd w:val="clear" w:color="auto" w:fill="4F81BD"/>
            <w:noWrap w:val="0"/>
            <w:vAlign w:val="center"/>
          </w:tcPr>
          <w:p>
            <w:pPr>
              <w:jc w:val="center"/>
              <w:rPr>
                <w:rFonts w:ascii="宋体" w:hAnsi="宋体" w:cs="宋体"/>
                <w:b/>
                <w:color w:val="FFFFFF"/>
                <w:sz w:val="22"/>
                <w:szCs w:val="22"/>
              </w:rPr>
            </w:pPr>
            <w:r>
              <w:rPr>
                <w:rFonts w:hint="eastAsia" w:ascii="宋体" w:hAnsi="宋体" w:cs="宋体"/>
                <w:b/>
                <w:color w:val="FFFFFF"/>
                <w:sz w:val="22"/>
                <w:szCs w:val="22"/>
              </w:rPr>
              <w:t>国企</w:t>
            </w:r>
          </w:p>
        </w:tc>
        <w:tc>
          <w:tcPr>
            <w:tcW w:w="589" w:type="dxa"/>
            <w:tcBorders>
              <w:top w:val="single" w:color="FFFFFF" w:sz="8" w:space="0"/>
              <w:left w:val="single" w:color="FFFFFF" w:sz="8" w:space="0"/>
              <w:bottom w:val="single" w:color="FFFFFF" w:sz="18" w:space="0"/>
              <w:right w:val="single" w:color="FFFFFF" w:sz="8" w:space="0"/>
            </w:tcBorders>
            <w:shd w:val="clear" w:color="auto" w:fill="4F81BD"/>
            <w:noWrap/>
            <w:vAlign w:val="center"/>
          </w:tcPr>
          <w:p>
            <w:pPr>
              <w:jc w:val="center"/>
              <w:rPr>
                <w:rFonts w:ascii="宋体" w:hAnsi="宋体" w:cs="宋体"/>
                <w:b/>
                <w:color w:val="FFFFFF"/>
                <w:sz w:val="22"/>
                <w:szCs w:val="22"/>
              </w:rPr>
            </w:pPr>
            <w:r>
              <w:rPr>
                <w:rFonts w:hint="eastAsia" w:ascii="宋体" w:hAnsi="宋体" w:cs="宋体"/>
                <w:b/>
                <w:color w:val="FFFFFF"/>
                <w:sz w:val="22"/>
                <w:szCs w:val="22"/>
              </w:rPr>
              <w:t>三资企业</w:t>
            </w:r>
          </w:p>
        </w:tc>
        <w:tc>
          <w:tcPr>
            <w:tcW w:w="589" w:type="dxa"/>
            <w:tcBorders>
              <w:top w:val="single" w:color="FFFFFF" w:sz="8" w:space="0"/>
              <w:left w:val="single" w:color="FFFFFF" w:sz="8" w:space="0"/>
              <w:bottom w:val="single" w:color="FFFFFF" w:sz="18" w:space="0"/>
              <w:right w:val="single" w:color="FFFFFF" w:sz="8" w:space="0"/>
            </w:tcBorders>
            <w:shd w:val="clear" w:color="auto" w:fill="4F81BD"/>
            <w:noWrap/>
            <w:vAlign w:val="center"/>
          </w:tcPr>
          <w:p>
            <w:pPr>
              <w:jc w:val="center"/>
              <w:rPr>
                <w:rFonts w:hint="eastAsia" w:ascii="宋体" w:hAnsi="宋体" w:cs="宋体"/>
                <w:b/>
                <w:color w:val="FFFFFF"/>
                <w:sz w:val="22"/>
                <w:szCs w:val="22"/>
              </w:rPr>
            </w:pPr>
            <w:r>
              <w:rPr>
                <w:rFonts w:hint="eastAsia" w:ascii="宋体" w:hAnsi="宋体" w:cs="宋体"/>
                <w:b/>
                <w:color w:val="FFFFFF"/>
                <w:sz w:val="22"/>
                <w:szCs w:val="22"/>
              </w:rPr>
              <w:t>其他企业</w:t>
            </w:r>
          </w:p>
          <w:p>
            <w:pPr>
              <w:jc w:val="center"/>
              <w:rPr>
                <w:rFonts w:hint="eastAsia" w:ascii="宋体" w:hAnsi="宋体" w:cs="宋体"/>
                <w:b/>
                <w:color w:val="FFFFFF"/>
                <w:sz w:val="22"/>
                <w:szCs w:val="22"/>
                <w:lang w:eastAsia="zh-CN"/>
              </w:rPr>
            </w:pPr>
            <w:r>
              <w:rPr>
                <w:rFonts w:hint="eastAsia" w:ascii="宋体" w:hAnsi="宋体" w:cs="宋体"/>
                <w:b/>
                <w:color w:val="FFFFFF"/>
                <w:sz w:val="22"/>
                <w:szCs w:val="22"/>
                <w:lang w:eastAsia="zh-CN"/>
              </w:rPr>
              <w:t>、</w:t>
            </w:r>
          </w:p>
          <w:p>
            <w:pPr>
              <w:jc w:val="center"/>
              <w:rPr>
                <w:rFonts w:hint="default" w:ascii="宋体" w:hAnsi="宋体" w:eastAsia="宋体" w:cs="宋体"/>
                <w:b/>
                <w:color w:val="FFFFFF"/>
                <w:sz w:val="22"/>
                <w:szCs w:val="22"/>
                <w:lang w:val="en-US" w:eastAsia="zh-CN"/>
              </w:rPr>
            </w:pPr>
            <w:r>
              <w:rPr>
                <w:rFonts w:hint="eastAsia" w:ascii="宋体" w:hAnsi="宋体" w:cs="宋体"/>
                <w:b/>
                <w:color w:val="FFFFFF"/>
                <w:sz w:val="22"/>
                <w:szCs w:val="22"/>
                <w:lang w:val="en-US" w:eastAsia="zh-CN"/>
              </w:rPr>
              <w:t>单位</w:t>
            </w:r>
          </w:p>
        </w:tc>
      </w:tr>
      <w:tr>
        <w:tblPrEx>
          <w:tblCellMar>
            <w:top w:w="0" w:type="dxa"/>
            <w:left w:w="108" w:type="dxa"/>
            <w:bottom w:w="0" w:type="dxa"/>
            <w:right w:w="108" w:type="dxa"/>
          </w:tblCellMar>
        </w:tblPrEx>
        <w:trPr>
          <w:trHeight w:val="560" w:hRule="atLeast"/>
          <w:jc w:val="center"/>
        </w:trPr>
        <w:tc>
          <w:tcPr>
            <w:tcW w:w="1380" w:type="dxa"/>
            <w:tcBorders>
              <w:top w:val="single" w:color="FFFFFF" w:sz="18" w:space="0"/>
              <w:left w:val="single" w:color="FFFFFF" w:sz="8" w:space="0"/>
              <w:bottom w:val="single" w:color="FFFFFF" w:sz="8" w:space="0"/>
              <w:right w:val="single" w:color="FFFFFF" w:sz="8" w:space="0"/>
            </w:tcBorders>
            <w:shd w:val="clear" w:color="auto" w:fill="D0D8E8"/>
            <w:noWrap/>
            <w:vAlign w:val="center"/>
          </w:tcPr>
          <w:p>
            <w:pPr>
              <w:spacing w:line="480" w:lineRule="auto"/>
              <w:jc w:val="center"/>
              <w:rPr>
                <w:rFonts w:ascii="宋体" w:hAnsi="宋体" w:cs="宋体"/>
                <w:b/>
                <w:color w:val="000000"/>
                <w:sz w:val="22"/>
                <w:szCs w:val="22"/>
              </w:rPr>
            </w:pPr>
            <w:r>
              <w:rPr>
                <w:rFonts w:hint="eastAsia"/>
                <w:b/>
                <w:color w:val="000000"/>
                <w:sz w:val="22"/>
                <w:szCs w:val="22"/>
              </w:rPr>
              <w:t>经济学</w:t>
            </w:r>
          </w:p>
        </w:tc>
        <w:tc>
          <w:tcPr>
            <w:tcW w:w="588" w:type="dxa"/>
            <w:tcBorders>
              <w:top w:val="single" w:color="FFFFFF" w:sz="18" w:space="0"/>
              <w:left w:val="single" w:color="FFFFFF" w:sz="8" w:space="0"/>
              <w:bottom w:val="single" w:color="FFFFFF" w:sz="8" w:space="0"/>
              <w:right w:val="single" w:color="FFFFFF" w:sz="8" w:space="0"/>
            </w:tcBorders>
            <w:shd w:val="clear" w:color="auto" w:fill="D0D8E8"/>
            <w:noWrap/>
            <w:vAlign w:val="center"/>
          </w:tcPr>
          <w:p>
            <w:pPr>
              <w:widowControl/>
              <w:jc w:val="center"/>
              <w:rPr>
                <w:rFonts w:hint="default" w:ascii="宋体" w:hAnsi="宋体" w:eastAsia="宋体" w:cs="宋体"/>
                <w:color w:val="000000"/>
                <w:kern w:val="0"/>
                <w:sz w:val="22"/>
                <w:szCs w:val="22"/>
                <w:lang w:val="en-US" w:eastAsia="zh-CN" w:bidi="ar-SA"/>
              </w:rPr>
            </w:pPr>
            <w:r>
              <w:rPr>
                <w:rFonts w:hint="eastAsia" w:ascii="宋体" w:hAnsi="宋体" w:cs="宋体"/>
                <w:color w:val="000000"/>
                <w:kern w:val="0"/>
                <w:sz w:val="22"/>
                <w:szCs w:val="22"/>
                <w:lang w:val="en-US" w:eastAsia="zh-CN"/>
              </w:rPr>
              <w:t>65</w:t>
            </w:r>
          </w:p>
        </w:tc>
        <w:tc>
          <w:tcPr>
            <w:tcW w:w="589" w:type="dxa"/>
            <w:tcBorders>
              <w:top w:val="single" w:color="FFFFFF" w:sz="18" w:space="0"/>
              <w:left w:val="single" w:color="FFFFFF" w:sz="8" w:space="0"/>
              <w:bottom w:val="single" w:color="FFFFFF" w:sz="8" w:space="0"/>
              <w:right w:val="single" w:color="FFFFFF" w:sz="8" w:space="0"/>
            </w:tcBorders>
            <w:shd w:val="clear" w:color="auto" w:fill="D0D8E8"/>
            <w:noWrap/>
            <w:vAlign w:val="center"/>
          </w:tcPr>
          <w:p>
            <w:pPr>
              <w:spacing w:line="480" w:lineRule="auto"/>
              <w:jc w:val="center"/>
              <w:rPr>
                <w:rFonts w:hint="default" w:ascii="宋体" w:hAnsi="宋体" w:eastAsia="宋体" w:cs="宋体"/>
                <w:color w:val="000000"/>
                <w:sz w:val="22"/>
                <w:szCs w:val="22"/>
                <w:lang w:val="en-US" w:eastAsia="zh-CN"/>
              </w:rPr>
            </w:pPr>
            <w:r>
              <w:rPr>
                <w:rFonts w:hint="eastAsia" w:ascii="宋体" w:hAnsi="宋体" w:cs="宋体"/>
                <w:color w:val="000000"/>
                <w:sz w:val="22"/>
                <w:szCs w:val="22"/>
                <w:lang w:val="en-US" w:eastAsia="zh-CN"/>
              </w:rPr>
              <w:t>52</w:t>
            </w:r>
          </w:p>
        </w:tc>
        <w:tc>
          <w:tcPr>
            <w:tcW w:w="589" w:type="dxa"/>
            <w:tcBorders>
              <w:top w:val="single" w:color="FFFFFF" w:sz="18" w:space="0"/>
              <w:left w:val="single" w:color="FFFFFF" w:sz="8" w:space="0"/>
              <w:bottom w:val="single" w:color="FFFFFF" w:sz="8" w:space="0"/>
              <w:right w:val="single" w:color="FFFFFF" w:sz="8" w:space="0"/>
            </w:tcBorders>
            <w:shd w:val="clear" w:color="auto" w:fill="D0D8E8"/>
            <w:noWrap/>
            <w:vAlign w:val="center"/>
          </w:tcPr>
          <w:p>
            <w:pPr>
              <w:widowControl/>
              <w:jc w:val="center"/>
              <w:rPr>
                <w:rFonts w:hint="eastAsia" w:ascii="宋体" w:hAnsi="宋体" w:eastAsia="宋体" w:cs="宋体"/>
                <w:color w:val="000000"/>
                <w:kern w:val="0"/>
                <w:sz w:val="22"/>
                <w:szCs w:val="22"/>
                <w:lang w:val="en-US" w:eastAsia="zh-CN" w:bidi="ar-SA"/>
              </w:rPr>
            </w:pPr>
            <w:r>
              <w:rPr>
                <w:rFonts w:hint="eastAsia" w:ascii="宋体" w:hAnsi="宋体" w:cs="宋体"/>
                <w:color w:val="000000"/>
                <w:kern w:val="0"/>
                <w:sz w:val="22"/>
                <w:szCs w:val="22"/>
                <w:lang w:val="en-US" w:eastAsia="zh-CN"/>
              </w:rPr>
              <w:t>2</w:t>
            </w:r>
          </w:p>
        </w:tc>
        <w:tc>
          <w:tcPr>
            <w:tcW w:w="589" w:type="dxa"/>
            <w:tcBorders>
              <w:top w:val="single" w:color="FFFFFF" w:sz="18" w:space="0"/>
              <w:left w:val="single" w:color="FFFFFF" w:sz="8" w:space="0"/>
              <w:bottom w:val="single" w:color="FFFFFF" w:sz="8" w:space="0"/>
              <w:right w:val="single" w:color="FFFFFF" w:sz="8" w:space="0"/>
            </w:tcBorders>
            <w:shd w:val="clear" w:color="auto" w:fill="D0D8E8"/>
            <w:noWrap/>
            <w:vAlign w:val="center"/>
          </w:tcPr>
          <w:p>
            <w:pPr>
              <w:widowControl/>
              <w:jc w:val="center"/>
              <w:rPr>
                <w:rFonts w:hint="eastAsia" w:ascii="宋体" w:hAnsi="宋体" w:eastAsia="宋体" w:cs="宋体"/>
                <w:color w:val="000000"/>
                <w:kern w:val="0"/>
                <w:sz w:val="22"/>
                <w:szCs w:val="22"/>
                <w:lang w:val="en-US" w:eastAsia="zh-CN" w:bidi="ar-SA"/>
              </w:rPr>
            </w:pPr>
            <w:r>
              <w:rPr>
                <w:rFonts w:hint="eastAsia" w:ascii="宋体" w:hAnsi="宋体" w:cs="宋体"/>
                <w:color w:val="000000"/>
                <w:kern w:val="0"/>
                <w:sz w:val="22"/>
                <w:szCs w:val="22"/>
                <w:lang w:val="en-US" w:eastAsia="zh-CN"/>
              </w:rPr>
              <w:t>2</w:t>
            </w:r>
          </w:p>
        </w:tc>
        <w:tc>
          <w:tcPr>
            <w:tcW w:w="588" w:type="dxa"/>
            <w:tcBorders>
              <w:top w:val="single" w:color="FFFFFF" w:sz="18" w:space="0"/>
              <w:left w:val="single" w:color="FFFFFF" w:sz="8" w:space="0"/>
              <w:bottom w:val="single" w:color="FFFFFF" w:sz="8" w:space="0"/>
              <w:right w:val="single" w:color="FFFFFF" w:sz="8" w:space="0"/>
            </w:tcBorders>
            <w:shd w:val="clear" w:color="auto" w:fill="D0D8E8"/>
            <w:noWrap/>
            <w:vAlign w:val="center"/>
          </w:tcPr>
          <w:p>
            <w:pPr>
              <w:spacing w:line="480" w:lineRule="auto"/>
              <w:jc w:val="center"/>
              <w:rPr>
                <w:rFonts w:hint="eastAsia" w:ascii="宋体" w:hAnsi="宋体" w:eastAsia="宋体" w:cs="宋体"/>
                <w:color w:val="000000"/>
                <w:sz w:val="22"/>
                <w:szCs w:val="22"/>
                <w:lang w:val="en-US" w:eastAsia="zh-CN"/>
              </w:rPr>
            </w:pPr>
            <w:r>
              <w:rPr>
                <w:rFonts w:hint="eastAsia" w:ascii="宋体" w:hAnsi="宋体" w:cs="宋体"/>
                <w:color w:val="000000"/>
                <w:sz w:val="22"/>
                <w:szCs w:val="22"/>
                <w:lang w:val="en-US" w:eastAsia="zh-CN"/>
              </w:rPr>
              <w:t>3</w:t>
            </w:r>
          </w:p>
        </w:tc>
        <w:tc>
          <w:tcPr>
            <w:tcW w:w="589" w:type="dxa"/>
            <w:tcBorders>
              <w:top w:val="single" w:color="FFFFFF" w:sz="18" w:space="0"/>
              <w:left w:val="single" w:color="FFFFFF" w:sz="8" w:space="0"/>
              <w:bottom w:val="single" w:color="FFFFFF" w:sz="8" w:space="0"/>
              <w:right w:val="single" w:color="FFFFFF" w:sz="8" w:space="0"/>
            </w:tcBorders>
            <w:shd w:val="clear" w:color="auto" w:fill="D0D8E8"/>
            <w:noWrap/>
            <w:vAlign w:val="center"/>
          </w:tcPr>
          <w:p>
            <w:pPr>
              <w:spacing w:line="480" w:lineRule="auto"/>
              <w:jc w:val="center"/>
              <w:rPr>
                <w:rFonts w:hint="eastAsia" w:ascii="宋体" w:hAnsi="宋体" w:eastAsia="宋体" w:cs="宋体"/>
                <w:color w:val="000000"/>
                <w:sz w:val="22"/>
                <w:szCs w:val="22"/>
                <w:lang w:val="en-US" w:eastAsia="zh-CN"/>
              </w:rPr>
            </w:pPr>
            <w:r>
              <w:rPr>
                <w:rFonts w:hint="eastAsia" w:ascii="宋体" w:hAnsi="宋体" w:cs="宋体"/>
                <w:color w:val="000000"/>
                <w:sz w:val="22"/>
                <w:szCs w:val="22"/>
                <w:lang w:val="en-US" w:eastAsia="zh-CN"/>
              </w:rPr>
              <w:t>0</w:t>
            </w:r>
          </w:p>
        </w:tc>
        <w:tc>
          <w:tcPr>
            <w:tcW w:w="589" w:type="dxa"/>
            <w:tcBorders>
              <w:top w:val="single" w:color="FFFFFF" w:sz="18" w:space="0"/>
              <w:left w:val="single" w:color="FFFFFF" w:sz="8" w:space="0"/>
              <w:bottom w:val="single" w:color="FFFFFF" w:sz="8" w:space="0"/>
              <w:right w:val="single" w:color="FFFFFF" w:sz="8" w:space="0"/>
            </w:tcBorders>
            <w:shd w:val="clear" w:color="auto" w:fill="D0D8E8"/>
            <w:noWrap/>
            <w:vAlign w:val="center"/>
          </w:tcPr>
          <w:p>
            <w:pPr>
              <w:spacing w:line="480" w:lineRule="auto"/>
              <w:jc w:val="center"/>
              <w:rPr>
                <w:rFonts w:hint="eastAsia" w:ascii="宋体" w:hAnsi="宋体" w:eastAsia="宋体" w:cs="宋体"/>
                <w:color w:val="000000"/>
                <w:sz w:val="22"/>
                <w:szCs w:val="22"/>
                <w:lang w:val="en-US" w:eastAsia="zh-CN"/>
              </w:rPr>
            </w:pPr>
            <w:r>
              <w:rPr>
                <w:rFonts w:hint="eastAsia" w:ascii="宋体" w:hAnsi="宋体" w:cs="宋体"/>
                <w:color w:val="000000"/>
                <w:sz w:val="22"/>
                <w:szCs w:val="22"/>
                <w:lang w:val="en-US" w:eastAsia="zh-CN"/>
              </w:rPr>
              <w:t>1</w:t>
            </w:r>
          </w:p>
        </w:tc>
        <w:tc>
          <w:tcPr>
            <w:tcW w:w="589" w:type="dxa"/>
            <w:tcBorders>
              <w:top w:val="single" w:color="FFFFFF" w:sz="18" w:space="0"/>
              <w:left w:val="single" w:color="FFFFFF" w:sz="8" w:space="0"/>
              <w:bottom w:val="single" w:color="FFFFFF" w:sz="8" w:space="0"/>
              <w:right w:val="single" w:color="FFFFFF" w:sz="8" w:space="0"/>
            </w:tcBorders>
            <w:shd w:val="clear" w:color="auto" w:fill="D0D8E8"/>
            <w:noWrap/>
            <w:vAlign w:val="center"/>
          </w:tcPr>
          <w:p>
            <w:pPr>
              <w:spacing w:line="480" w:lineRule="auto"/>
              <w:jc w:val="center"/>
              <w:rPr>
                <w:rFonts w:hint="eastAsia" w:ascii="宋体" w:hAnsi="宋体" w:eastAsia="宋体" w:cs="宋体"/>
                <w:color w:val="000000"/>
                <w:sz w:val="22"/>
                <w:szCs w:val="22"/>
                <w:lang w:val="en-US" w:eastAsia="zh-CN"/>
              </w:rPr>
            </w:pPr>
            <w:r>
              <w:rPr>
                <w:rFonts w:hint="eastAsia" w:ascii="宋体" w:hAnsi="宋体" w:cs="宋体"/>
                <w:color w:val="000000"/>
                <w:sz w:val="22"/>
                <w:szCs w:val="22"/>
                <w:lang w:val="en-US" w:eastAsia="zh-CN"/>
              </w:rPr>
              <w:t>0</w:t>
            </w:r>
          </w:p>
        </w:tc>
        <w:tc>
          <w:tcPr>
            <w:tcW w:w="588" w:type="dxa"/>
            <w:tcBorders>
              <w:top w:val="single" w:color="FFFFFF" w:sz="18" w:space="0"/>
              <w:left w:val="single" w:color="FFFFFF" w:sz="8" w:space="0"/>
              <w:bottom w:val="single" w:color="FFFFFF" w:sz="8" w:space="0"/>
              <w:right w:val="single" w:color="FFFFFF" w:sz="8" w:space="0"/>
            </w:tcBorders>
            <w:shd w:val="clear" w:color="auto" w:fill="D0D8E8"/>
            <w:noWrap w:val="0"/>
            <w:vAlign w:val="center"/>
          </w:tcPr>
          <w:p>
            <w:pPr>
              <w:spacing w:line="480" w:lineRule="auto"/>
              <w:jc w:val="center"/>
              <w:rPr>
                <w:rFonts w:hint="eastAsia" w:eastAsia="宋体"/>
                <w:color w:val="000000"/>
                <w:sz w:val="22"/>
                <w:szCs w:val="22"/>
                <w:lang w:val="en-US" w:eastAsia="zh-CN"/>
              </w:rPr>
            </w:pPr>
            <w:r>
              <w:rPr>
                <w:rFonts w:hint="eastAsia"/>
                <w:color w:val="000000"/>
                <w:sz w:val="22"/>
                <w:szCs w:val="22"/>
                <w:lang w:val="en-US" w:eastAsia="zh-CN"/>
              </w:rPr>
              <w:t>0</w:t>
            </w:r>
          </w:p>
        </w:tc>
        <w:tc>
          <w:tcPr>
            <w:tcW w:w="589" w:type="dxa"/>
            <w:tcBorders>
              <w:top w:val="single" w:color="FFFFFF" w:sz="18" w:space="0"/>
              <w:left w:val="single" w:color="FFFFFF" w:sz="8" w:space="0"/>
              <w:bottom w:val="single" w:color="FFFFFF" w:sz="8" w:space="0"/>
              <w:right w:val="single" w:color="FFFFFF" w:sz="8" w:space="0"/>
            </w:tcBorders>
            <w:shd w:val="clear" w:color="auto" w:fill="D0D8E8"/>
            <w:noWrap w:val="0"/>
            <w:vAlign w:val="center"/>
          </w:tcPr>
          <w:p>
            <w:pPr>
              <w:spacing w:line="480" w:lineRule="auto"/>
              <w:jc w:val="center"/>
              <w:rPr>
                <w:rFonts w:hint="eastAsia" w:eastAsia="宋体"/>
                <w:color w:val="000000"/>
                <w:sz w:val="22"/>
                <w:szCs w:val="22"/>
                <w:lang w:val="en-US" w:eastAsia="zh-CN"/>
              </w:rPr>
            </w:pPr>
            <w:r>
              <w:rPr>
                <w:rFonts w:hint="eastAsia"/>
                <w:color w:val="000000"/>
                <w:sz w:val="22"/>
                <w:szCs w:val="22"/>
                <w:lang w:val="en-US" w:eastAsia="zh-CN"/>
              </w:rPr>
              <w:t>8</w:t>
            </w:r>
          </w:p>
        </w:tc>
        <w:tc>
          <w:tcPr>
            <w:tcW w:w="589" w:type="dxa"/>
            <w:tcBorders>
              <w:top w:val="single" w:color="FFFFFF" w:sz="18" w:space="0"/>
              <w:left w:val="single" w:color="FFFFFF" w:sz="8" w:space="0"/>
              <w:bottom w:val="single" w:color="FFFFFF" w:sz="8" w:space="0"/>
              <w:right w:val="single" w:color="FFFFFF" w:sz="8" w:space="0"/>
            </w:tcBorders>
            <w:shd w:val="clear" w:color="auto" w:fill="D0D8E8"/>
            <w:noWrap/>
            <w:vAlign w:val="center"/>
          </w:tcPr>
          <w:p>
            <w:pPr>
              <w:spacing w:line="480" w:lineRule="auto"/>
              <w:jc w:val="center"/>
              <w:rPr>
                <w:rFonts w:hint="eastAsia" w:ascii="宋体" w:hAnsi="宋体" w:eastAsia="宋体" w:cs="宋体"/>
                <w:color w:val="000000"/>
                <w:sz w:val="22"/>
                <w:szCs w:val="22"/>
                <w:lang w:val="en-US" w:eastAsia="zh-CN"/>
              </w:rPr>
            </w:pPr>
            <w:r>
              <w:rPr>
                <w:rFonts w:hint="eastAsia" w:ascii="宋体" w:hAnsi="宋体" w:cs="宋体"/>
                <w:color w:val="000000"/>
                <w:sz w:val="22"/>
                <w:szCs w:val="22"/>
                <w:lang w:val="en-US" w:eastAsia="zh-CN"/>
              </w:rPr>
              <w:t>1</w:t>
            </w:r>
          </w:p>
        </w:tc>
        <w:tc>
          <w:tcPr>
            <w:tcW w:w="589" w:type="dxa"/>
            <w:tcBorders>
              <w:top w:val="single" w:color="FFFFFF" w:sz="18" w:space="0"/>
              <w:left w:val="single" w:color="FFFFFF" w:sz="8" w:space="0"/>
              <w:bottom w:val="single" w:color="FFFFFF" w:sz="8" w:space="0"/>
              <w:right w:val="single" w:color="FFFFFF" w:sz="8" w:space="0"/>
            </w:tcBorders>
            <w:shd w:val="clear" w:color="auto" w:fill="D0D8E8"/>
            <w:noWrap/>
            <w:vAlign w:val="center"/>
          </w:tcPr>
          <w:p>
            <w:pPr>
              <w:spacing w:line="480" w:lineRule="auto"/>
              <w:jc w:val="center"/>
              <w:rPr>
                <w:rFonts w:hint="default" w:ascii="宋体" w:hAnsi="宋体" w:eastAsia="宋体" w:cs="宋体"/>
                <w:color w:val="000000"/>
                <w:sz w:val="22"/>
                <w:szCs w:val="22"/>
                <w:lang w:val="en-US" w:eastAsia="zh-CN"/>
              </w:rPr>
            </w:pPr>
            <w:r>
              <w:rPr>
                <w:rFonts w:hint="eastAsia" w:ascii="宋体" w:hAnsi="宋体" w:cs="宋体"/>
                <w:color w:val="000000"/>
                <w:sz w:val="22"/>
                <w:szCs w:val="22"/>
                <w:lang w:val="en-US" w:eastAsia="zh-CN"/>
              </w:rPr>
              <w:t>35</w:t>
            </w:r>
          </w:p>
        </w:tc>
      </w:tr>
      <w:tr>
        <w:tblPrEx>
          <w:tblCellMar>
            <w:top w:w="0" w:type="dxa"/>
            <w:left w:w="108" w:type="dxa"/>
            <w:bottom w:w="0" w:type="dxa"/>
            <w:right w:w="108" w:type="dxa"/>
          </w:tblCellMar>
        </w:tblPrEx>
        <w:trPr>
          <w:trHeight w:val="270" w:hRule="atLeast"/>
          <w:jc w:val="center"/>
        </w:trPr>
        <w:tc>
          <w:tcPr>
            <w:tcW w:w="1380" w:type="dxa"/>
            <w:tcBorders>
              <w:top w:val="single" w:color="FFFFFF" w:sz="8" w:space="0"/>
              <w:left w:val="single" w:color="FFFFFF" w:sz="8" w:space="0"/>
              <w:bottom w:val="single" w:color="FFFFFF" w:sz="8" w:space="0"/>
              <w:right w:val="single" w:color="FFFFFF" w:sz="8" w:space="0"/>
            </w:tcBorders>
            <w:shd w:val="clear" w:color="auto" w:fill="E9EDF4"/>
            <w:noWrap/>
            <w:vAlign w:val="center"/>
          </w:tcPr>
          <w:p>
            <w:pPr>
              <w:spacing w:line="480" w:lineRule="auto"/>
              <w:jc w:val="center"/>
              <w:rPr>
                <w:rFonts w:ascii="宋体" w:hAnsi="宋体" w:cs="宋体"/>
                <w:b/>
                <w:color w:val="000000"/>
                <w:sz w:val="22"/>
                <w:szCs w:val="22"/>
              </w:rPr>
            </w:pPr>
            <w:r>
              <w:rPr>
                <w:rFonts w:hint="eastAsia"/>
                <w:b/>
                <w:color w:val="000000"/>
                <w:sz w:val="22"/>
                <w:szCs w:val="22"/>
              </w:rPr>
              <w:t>经济学3+1</w:t>
            </w:r>
          </w:p>
        </w:tc>
        <w:tc>
          <w:tcPr>
            <w:tcW w:w="588" w:type="dxa"/>
            <w:tcBorders>
              <w:top w:val="single" w:color="FFFFFF" w:sz="8" w:space="0"/>
              <w:left w:val="single" w:color="FFFFFF" w:sz="8" w:space="0"/>
              <w:bottom w:val="single" w:color="FFFFFF" w:sz="8" w:space="0"/>
              <w:right w:val="single" w:color="FFFFFF" w:sz="8" w:space="0"/>
            </w:tcBorders>
            <w:shd w:val="clear" w:color="auto" w:fill="E9EDF4"/>
            <w:noWrap/>
            <w:vAlign w:val="center"/>
          </w:tcPr>
          <w:p>
            <w:pPr>
              <w:widowControl/>
              <w:jc w:val="center"/>
              <w:rPr>
                <w:rFonts w:hint="default" w:ascii="宋体" w:hAnsi="宋体" w:eastAsia="宋体" w:cs="宋体"/>
                <w:color w:val="000000"/>
                <w:kern w:val="0"/>
                <w:sz w:val="22"/>
                <w:szCs w:val="22"/>
                <w:lang w:val="en-US" w:eastAsia="zh-CN" w:bidi="ar-SA"/>
              </w:rPr>
            </w:pPr>
            <w:r>
              <w:rPr>
                <w:rFonts w:hint="eastAsia" w:ascii="宋体" w:hAnsi="宋体" w:cs="宋体"/>
                <w:color w:val="000000"/>
                <w:kern w:val="0"/>
                <w:sz w:val="22"/>
                <w:szCs w:val="22"/>
                <w:lang w:val="en-US" w:eastAsia="zh-CN"/>
              </w:rPr>
              <w:t>32</w:t>
            </w:r>
          </w:p>
        </w:tc>
        <w:tc>
          <w:tcPr>
            <w:tcW w:w="589" w:type="dxa"/>
            <w:tcBorders>
              <w:top w:val="single" w:color="FFFFFF" w:sz="8" w:space="0"/>
              <w:left w:val="single" w:color="FFFFFF" w:sz="8" w:space="0"/>
              <w:bottom w:val="single" w:color="FFFFFF" w:sz="8" w:space="0"/>
              <w:right w:val="single" w:color="FFFFFF" w:sz="8" w:space="0"/>
            </w:tcBorders>
            <w:shd w:val="clear" w:color="auto" w:fill="E9EDF4"/>
            <w:noWrap/>
            <w:vAlign w:val="center"/>
          </w:tcPr>
          <w:p>
            <w:pPr>
              <w:spacing w:line="480" w:lineRule="auto"/>
              <w:jc w:val="center"/>
              <w:rPr>
                <w:rFonts w:hint="default" w:ascii="宋体" w:hAnsi="宋体" w:eastAsia="宋体" w:cs="宋体"/>
                <w:color w:val="000000"/>
                <w:sz w:val="22"/>
                <w:szCs w:val="22"/>
                <w:lang w:val="en-US" w:eastAsia="zh-CN"/>
              </w:rPr>
            </w:pPr>
            <w:r>
              <w:rPr>
                <w:rFonts w:hint="eastAsia" w:ascii="宋体" w:hAnsi="宋体" w:cs="宋体"/>
                <w:color w:val="000000"/>
                <w:sz w:val="22"/>
                <w:szCs w:val="22"/>
                <w:lang w:val="en-US" w:eastAsia="zh-CN"/>
              </w:rPr>
              <w:t>32</w:t>
            </w:r>
          </w:p>
        </w:tc>
        <w:tc>
          <w:tcPr>
            <w:tcW w:w="589" w:type="dxa"/>
            <w:tcBorders>
              <w:top w:val="single" w:color="FFFFFF" w:sz="8" w:space="0"/>
              <w:left w:val="single" w:color="FFFFFF" w:sz="8" w:space="0"/>
              <w:bottom w:val="single" w:color="FFFFFF" w:sz="8" w:space="0"/>
              <w:right w:val="single" w:color="FFFFFF" w:sz="8" w:space="0"/>
            </w:tcBorders>
            <w:shd w:val="clear" w:color="auto" w:fill="E9EDF4"/>
            <w:noWrap/>
            <w:vAlign w:val="center"/>
          </w:tcPr>
          <w:p>
            <w:pPr>
              <w:widowControl/>
              <w:jc w:val="center"/>
              <w:rPr>
                <w:rFonts w:ascii="宋体" w:hAnsi="宋体" w:cs="宋体"/>
                <w:color w:val="000000"/>
                <w:kern w:val="0"/>
                <w:sz w:val="22"/>
                <w:szCs w:val="22"/>
                <w:lang w:val="en-US" w:eastAsia="zh-CN" w:bidi="ar-SA"/>
              </w:rPr>
            </w:pPr>
            <w:r>
              <w:rPr>
                <w:rFonts w:hint="eastAsia" w:ascii="宋体" w:hAnsi="宋体" w:cs="宋体"/>
                <w:color w:val="000000"/>
                <w:kern w:val="0"/>
                <w:sz w:val="22"/>
                <w:szCs w:val="22"/>
              </w:rPr>
              <w:t>1</w:t>
            </w:r>
          </w:p>
        </w:tc>
        <w:tc>
          <w:tcPr>
            <w:tcW w:w="589" w:type="dxa"/>
            <w:tcBorders>
              <w:top w:val="single" w:color="FFFFFF" w:sz="8" w:space="0"/>
              <w:left w:val="single" w:color="FFFFFF" w:sz="8" w:space="0"/>
              <w:bottom w:val="single" w:color="FFFFFF" w:sz="8" w:space="0"/>
              <w:right w:val="single" w:color="FFFFFF" w:sz="8" w:space="0"/>
            </w:tcBorders>
            <w:shd w:val="clear" w:color="auto" w:fill="E9EDF4"/>
            <w:noWrap/>
            <w:vAlign w:val="center"/>
          </w:tcPr>
          <w:p>
            <w:pPr>
              <w:widowControl/>
              <w:jc w:val="center"/>
              <w:rPr>
                <w:rFonts w:hint="default" w:ascii="宋体" w:hAnsi="宋体" w:eastAsia="宋体" w:cs="宋体"/>
                <w:color w:val="000000"/>
                <w:kern w:val="0"/>
                <w:sz w:val="22"/>
                <w:szCs w:val="22"/>
                <w:lang w:val="en-US" w:eastAsia="zh-CN" w:bidi="ar-SA"/>
              </w:rPr>
            </w:pPr>
            <w:r>
              <w:rPr>
                <w:rFonts w:hint="eastAsia" w:ascii="宋体" w:hAnsi="宋体" w:cs="宋体"/>
                <w:b/>
                <w:bCs/>
                <w:color w:val="FF0000"/>
                <w:kern w:val="0"/>
                <w:sz w:val="22"/>
                <w:szCs w:val="22"/>
                <w:lang w:val="en-US" w:eastAsia="zh-CN"/>
              </w:rPr>
              <w:t>9</w:t>
            </w:r>
          </w:p>
        </w:tc>
        <w:tc>
          <w:tcPr>
            <w:tcW w:w="588" w:type="dxa"/>
            <w:tcBorders>
              <w:top w:val="single" w:color="FFFFFF" w:sz="8" w:space="0"/>
              <w:left w:val="single" w:color="FFFFFF" w:sz="8" w:space="0"/>
              <w:bottom w:val="single" w:color="FFFFFF" w:sz="8" w:space="0"/>
              <w:right w:val="single" w:color="FFFFFF" w:sz="8" w:space="0"/>
            </w:tcBorders>
            <w:shd w:val="clear" w:color="auto" w:fill="E9EDF4"/>
            <w:noWrap/>
            <w:vAlign w:val="center"/>
          </w:tcPr>
          <w:p>
            <w:pPr>
              <w:spacing w:line="480" w:lineRule="auto"/>
              <w:jc w:val="center"/>
              <w:rPr>
                <w:rFonts w:hint="eastAsia" w:ascii="宋体" w:hAnsi="宋体" w:eastAsia="宋体" w:cs="宋体"/>
                <w:color w:val="000000"/>
                <w:sz w:val="22"/>
                <w:szCs w:val="22"/>
                <w:lang w:val="en-US" w:eastAsia="zh-CN"/>
              </w:rPr>
            </w:pPr>
            <w:r>
              <w:rPr>
                <w:rFonts w:hint="eastAsia" w:ascii="宋体" w:hAnsi="宋体" w:cs="宋体"/>
                <w:color w:val="000000"/>
                <w:sz w:val="22"/>
                <w:szCs w:val="22"/>
                <w:lang w:val="en-US" w:eastAsia="zh-CN"/>
              </w:rPr>
              <w:t>1</w:t>
            </w:r>
          </w:p>
        </w:tc>
        <w:tc>
          <w:tcPr>
            <w:tcW w:w="589" w:type="dxa"/>
            <w:tcBorders>
              <w:top w:val="single" w:color="FFFFFF" w:sz="8" w:space="0"/>
              <w:left w:val="single" w:color="FFFFFF" w:sz="8" w:space="0"/>
              <w:bottom w:val="single" w:color="FFFFFF" w:sz="8" w:space="0"/>
              <w:right w:val="single" w:color="FFFFFF" w:sz="8" w:space="0"/>
            </w:tcBorders>
            <w:shd w:val="clear" w:color="auto" w:fill="E9EDF4"/>
            <w:noWrap/>
            <w:vAlign w:val="center"/>
          </w:tcPr>
          <w:p>
            <w:pPr>
              <w:spacing w:line="480" w:lineRule="auto"/>
              <w:jc w:val="center"/>
              <w:rPr>
                <w:rFonts w:hint="eastAsia" w:ascii="宋体" w:hAnsi="宋体" w:eastAsia="宋体" w:cs="宋体"/>
                <w:color w:val="000000"/>
                <w:sz w:val="22"/>
                <w:szCs w:val="22"/>
                <w:lang w:val="en-US" w:eastAsia="zh-CN"/>
              </w:rPr>
            </w:pPr>
            <w:r>
              <w:rPr>
                <w:rFonts w:hint="eastAsia" w:ascii="宋体" w:hAnsi="宋体" w:cs="宋体"/>
                <w:color w:val="000000"/>
                <w:sz w:val="22"/>
                <w:szCs w:val="22"/>
                <w:lang w:val="en-US" w:eastAsia="zh-CN"/>
              </w:rPr>
              <w:t>0</w:t>
            </w:r>
          </w:p>
        </w:tc>
        <w:tc>
          <w:tcPr>
            <w:tcW w:w="589" w:type="dxa"/>
            <w:tcBorders>
              <w:top w:val="single" w:color="FFFFFF" w:sz="8" w:space="0"/>
              <w:left w:val="single" w:color="FFFFFF" w:sz="8" w:space="0"/>
              <w:bottom w:val="single" w:color="FFFFFF" w:sz="8" w:space="0"/>
              <w:right w:val="single" w:color="FFFFFF" w:sz="8" w:space="0"/>
            </w:tcBorders>
            <w:shd w:val="clear" w:color="auto" w:fill="E9EDF4"/>
            <w:noWrap/>
            <w:vAlign w:val="center"/>
          </w:tcPr>
          <w:p>
            <w:pPr>
              <w:spacing w:line="480" w:lineRule="auto"/>
              <w:jc w:val="center"/>
              <w:rPr>
                <w:rFonts w:hint="eastAsia" w:ascii="宋体" w:hAnsi="宋体" w:eastAsia="宋体" w:cs="宋体"/>
                <w:color w:val="000000"/>
                <w:sz w:val="22"/>
                <w:szCs w:val="22"/>
                <w:lang w:val="en-US" w:eastAsia="zh-CN"/>
              </w:rPr>
            </w:pPr>
            <w:r>
              <w:rPr>
                <w:rFonts w:hint="eastAsia" w:ascii="宋体" w:hAnsi="宋体" w:cs="宋体"/>
                <w:color w:val="000000"/>
                <w:sz w:val="22"/>
                <w:szCs w:val="22"/>
                <w:lang w:val="en-US" w:eastAsia="zh-CN"/>
              </w:rPr>
              <w:t>1</w:t>
            </w:r>
          </w:p>
        </w:tc>
        <w:tc>
          <w:tcPr>
            <w:tcW w:w="589" w:type="dxa"/>
            <w:tcBorders>
              <w:top w:val="single" w:color="FFFFFF" w:sz="8" w:space="0"/>
              <w:left w:val="single" w:color="FFFFFF" w:sz="8" w:space="0"/>
              <w:bottom w:val="single" w:color="FFFFFF" w:sz="8" w:space="0"/>
              <w:right w:val="single" w:color="FFFFFF" w:sz="8" w:space="0"/>
            </w:tcBorders>
            <w:shd w:val="clear" w:color="auto" w:fill="E9EDF4"/>
            <w:noWrap/>
            <w:vAlign w:val="center"/>
          </w:tcPr>
          <w:p>
            <w:pPr>
              <w:spacing w:line="480" w:lineRule="auto"/>
              <w:jc w:val="center"/>
              <w:rPr>
                <w:rFonts w:hint="eastAsia" w:ascii="宋体" w:hAnsi="宋体" w:eastAsia="宋体" w:cs="宋体"/>
                <w:color w:val="000000"/>
                <w:sz w:val="22"/>
                <w:szCs w:val="22"/>
                <w:lang w:val="en-US" w:eastAsia="zh-CN"/>
              </w:rPr>
            </w:pPr>
            <w:r>
              <w:rPr>
                <w:rFonts w:hint="eastAsia" w:ascii="宋体" w:hAnsi="宋体" w:cs="宋体"/>
                <w:color w:val="000000"/>
                <w:sz w:val="22"/>
                <w:szCs w:val="22"/>
                <w:lang w:val="en-US" w:eastAsia="zh-CN"/>
              </w:rPr>
              <w:t>0</w:t>
            </w:r>
          </w:p>
        </w:tc>
        <w:tc>
          <w:tcPr>
            <w:tcW w:w="588" w:type="dxa"/>
            <w:tcBorders>
              <w:top w:val="single" w:color="FFFFFF" w:sz="8" w:space="0"/>
              <w:left w:val="single" w:color="FFFFFF" w:sz="8" w:space="0"/>
              <w:bottom w:val="single" w:color="FFFFFF" w:sz="8" w:space="0"/>
              <w:right w:val="single" w:color="FFFFFF" w:sz="8" w:space="0"/>
            </w:tcBorders>
            <w:shd w:val="clear" w:color="auto" w:fill="E9EDF4"/>
            <w:noWrap w:val="0"/>
            <w:vAlign w:val="center"/>
          </w:tcPr>
          <w:p>
            <w:pPr>
              <w:spacing w:line="480" w:lineRule="auto"/>
              <w:jc w:val="center"/>
              <w:rPr>
                <w:rFonts w:hint="eastAsia" w:eastAsia="宋体"/>
                <w:color w:val="000000"/>
                <w:sz w:val="22"/>
                <w:szCs w:val="22"/>
                <w:lang w:val="en-US" w:eastAsia="zh-CN"/>
              </w:rPr>
            </w:pPr>
            <w:r>
              <w:rPr>
                <w:rFonts w:hint="eastAsia"/>
                <w:color w:val="000000"/>
                <w:sz w:val="22"/>
                <w:szCs w:val="22"/>
                <w:lang w:val="en-US" w:eastAsia="zh-CN"/>
              </w:rPr>
              <w:t>0</w:t>
            </w:r>
          </w:p>
        </w:tc>
        <w:tc>
          <w:tcPr>
            <w:tcW w:w="589" w:type="dxa"/>
            <w:tcBorders>
              <w:top w:val="single" w:color="FFFFFF" w:sz="8" w:space="0"/>
              <w:left w:val="single" w:color="FFFFFF" w:sz="8" w:space="0"/>
              <w:bottom w:val="single" w:color="FFFFFF" w:sz="8" w:space="0"/>
              <w:right w:val="single" w:color="FFFFFF" w:sz="8" w:space="0"/>
            </w:tcBorders>
            <w:shd w:val="clear" w:color="auto" w:fill="E9EDF4"/>
            <w:noWrap w:val="0"/>
            <w:vAlign w:val="center"/>
          </w:tcPr>
          <w:p>
            <w:pPr>
              <w:spacing w:line="480" w:lineRule="auto"/>
              <w:jc w:val="center"/>
              <w:rPr>
                <w:rFonts w:hint="eastAsia" w:eastAsia="宋体"/>
                <w:color w:val="000000"/>
                <w:sz w:val="22"/>
                <w:szCs w:val="22"/>
                <w:lang w:val="en-US" w:eastAsia="zh-CN"/>
              </w:rPr>
            </w:pPr>
            <w:r>
              <w:rPr>
                <w:rFonts w:hint="eastAsia"/>
                <w:color w:val="000000"/>
                <w:sz w:val="22"/>
                <w:szCs w:val="22"/>
                <w:lang w:val="en-US" w:eastAsia="zh-CN"/>
              </w:rPr>
              <w:t>6</w:t>
            </w:r>
          </w:p>
        </w:tc>
        <w:tc>
          <w:tcPr>
            <w:tcW w:w="589" w:type="dxa"/>
            <w:tcBorders>
              <w:top w:val="single" w:color="FFFFFF" w:sz="8" w:space="0"/>
              <w:left w:val="single" w:color="FFFFFF" w:sz="8" w:space="0"/>
              <w:bottom w:val="single" w:color="FFFFFF" w:sz="8" w:space="0"/>
              <w:right w:val="single" w:color="FFFFFF" w:sz="8" w:space="0"/>
            </w:tcBorders>
            <w:shd w:val="clear" w:color="auto" w:fill="E9EDF4"/>
            <w:noWrap/>
            <w:vAlign w:val="center"/>
          </w:tcPr>
          <w:p>
            <w:pPr>
              <w:spacing w:line="480" w:lineRule="auto"/>
              <w:jc w:val="center"/>
              <w:rPr>
                <w:rFonts w:hint="eastAsia" w:ascii="宋体" w:hAnsi="宋体" w:eastAsia="宋体" w:cs="宋体"/>
                <w:color w:val="000000"/>
                <w:sz w:val="22"/>
                <w:szCs w:val="22"/>
                <w:lang w:val="en-US" w:eastAsia="zh-CN"/>
              </w:rPr>
            </w:pPr>
            <w:r>
              <w:rPr>
                <w:rFonts w:hint="eastAsia" w:ascii="宋体" w:hAnsi="宋体" w:cs="宋体"/>
                <w:color w:val="000000"/>
                <w:sz w:val="22"/>
                <w:szCs w:val="22"/>
                <w:lang w:val="en-US" w:eastAsia="zh-CN"/>
              </w:rPr>
              <w:t>0</w:t>
            </w:r>
          </w:p>
        </w:tc>
        <w:tc>
          <w:tcPr>
            <w:tcW w:w="589" w:type="dxa"/>
            <w:tcBorders>
              <w:top w:val="single" w:color="FFFFFF" w:sz="8" w:space="0"/>
              <w:left w:val="single" w:color="FFFFFF" w:sz="8" w:space="0"/>
              <w:bottom w:val="single" w:color="FFFFFF" w:sz="8" w:space="0"/>
              <w:right w:val="single" w:color="FFFFFF" w:sz="8" w:space="0"/>
            </w:tcBorders>
            <w:shd w:val="clear" w:color="auto" w:fill="E9EDF4"/>
            <w:noWrap/>
            <w:vAlign w:val="center"/>
          </w:tcPr>
          <w:p>
            <w:pPr>
              <w:spacing w:line="480" w:lineRule="auto"/>
              <w:jc w:val="center"/>
              <w:rPr>
                <w:rFonts w:hint="default" w:ascii="宋体" w:hAnsi="宋体" w:eastAsia="宋体" w:cs="宋体"/>
                <w:color w:val="000000"/>
                <w:sz w:val="22"/>
                <w:szCs w:val="22"/>
                <w:lang w:val="en-US" w:eastAsia="zh-CN"/>
              </w:rPr>
            </w:pPr>
            <w:r>
              <w:rPr>
                <w:rFonts w:hint="eastAsia" w:ascii="宋体" w:hAnsi="宋体" w:cs="宋体"/>
                <w:color w:val="000000"/>
                <w:sz w:val="22"/>
                <w:szCs w:val="22"/>
                <w:lang w:val="en-US" w:eastAsia="zh-CN"/>
              </w:rPr>
              <w:t>14</w:t>
            </w:r>
          </w:p>
        </w:tc>
      </w:tr>
      <w:tr>
        <w:tblPrEx>
          <w:tblCellMar>
            <w:top w:w="0" w:type="dxa"/>
            <w:left w:w="108" w:type="dxa"/>
            <w:bottom w:w="0" w:type="dxa"/>
            <w:right w:w="108" w:type="dxa"/>
          </w:tblCellMar>
        </w:tblPrEx>
        <w:trPr>
          <w:trHeight w:val="270" w:hRule="atLeast"/>
          <w:jc w:val="center"/>
        </w:trPr>
        <w:tc>
          <w:tcPr>
            <w:tcW w:w="1380" w:type="dxa"/>
            <w:tcBorders>
              <w:top w:val="single" w:color="FFFFFF" w:sz="8" w:space="0"/>
              <w:left w:val="single" w:color="FFFFFF" w:sz="8" w:space="0"/>
              <w:bottom w:val="single" w:color="FFFFFF" w:sz="8" w:space="0"/>
              <w:right w:val="single" w:color="FFFFFF" w:sz="8" w:space="0"/>
            </w:tcBorders>
            <w:shd w:val="clear" w:color="auto" w:fill="D0D8E8"/>
            <w:noWrap/>
            <w:vAlign w:val="center"/>
          </w:tcPr>
          <w:p>
            <w:pPr>
              <w:spacing w:line="480" w:lineRule="auto"/>
              <w:jc w:val="center"/>
              <w:rPr>
                <w:rFonts w:ascii="宋体" w:hAnsi="宋体" w:cs="宋体"/>
                <w:b/>
                <w:color w:val="000000"/>
                <w:sz w:val="22"/>
                <w:szCs w:val="22"/>
              </w:rPr>
            </w:pPr>
            <w:r>
              <w:rPr>
                <w:rFonts w:hint="eastAsia"/>
                <w:b/>
                <w:color w:val="000000"/>
                <w:sz w:val="22"/>
                <w:szCs w:val="22"/>
              </w:rPr>
              <w:t>金融学</w:t>
            </w:r>
          </w:p>
        </w:tc>
        <w:tc>
          <w:tcPr>
            <w:tcW w:w="588" w:type="dxa"/>
            <w:tcBorders>
              <w:top w:val="single" w:color="FFFFFF" w:sz="8" w:space="0"/>
              <w:left w:val="single" w:color="FFFFFF" w:sz="8" w:space="0"/>
              <w:bottom w:val="single" w:color="FFFFFF" w:sz="8" w:space="0"/>
              <w:right w:val="single" w:color="FFFFFF" w:sz="8" w:space="0"/>
            </w:tcBorders>
            <w:shd w:val="clear" w:color="auto" w:fill="D0D8E8"/>
            <w:noWrap/>
            <w:vAlign w:val="center"/>
          </w:tcPr>
          <w:p>
            <w:pPr>
              <w:widowControl/>
              <w:jc w:val="center"/>
              <w:rPr>
                <w:rFonts w:hint="default" w:ascii="宋体" w:hAnsi="宋体" w:eastAsia="宋体" w:cs="宋体"/>
                <w:color w:val="000000"/>
                <w:kern w:val="0"/>
                <w:sz w:val="22"/>
                <w:szCs w:val="22"/>
                <w:lang w:val="en-US" w:eastAsia="zh-CN" w:bidi="ar-SA"/>
              </w:rPr>
            </w:pPr>
            <w:r>
              <w:rPr>
                <w:rFonts w:hint="eastAsia" w:ascii="宋体" w:hAnsi="宋体" w:cs="宋体"/>
                <w:color w:val="000000"/>
                <w:kern w:val="0"/>
                <w:sz w:val="22"/>
                <w:szCs w:val="22"/>
                <w:lang w:val="en-US" w:eastAsia="zh-CN"/>
              </w:rPr>
              <w:t>123</w:t>
            </w:r>
          </w:p>
        </w:tc>
        <w:tc>
          <w:tcPr>
            <w:tcW w:w="589" w:type="dxa"/>
            <w:tcBorders>
              <w:top w:val="single" w:color="FFFFFF" w:sz="8" w:space="0"/>
              <w:left w:val="single" w:color="FFFFFF" w:sz="8" w:space="0"/>
              <w:bottom w:val="single" w:color="FFFFFF" w:sz="8" w:space="0"/>
              <w:right w:val="single" w:color="FFFFFF" w:sz="8" w:space="0"/>
            </w:tcBorders>
            <w:shd w:val="clear" w:color="auto" w:fill="D0D8E8"/>
            <w:noWrap/>
            <w:vAlign w:val="center"/>
          </w:tcPr>
          <w:p>
            <w:pPr>
              <w:spacing w:line="480" w:lineRule="auto"/>
              <w:jc w:val="center"/>
              <w:rPr>
                <w:rFonts w:hint="default" w:ascii="宋体" w:hAnsi="宋体" w:eastAsia="宋体" w:cs="宋体"/>
                <w:color w:val="000000"/>
                <w:sz w:val="22"/>
                <w:szCs w:val="22"/>
                <w:lang w:val="en-US" w:eastAsia="zh-CN"/>
              </w:rPr>
            </w:pPr>
            <w:r>
              <w:rPr>
                <w:rFonts w:hint="eastAsia" w:ascii="宋体" w:hAnsi="宋体" w:cs="宋体"/>
                <w:color w:val="000000"/>
                <w:sz w:val="22"/>
                <w:szCs w:val="22"/>
                <w:lang w:val="en-US" w:eastAsia="zh-CN"/>
              </w:rPr>
              <w:t>106</w:t>
            </w:r>
          </w:p>
        </w:tc>
        <w:tc>
          <w:tcPr>
            <w:tcW w:w="589" w:type="dxa"/>
            <w:tcBorders>
              <w:top w:val="single" w:color="FFFFFF" w:sz="8" w:space="0"/>
              <w:left w:val="single" w:color="FFFFFF" w:sz="8" w:space="0"/>
              <w:bottom w:val="single" w:color="FFFFFF" w:sz="8" w:space="0"/>
              <w:right w:val="single" w:color="FFFFFF" w:sz="8" w:space="0"/>
            </w:tcBorders>
            <w:shd w:val="clear" w:color="auto" w:fill="D0D8E8"/>
            <w:noWrap/>
            <w:vAlign w:val="center"/>
          </w:tcPr>
          <w:p>
            <w:pPr>
              <w:widowControl/>
              <w:jc w:val="center"/>
              <w:rPr>
                <w:rFonts w:hint="default" w:ascii="宋体" w:hAnsi="宋体" w:eastAsia="宋体" w:cs="宋体"/>
                <w:color w:val="000000"/>
                <w:kern w:val="0"/>
                <w:sz w:val="22"/>
                <w:szCs w:val="22"/>
                <w:lang w:val="en-US" w:eastAsia="zh-CN" w:bidi="ar-SA"/>
              </w:rPr>
            </w:pPr>
            <w:r>
              <w:rPr>
                <w:rFonts w:hint="eastAsia" w:ascii="宋体" w:hAnsi="宋体" w:cs="宋体"/>
                <w:b/>
                <w:bCs/>
                <w:color w:val="FF0000"/>
                <w:kern w:val="0"/>
                <w:sz w:val="22"/>
                <w:szCs w:val="22"/>
                <w:lang w:val="en-US" w:eastAsia="zh-CN"/>
              </w:rPr>
              <w:t>15</w:t>
            </w:r>
          </w:p>
        </w:tc>
        <w:tc>
          <w:tcPr>
            <w:tcW w:w="589" w:type="dxa"/>
            <w:tcBorders>
              <w:top w:val="single" w:color="FFFFFF" w:sz="8" w:space="0"/>
              <w:left w:val="single" w:color="FFFFFF" w:sz="8" w:space="0"/>
              <w:bottom w:val="single" w:color="FFFFFF" w:sz="8" w:space="0"/>
              <w:right w:val="single" w:color="FFFFFF" w:sz="8" w:space="0"/>
            </w:tcBorders>
            <w:shd w:val="clear" w:color="auto" w:fill="D0D8E8"/>
            <w:noWrap/>
            <w:vAlign w:val="center"/>
          </w:tcPr>
          <w:p>
            <w:pPr>
              <w:widowControl/>
              <w:jc w:val="center"/>
              <w:rPr>
                <w:rFonts w:hint="eastAsia" w:ascii="宋体" w:hAnsi="宋体" w:eastAsia="宋体" w:cs="宋体"/>
                <w:color w:val="000000"/>
                <w:kern w:val="0"/>
                <w:sz w:val="22"/>
                <w:szCs w:val="22"/>
                <w:lang w:val="en-US" w:eastAsia="zh-CN" w:bidi="ar-SA"/>
              </w:rPr>
            </w:pPr>
            <w:r>
              <w:rPr>
                <w:rFonts w:hint="eastAsia" w:ascii="宋体" w:hAnsi="宋体" w:cs="宋体"/>
                <w:color w:val="000000"/>
                <w:kern w:val="0"/>
                <w:sz w:val="22"/>
                <w:szCs w:val="22"/>
                <w:lang w:val="en-US" w:eastAsia="zh-CN"/>
              </w:rPr>
              <w:t>3</w:t>
            </w:r>
          </w:p>
        </w:tc>
        <w:tc>
          <w:tcPr>
            <w:tcW w:w="588" w:type="dxa"/>
            <w:tcBorders>
              <w:top w:val="single" w:color="FFFFFF" w:sz="8" w:space="0"/>
              <w:left w:val="single" w:color="FFFFFF" w:sz="8" w:space="0"/>
              <w:bottom w:val="single" w:color="FFFFFF" w:sz="8" w:space="0"/>
              <w:right w:val="single" w:color="FFFFFF" w:sz="8" w:space="0"/>
            </w:tcBorders>
            <w:shd w:val="clear" w:color="auto" w:fill="D0D8E8"/>
            <w:noWrap/>
            <w:vAlign w:val="center"/>
          </w:tcPr>
          <w:p>
            <w:pPr>
              <w:spacing w:line="480" w:lineRule="auto"/>
              <w:jc w:val="center"/>
              <w:rPr>
                <w:rFonts w:hint="eastAsia" w:ascii="宋体" w:hAnsi="宋体" w:eastAsia="宋体" w:cs="宋体"/>
                <w:color w:val="000000"/>
                <w:sz w:val="22"/>
                <w:szCs w:val="22"/>
                <w:lang w:val="en-US" w:eastAsia="zh-CN"/>
              </w:rPr>
            </w:pPr>
            <w:r>
              <w:rPr>
                <w:rFonts w:hint="eastAsia" w:ascii="宋体" w:hAnsi="宋体" w:cs="宋体"/>
                <w:b/>
                <w:bCs/>
                <w:color w:val="FF0000"/>
                <w:sz w:val="22"/>
                <w:szCs w:val="22"/>
                <w:lang w:val="en-US" w:eastAsia="zh-CN"/>
              </w:rPr>
              <w:t>4</w:t>
            </w:r>
          </w:p>
        </w:tc>
        <w:tc>
          <w:tcPr>
            <w:tcW w:w="589" w:type="dxa"/>
            <w:tcBorders>
              <w:top w:val="single" w:color="FFFFFF" w:sz="8" w:space="0"/>
              <w:left w:val="single" w:color="FFFFFF" w:sz="8" w:space="0"/>
              <w:bottom w:val="single" w:color="FFFFFF" w:sz="8" w:space="0"/>
              <w:right w:val="single" w:color="FFFFFF" w:sz="8" w:space="0"/>
            </w:tcBorders>
            <w:shd w:val="clear" w:color="auto" w:fill="D0D8E8"/>
            <w:noWrap/>
            <w:vAlign w:val="center"/>
          </w:tcPr>
          <w:p>
            <w:pPr>
              <w:spacing w:line="480" w:lineRule="auto"/>
              <w:jc w:val="center"/>
              <w:rPr>
                <w:rFonts w:hint="eastAsia" w:ascii="宋体" w:hAnsi="宋体" w:eastAsia="宋体" w:cs="宋体"/>
                <w:color w:val="000000"/>
                <w:sz w:val="22"/>
                <w:szCs w:val="22"/>
                <w:lang w:val="en-US" w:eastAsia="zh-CN"/>
              </w:rPr>
            </w:pPr>
            <w:r>
              <w:rPr>
                <w:rFonts w:hint="eastAsia" w:ascii="宋体" w:hAnsi="宋体" w:cs="宋体"/>
                <w:color w:val="000000"/>
                <w:sz w:val="22"/>
                <w:szCs w:val="22"/>
                <w:lang w:val="en-US" w:eastAsia="zh-CN"/>
              </w:rPr>
              <w:t>0</w:t>
            </w:r>
          </w:p>
        </w:tc>
        <w:tc>
          <w:tcPr>
            <w:tcW w:w="589" w:type="dxa"/>
            <w:tcBorders>
              <w:top w:val="single" w:color="FFFFFF" w:sz="8" w:space="0"/>
              <w:left w:val="single" w:color="FFFFFF" w:sz="8" w:space="0"/>
              <w:bottom w:val="single" w:color="FFFFFF" w:sz="8" w:space="0"/>
              <w:right w:val="single" w:color="FFFFFF" w:sz="8" w:space="0"/>
            </w:tcBorders>
            <w:shd w:val="clear" w:color="auto" w:fill="D0D8E8"/>
            <w:noWrap/>
            <w:vAlign w:val="center"/>
          </w:tcPr>
          <w:p>
            <w:pPr>
              <w:spacing w:line="480" w:lineRule="auto"/>
              <w:jc w:val="center"/>
              <w:rPr>
                <w:rFonts w:hint="eastAsia" w:ascii="宋体" w:hAnsi="宋体" w:eastAsia="宋体" w:cs="宋体"/>
                <w:color w:val="000000"/>
                <w:sz w:val="22"/>
                <w:szCs w:val="22"/>
                <w:lang w:val="en-US" w:eastAsia="zh-CN"/>
              </w:rPr>
            </w:pPr>
            <w:r>
              <w:rPr>
                <w:rFonts w:hint="eastAsia" w:ascii="宋体" w:hAnsi="宋体" w:cs="宋体"/>
                <w:color w:val="000000"/>
                <w:sz w:val="22"/>
                <w:szCs w:val="22"/>
                <w:lang w:val="en-US" w:eastAsia="zh-CN"/>
              </w:rPr>
              <w:t>1</w:t>
            </w:r>
          </w:p>
        </w:tc>
        <w:tc>
          <w:tcPr>
            <w:tcW w:w="589" w:type="dxa"/>
            <w:tcBorders>
              <w:top w:val="single" w:color="FFFFFF" w:sz="8" w:space="0"/>
              <w:left w:val="single" w:color="FFFFFF" w:sz="8" w:space="0"/>
              <w:bottom w:val="single" w:color="FFFFFF" w:sz="8" w:space="0"/>
              <w:right w:val="single" w:color="FFFFFF" w:sz="8" w:space="0"/>
            </w:tcBorders>
            <w:shd w:val="clear" w:color="auto" w:fill="D0D8E8"/>
            <w:noWrap/>
            <w:vAlign w:val="center"/>
          </w:tcPr>
          <w:p>
            <w:pPr>
              <w:spacing w:line="480" w:lineRule="auto"/>
              <w:jc w:val="center"/>
              <w:rPr>
                <w:rFonts w:hint="eastAsia" w:ascii="宋体" w:hAnsi="宋体" w:eastAsia="宋体" w:cs="宋体"/>
                <w:color w:val="000000"/>
                <w:sz w:val="22"/>
                <w:szCs w:val="22"/>
                <w:lang w:val="en-US" w:eastAsia="zh-CN"/>
              </w:rPr>
            </w:pPr>
            <w:r>
              <w:rPr>
                <w:rFonts w:hint="eastAsia" w:ascii="宋体" w:hAnsi="宋体" w:cs="宋体"/>
                <w:color w:val="000000"/>
                <w:sz w:val="22"/>
                <w:szCs w:val="22"/>
                <w:lang w:val="en-US" w:eastAsia="zh-CN"/>
              </w:rPr>
              <w:t>0</w:t>
            </w:r>
          </w:p>
        </w:tc>
        <w:tc>
          <w:tcPr>
            <w:tcW w:w="588" w:type="dxa"/>
            <w:tcBorders>
              <w:top w:val="single" w:color="FFFFFF" w:sz="8" w:space="0"/>
              <w:left w:val="single" w:color="FFFFFF" w:sz="8" w:space="0"/>
              <w:bottom w:val="single" w:color="FFFFFF" w:sz="8" w:space="0"/>
              <w:right w:val="single" w:color="FFFFFF" w:sz="8" w:space="0"/>
            </w:tcBorders>
            <w:shd w:val="clear" w:color="auto" w:fill="D0D8E8"/>
            <w:noWrap w:val="0"/>
            <w:vAlign w:val="center"/>
          </w:tcPr>
          <w:p>
            <w:pPr>
              <w:spacing w:line="480" w:lineRule="auto"/>
              <w:jc w:val="center"/>
              <w:rPr>
                <w:rFonts w:hint="eastAsia" w:eastAsia="宋体"/>
                <w:color w:val="000000"/>
                <w:sz w:val="22"/>
                <w:szCs w:val="22"/>
                <w:lang w:val="en-US" w:eastAsia="zh-CN"/>
              </w:rPr>
            </w:pPr>
            <w:r>
              <w:rPr>
                <w:rFonts w:hint="eastAsia"/>
                <w:color w:val="000000"/>
                <w:sz w:val="22"/>
                <w:szCs w:val="22"/>
                <w:lang w:val="en-US" w:eastAsia="zh-CN"/>
              </w:rPr>
              <w:t>0</w:t>
            </w:r>
          </w:p>
        </w:tc>
        <w:tc>
          <w:tcPr>
            <w:tcW w:w="589" w:type="dxa"/>
            <w:tcBorders>
              <w:top w:val="single" w:color="FFFFFF" w:sz="8" w:space="0"/>
              <w:left w:val="single" w:color="FFFFFF" w:sz="8" w:space="0"/>
              <w:bottom w:val="single" w:color="FFFFFF" w:sz="8" w:space="0"/>
              <w:right w:val="single" w:color="FFFFFF" w:sz="8" w:space="0"/>
            </w:tcBorders>
            <w:shd w:val="clear" w:color="auto" w:fill="D0D8E8"/>
            <w:noWrap w:val="0"/>
            <w:vAlign w:val="center"/>
          </w:tcPr>
          <w:p>
            <w:pPr>
              <w:spacing w:line="480" w:lineRule="auto"/>
              <w:jc w:val="center"/>
              <w:rPr>
                <w:rFonts w:hint="default" w:eastAsia="宋体"/>
                <w:color w:val="000000"/>
                <w:sz w:val="22"/>
                <w:szCs w:val="22"/>
                <w:lang w:val="en-US" w:eastAsia="zh-CN"/>
              </w:rPr>
            </w:pPr>
            <w:r>
              <w:rPr>
                <w:rFonts w:hint="eastAsia"/>
                <w:b/>
                <w:bCs/>
                <w:color w:val="FF0000"/>
                <w:sz w:val="22"/>
                <w:szCs w:val="22"/>
                <w:lang w:val="en-US" w:eastAsia="zh-CN"/>
              </w:rPr>
              <w:t>16</w:t>
            </w:r>
          </w:p>
        </w:tc>
        <w:tc>
          <w:tcPr>
            <w:tcW w:w="589" w:type="dxa"/>
            <w:tcBorders>
              <w:top w:val="single" w:color="FFFFFF" w:sz="8" w:space="0"/>
              <w:left w:val="single" w:color="FFFFFF" w:sz="8" w:space="0"/>
              <w:bottom w:val="single" w:color="FFFFFF" w:sz="8" w:space="0"/>
              <w:right w:val="single" w:color="FFFFFF" w:sz="8" w:space="0"/>
            </w:tcBorders>
            <w:shd w:val="clear" w:color="auto" w:fill="D0D8E8"/>
            <w:noWrap/>
            <w:vAlign w:val="center"/>
          </w:tcPr>
          <w:p>
            <w:pPr>
              <w:spacing w:line="480" w:lineRule="auto"/>
              <w:jc w:val="center"/>
              <w:rPr>
                <w:rFonts w:hint="eastAsia" w:ascii="宋体" w:hAnsi="宋体" w:eastAsia="宋体" w:cs="宋体"/>
                <w:color w:val="000000"/>
                <w:sz w:val="22"/>
                <w:szCs w:val="22"/>
                <w:lang w:val="en-US" w:eastAsia="zh-CN"/>
              </w:rPr>
            </w:pPr>
            <w:r>
              <w:rPr>
                <w:rFonts w:hint="eastAsia" w:ascii="宋体" w:hAnsi="宋体" w:cs="宋体"/>
                <w:color w:val="000000"/>
                <w:sz w:val="22"/>
                <w:szCs w:val="22"/>
                <w:lang w:val="en-US" w:eastAsia="zh-CN"/>
              </w:rPr>
              <w:t>1</w:t>
            </w:r>
          </w:p>
        </w:tc>
        <w:tc>
          <w:tcPr>
            <w:tcW w:w="589" w:type="dxa"/>
            <w:tcBorders>
              <w:top w:val="single" w:color="FFFFFF" w:sz="8" w:space="0"/>
              <w:left w:val="single" w:color="FFFFFF" w:sz="8" w:space="0"/>
              <w:bottom w:val="single" w:color="FFFFFF" w:sz="8" w:space="0"/>
              <w:right w:val="single" w:color="FFFFFF" w:sz="8" w:space="0"/>
            </w:tcBorders>
            <w:shd w:val="clear" w:color="auto" w:fill="D0D8E8"/>
            <w:noWrap/>
            <w:vAlign w:val="center"/>
          </w:tcPr>
          <w:p>
            <w:pPr>
              <w:spacing w:line="480" w:lineRule="auto"/>
              <w:jc w:val="center"/>
              <w:rPr>
                <w:rFonts w:hint="default" w:ascii="宋体" w:hAnsi="宋体" w:eastAsia="宋体" w:cs="宋体"/>
                <w:color w:val="000000"/>
                <w:sz w:val="22"/>
                <w:szCs w:val="22"/>
                <w:lang w:val="en-US" w:eastAsia="zh-CN"/>
              </w:rPr>
            </w:pPr>
            <w:r>
              <w:rPr>
                <w:rFonts w:hint="eastAsia" w:ascii="宋体" w:hAnsi="宋体" w:cs="宋体"/>
                <w:b/>
                <w:bCs/>
                <w:color w:val="FF0000"/>
                <w:sz w:val="22"/>
                <w:szCs w:val="22"/>
                <w:lang w:val="en-US" w:eastAsia="zh-CN"/>
              </w:rPr>
              <w:t>67</w:t>
            </w:r>
          </w:p>
        </w:tc>
      </w:tr>
      <w:tr>
        <w:tblPrEx>
          <w:tblCellMar>
            <w:top w:w="0" w:type="dxa"/>
            <w:left w:w="108" w:type="dxa"/>
            <w:bottom w:w="0" w:type="dxa"/>
            <w:right w:w="108" w:type="dxa"/>
          </w:tblCellMar>
        </w:tblPrEx>
        <w:trPr>
          <w:trHeight w:val="270" w:hRule="atLeast"/>
          <w:jc w:val="center"/>
        </w:trPr>
        <w:tc>
          <w:tcPr>
            <w:tcW w:w="1380" w:type="dxa"/>
            <w:tcBorders>
              <w:top w:val="single" w:color="FFFFFF" w:sz="8" w:space="0"/>
              <w:left w:val="single" w:color="FFFFFF" w:sz="8" w:space="0"/>
              <w:bottom w:val="single" w:color="FFFFFF" w:sz="8" w:space="0"/>
              <w:right w:val="single" w:color="FFFFFF" w:sz="8" w:space="0"/>
            </w:tcBorders>
            <w:shd w:val="clear" w:color="auto" w:fill="E9EDF4"/>
            <w:noWrap/>
            <w:vAlign w:val="center"/>
          </w:tcPr>
          <w:p>
            <w:pPr>
              <w:spacing w:line="480" w:lineRule="auto"/>
              <w:jc w:val="center"/>
              <w:rPr>
                <w:rFonts w:ascii="宋体" w:hAnsi="宋体" w:cs="宋体"/>
                <w:b/>
                <w:color w:val="000000"/>
                <w:sz w:val="16"/>
                <w:szCs w:val="16"/>
              </w:rPr>
            </w:pPr>
            <w:r>
              <w:rPr>
                <w:rFonts w:hint="eastAsia" w:ascii="宋体" w:hAnsi="宋体" w:cs="宋体"/>
                <w:b/>
                <w:color w:val="000000"/>
                <w:sz w:val="16"/>
                <w:szCs w:val="16"/>
              </w:rPr>
              <w:t>国际经济与贸易</w:t>
            </w:r>
          </w:p>
        </w:tc>
        <w:tc>
          <w:tcPr>
            <w:tcW w:w="588" w:type="dxa"/>
            <w:tcBorders>
              <w:top w:val="single" w:color="FFFFFF" w:sz="8" w:space="0"/>
              <w:left w:val="single" w:color="FFFFFF" w:sz="8" w:space="0"/>
              <w:bottom w:val="single" w:color="FFFFFF" w:sz="8" w:space="0"/>
              <w:right w:val="single" w:color="FFFFFF" w:sz="8" w:space="0"/>
            </w:tcBorders>
            <w:shd w:val="clear" w:color="auto" w:fill="E9EDF4"/>
            <w:noWrap/>
            <w:vAlign w:val="center"/>
          </w:tcPr>
          <w:p>
            <w:pPr>
              <w:widowControl/>
              <w:jc w:val="center"/>
              <w:rPr>
                <w:rFonts w:hint="default" w:ascii="宋体" w:hAnsi="宋体" w:eastAsia="宋体" w:cs="宋体"/>
                <w:color w:val="000000"/>
                <w:kern w:val="0"/>
                <w:sz w:val="22"/>
                <w:szCs w:val="22"/>
                <w:lang w:val="en-US" w:eastAsia="zh-CN" w:bidi="ar-SA"/>
              </w:rPr>
            </w:pPr>
            <w:r>
              <w:rPr>
                <w:rFonts w:hint="eastAsia" w:ascii="宋体" w:hAnsi="宋体" w:cs="宋体"/>
                <w:color w:val="000000"/>
                <w:kern w:val="0"/>
                <w:sz w:val="22"/>
                <w:szCs w:val="22"/>
                <w:lang w:val="en-US" w:eastAsia="zh-CN"/>
              </w:rPr>
              <w:t>71</w:t>
            </w:r>
          </w:p>
        </w:tc>
        <w:tc>
          <w:tcPr>
            <w:tcW w:w="589" w:type="dxa"/>
            <w:tcBorders>
              <w:top w:val="single" w:color="FFFFFF" w:sz="8" w:space="0"/>
              <w:left w:val="single" w:color="FFFFFF" w:sz="8" w:space="0"/>
              <w:bottom w:val="single" w:color="FFFFFF" w:sz="8" w:space="0"/>
              <w:right w:val="single" w:color="FFFFFF" w:sz="8" w:space="0"/>
            </w:tcBorders>
            <w:shd w:val="clear" w:color="auto" w:fill="E9EDF4"/>
            <w:noWrap/>
            <w:vAlign w:val="center"/>
          </w:tcPr>
          <w:p>
            <w:pPr>
              <w:spacing w:line="480" w:lineRule="auto"/>
              <w:jc w:val="center"/>
              <w:rPr>
                <w:rFonts w:hint="default" w:ascii="宋体" w:hAnsi="宋体" w:eastAsia="宋体" w:cs="宋体"/>
                <w:color w:val="000000"/>
                <w:sz w:val="22"/>
                <w:szCs w:val="22"/>
                <w:lang w:val="en-US" w:eastAsia="zh-CN"/>
              </w:rPr>
            </w:pPr>
            <w:r>
              <w:rPr>
                <w:rFonts w:hint="eastAsia" w:ascii="宋体" w:hAnsi="宋体" w:cs="宋体"/>
                <w:color w:val="000000"/>
                <w:sz w:val="22"/>
                <w:szCs w:val="22"/>
                <w:lang w:val="en-US" w:eastAsia="zh-CN"/>
              </w:rPr>
              <w:t>66</w:t>
            </w:r>
          </w:p>
        </w:tc>
        <w:tc>
          <w:tcPr>
            <w:tcW w:w="589" w:type="dxa"/>
            <w:tcBorders>
              <w:top w:val="single" w:color="FFFFFF" w:sz="8" w:space="0"/>
              <w:left w:val="single" w:color="FFFFFF" w:sz="8" w:space="0"/>
              <w:bottom w:val="single" w:color="FFFFFF" w:sz="8" w:space="0"/>
              <w:right w:val="single" w:color="FFFFFF" w:sz="8" w:space="0"/>
            </w:tcBorders>
            <w:shd w:val="clear" w:color="auto" w:fill="E9EDF4"/>
            <w:noWrap/>
            <w:vAlign w:val="center"/>
          </w:tcPr>
          <w:p>
            <w:pPr>
              <w:widowControl/>
              <w:jc w:val="center"/>
              <w:rPr>
                <w:rFonts w:hint="eastAsia" w:ascii="宋体" w:hAnsi="宋体" w:eastAsia="宋体" w:cs="宋体"/>
                <w:color w:val="000000"/>
                <w:kern w:val="0"/>
                <w:sz w:val="22"/>
                <w:szCs w:val="22"/>
                <w:lang w:val="en-US" w:eastAsia="zh-CN" w:bidi="ar-SA"/>
              </w:rPr>
            </w:pPr>
            <w:r>
              <w:rPr>
                <w:rFonts w:hint="eastAsia" w:ascii="宋体" w:hAnsi="宋体" w:cs="宋体"/>
                <w:color w:val="000000"/>
                <w:kern w:val="0"/>
                <w:sz w:val="22"/>
                <w:szCs w:val="22"/>
                <w:lang w:val="en-US" w:eastAsia="zh-CN"/>
              </w:rPr>
              <w:t>4</w:t>
            </w:r>
          </w:p>
        </w:tc>
        <w:tc>
          <w:tcPr>
            <w:tcW w:w="589" w:type="dxa"/>
            <w:tcBorders>
              <w:top w:val="single" w:color="FFFFFF" w:sz="8" w:space="0"/>
              <w:left w:val="single" w:color="FFFFFF" w:sz="8" w:space="0"/>
              <w:bottom w:val="single" w:color="FFFFFF" w:sz="8" w:space="0"/>
              <w:right w:val="single" w:color="FFFFFF" w:sz="8" w:space="0"/>
            </w:tcBorders>
            <w:shd w:val="clear" w:color="auto" w:fill="E9EDF4"/>
            <w:noWrap/>
            <w:vAlign w:val="center"/>
          </w:tcPr>
          <w:p>
            <w:pPr>
              <w:widowControl/>
              <w:jc w:val="center"/>
              <w:rPr>
                <w:rFonts w:ascii="宋体" w:hAnsi="宋体" w:cs="宋体"/>
                <w:color w:val="000000"/>
                <w:kern w:val="0"/>
                <w:sz w:val="22"/>
                <w:szCs w:val="22"/>
                <w:lang w:val="en-US" w:eastAsia="zh-CN" w:bidi="ar-SA"/>
              </w:rPr>
            </w:pPr>
            <w:r>
              <w:rPr>
                <w:rFonts w:hint="eastAsia" w:ascii="宋体" w:hAnsi="宋体" w:cs="宋体"/>
                <w:color w:val="000000"/>
                <w:kern w:val="0"/>
                <w:sz w:val="22"/>
                <w:szCs w:val="22"/>
              </w:rPr>
              <w:t>1</w:t>
            </w:r>
          </w:p>
        </w:tc>
        <w:tc>
          <w:tcPr>
            <w:tcW w:w="588" w:type="dxa"/>
            <w:tcBorders>
              <w:top w:val="single" w:color="FFFFFF" w:sz="8" w:space="0"/>
              <w:left w:val="single" w:color="FFFFFF" w:sz="8" w:space="0"/>
              <w:bottom w:val="single" w:color="FFFFFF" w:sz="8" w:space="0"/>
              <w:right w:val="single" w:color="FFFFFF" w:sz="8" w:space="0"/>
            </w:tcBorders>
            <w:shd w:val="clear" w:color="auto" w:fill="E9EDF4"/>
            <w:noWrap/>
            <w:vAlign w:val="center"/>
          </w:tcPr>
          <w:p>
            <w:pPr>
              <w:spacing w:line="480" w:lineRule="auto"/>
              <w:jc w:val="center"/>
              <w:rPr>
                <w:rFonts w:hint="default" w:ascii="宋体" w:hAnsi="宋体" w:eastAsia="宋体" w:cs="宋体"/>
                <w:color w:val="000000"/>
                <w:sz w:val="22"/>
                <w:szCs w:val="22"/>
                <w:lang w:val="en-US" w:eastAsia="zh-CN"/>
              </w:rPr>
            </w:pPr>
            <w:r>
              <w:rPr>
                <w:rFonts w:hint="eastAsia" w:ascii="宋体" w:hAnsi="宋体" w:cs="宋体"/>
                <w:color w:val="000000"/>
                <w:sz w:val="22"/>
                <w:szCs w:val="22"/>
                <w:lang w:val="en-US" w:eastAsia="zh-CN"/>
              </w:rPr>
              <w:t>2</w:t>
            </w:r>
          </w:p>
        </w:tc>
        <w:tc>
          <w:tcPr>
            <w:tcW w:w="589" w:type="dxa"/>
            <w:tcBorders>
              <w:top w:val="single" w:color="FFFFFF" w:sz="8" w:space="0"/>
              <w:left w:val="single" w:color="FFFFFF" w:sz="8" w:space="0"/>
              <w:bottom w:val="single" w:color="FFFFFF" w:sz="8" w:space="0"/>
              <w:right w:val="single" w:color="FFFFFF" w:sz="8" w:space="0"/>
            </w:tcBorders>
            <w:shd w:val="clear" w:color="auto" w:fill="E9EDF4"/>
            <w:noWrap/>
            <w:vAlign w:val="center"/>
          </w:tcPr>
          <w:p>
            <w:pPr>
              <w:spacing w:line="480" w:lineRule="auto"/>
              <w:jc w:val="center"/>
              <w:rPr>
                <w:rFonts w:hint="eastAsia" w:ascii="宋体" w:hAnsi="宋体" w:eastAsia="宋体" w:cs="宋体"/>
                <w:color w:val="000000"/>
                <w:sz w:val="22"/>
                <w:szCs w:val="22"/>
                <w:lang w:val="en-US" w:eastAsia="zh-CN"/>
              </w:rPr>
            </w:pPr>
            <w:r>
              <w:rPr>
                <w:rFonts w:hint="eastAsia" w:ascii="宋体" w:hAnsi="宋体" w:cs="宋体"/>
                <w:color w:val="000000"/>
                <w:sz w:val="22"/>
                <w:szCs w:val="22"/>
                <w:lang w:val="en-US" w:eastAsia="zh-CN"/>
              </w:rPr>
              <w:t>0</w:t>
            </w:r>
          </w:p>
        </w:tc>
        <w:tc>
          <w:tcPr>
            <w:tcW w:w="589" w:type="dxa"/>
            <w:tcBorders>
              <w:top w:val="single" w:color="FFFFFF" w:sz="8" w:space="0"/>
              <w:left w:val="single" w:color="FFFFFF" w:sz="8" w:space="0"/>
              <w:bottom w:val="single" w:color="FFFFFF" w:sz="8" w:space="0"/>
              <w:right w:val="single" w:color="FFFFFF" w:sz="8" w:space="0"/>
            </w:tcBorders>
            <w:shd w:val="clear" w:color="auto" w:fill="E9EDF4"/>
            <w:noWrap/>
            <w:vAlign w:val="center"/>
          </w:tcPr>
          <w:p>
            <w:pPr>
              <w:spacing w:line="480" w:lineRule="auto"/>
              <w:jc w:val="center"/>
              <w:rPr>
                <w:rFonts w:hint="eastAsia" w:ascii="宋体" w:hAnsi="宋体" w:eastAsia="宋体" w:cs="宋体"/>
                <w:color w:val="000000"/>
                <w:sz w:val="22"/>
                <w:szCs w:val="22"/>
                <w:lang w:val="en-US" w:eastAsia="zh-CN"/>
              </w:rPr>
            </w:pPr>
            <w:r>
              <w:rPr>
                <w:rFonts w:hint="eastAsia" w:ascii="宋体" w:hAnsi="宋体" w:cs="宋体"/>
                <w:color w:val="000000"/>
                <w:sz w:val="22"/>
                <w:szCs w:val="22"/>
                <w:lang w:val="en-US" w:eastAsia="zh-CN"/>
              </w:rPr>
              <w:t>1</w:t>
            </w:r>
          </w:p>
        </w:tc>
        <w:tc>
          <w:tcPr>
            <w:tcW w:w="589" w:type="dxa"/>
            <w:tcBorders>
              <w:top w:val="single" w:color="FFFFFF" w:sz="8" w:space="0"/>
              <w:left w:val="single" w:color="FFFFFF" w:sz="8" w:space="0"/>
              <w:bottom w:val="single" w:color="FFFFFF" w:sz="8" w:space="0"/>
              <w:right w:val="single" w:color="FFFFFF" w:sz="8" w:space="0"/>
            </w:tcBorders>
            <w:shd w:val="clear" w:color="auto" w:fill="E9EDF4"/>
            <w:noWrap/>
            <w:vAlign w:val="center"/>
          </w:tcPr>
          <w:p>
            <w:pPr>
              <w:spacing w:line="480" w:lineRule="auto"/>
              <w:jc w:val="center"/>
              <w:rPr>
                <w:rFonts w:hint="eastAsia" w:ascii="宋体" w:hAnsi="宋体" w:eastAsia="宋体" w:cs="宋体"/>
                <w:color w:val="000000"/>
                <w:sz w:val="22"/>
                <w:szCs w:val="22"/>
                <w:lang w:val="en-US" w:eastAsia="zh-CN"/>
              </w:rPr>
            </w:pPr>
            <w:r>
              <w:rPr>
                <w:rFonts w:hint="eastAsia" w:ascii="宋体" w:hAnsi="宋体" w:cs="宋体"/>
                <w:color w:val="000000"/>
                <w:sz w:val="22"/>
                <w:szCs w:val="22"/>
                <w:lang w:val="en-US" w:eastAsia="zh-CN"/>
              </w:rPr>
              <w:t>0</w:t>
            </w:r>
          </w:p>
        </w:tc>
        <w:tc>
          <w:tcPr>
            <w:tcW w:w="588" w:type="dxa"/>
            <w:tcBorders>
              <w:top w:val="single" w:color="FFFFFF" w:sz="8" w:space="0"/>
              <w:left w:val="single" w:color="FFFFFF" w:sz="8" w:space="0"/>
              <w:bottom w:val="single" w:color="FFFFFF" w:sz="8" w:space="0"/>
              <w:right w:val="single" w:color="FFFFFF" w:sz="8" w:space="0"/>
            </w:tcBorders>
            <w:shd w:val="clear" w:color="auto" w:fill="E9EDF4"/>
            <w:noWrap w:val="0"/>
            <w:vAlign w:val="center"/>
          </w:tcPr>
          <w:p>
            <w:pPr>
              <w:spacing w:line="480" w:lineRule="auto"/>
              <w:jc w:val="center"/>
              <w:rPr>
                <w:rFonts w:hint="eastAsia" w:eastAsia="宋体"/>
                <w:color w:val="000000"/>
                <w:sz w:val="22"/>
                <w:szCs w:val="22"/>
                <w:lang w:val="en-US" w:eastAsia="zh-CN"/>
              </w:rPr>
            </w:pPr>
            <w:r>
              <w:rPr>
                <w:rFonts w:hint="eastAsia"/>
                <w:b/>
                <w:bCs/>
                <w:color w:val="FF0000"/>
                <w:sz w:val="22"/>
                <w:szCs w:val="22"/>
                <w:lang w:val="en-US" w:eastAsia="zh-CN"/>
              </w:rPr>
              <w:t>1</w:t>
            </w:r>
          </w:p>
        </w:tc>
        <w:tc>
          <w:tcPr>
            <w:tcW w:w="589" w:type="dxa"/>
            <w:tcBorders>
              <w:top w:val="single" w:color="FFFFFF" w:sz="8" w:space="0"/>
              <w:left w:val="single" w:color="FFFFFF" w:sz="8" w:space="0"/>
              <w:bottom w:val="single" w:color="FFFFFF" w:sz="8" w:space="0"/>
              <w:right w:val="single" w:color="FFFFFF" w:sz="8" w:space="0"/>
            </w:tcBorders>
            <w:shd w:val="clear" w:color="auto" w:fill="E9EDF4"/>
            <w:noWrap w:val="0"/>
            <w:vAlign w:val="center"/>
          </w:tcPr>
          <w:p>
            <w:pPr>
              <w:spacing w:line="480" w:lineRule="auto"/>
              <w:jc w:val="center"/>
              <w:rPr>
                <w:rFonts w:hint="eastAsia" w:eastAsia="宋体"/>
                <w:color w:val="000000"/>
                <w:sz w:val="22"/>
                <w:szCs w:val="22"/>
                <w:lang w:val="en-US" w:eastAsia="zh-CN"/>
              </w:rPr>
            </w:pPr>
            <w:r>
              <w:rPr>
                <w:rFonts w:hint="eastAsia"/>
                <w:color w:val="000000"/>
                <w:sz w:val="22"/>
                <w:szCs w:val="22"/>
                <w:lang w:val="en-US" w:eastAsia="zh-CN"/>
              </w:rPr>
              <w:t>5</w:t>
            </w:r>
          </w:p>
        </w:tc>
        <w:tc>
          <w:tcPr>
            <w:tcW w:w="589" w:type="dxa"/>
            <w:tcBorders>
              <w:top w:val="single" w:color="FFFFFF" w:sz="8" w:space="0"/>
              <w:left w:val="single" w:color="FFFFFF" w:sz="8" w:space="0"/>
              <w:bottom w:val="single" w:color="FFFFFF" w:sz="8" w:space="0"/>
              <w:right w:val="single" w:color="FFFFFF" w:sz="8" w:space="0"/>
            </w:tcBorders>
            <w:shd w:val="clear" w:color="auto" w:fill="E9EDF4"/>
            <w:noWrap/>
            <w:vAlign w:val="center"/>
          </w:tcPr>
          <w:p>
            <w:pPr>
              <w:spacing w:line="480" w:lineRule="auto"/>
              <w:jc w:val="center"/>
              <w:rPr>
                <w:rFonts w:hint="eastAsia" w:ascii="宋体" w:hAnsi="宋体" w:eastAsia="宋体" w:cs="宋体"/>
                <w:color w:val="000000"/>
                <w:sz w:val="22"/>
                <w:szCs w:val="22"/>
                <w:lang w:val="en-US" w:eastAsia="zh-CN"/>
              </w:rPr>
            </w:pPr>
            <w:r>
              <w:rPr>
                <w:rFonts w:hint="eastAsia" w:ascii="宋体" w:hAnsi="宋体" w:cs="宋体"/>
                <w:color w:val="000000"/>
                <w:sz w:val="22"/>
                <w:szCs w:val="22"/>
                <w:lang w:val="en-US" w:eastAsia="zh-CN"/>
              </w:rPr>
              <w:t>4</w:t>
            </w:r>
          </w:p>
        </w:tc>
        <w:tc>
          <w:tcPr>
            <w:tcW w:w="589" w:type="dxa"/>
            <w:tcBorders>
              <w:top w:val="single" w:color="FFFFFF" w:sz="8" w:space="0"/>
              <w:left w:val="single" w:color="FFFFFF" w:sz="8" w:space="0"/>
              <w:bottom w:val="single" w:color="FFFFFF" w:sz="8" w:space="0"/>
              <w:right w:val="single" w:color="FFFFFF" w:sz="8" w:space="0"/>
            </w:tcBorders>
            <w:shd w:val="clear" w:color="auto" w:fill="E9EDF4"/>
            <w:noWrap/>
            <w:vAlign w:val="center"/>
          </w:tcPr>
          <w:p>
            <w:pPr>
              <w:spacing w:line="480" w:lineRule="auto"/>
              <w:jc w:val="center"/>
              <w:rPr>
                <w:rFonts w:hint="default" w:ascii="宋体" w:hAnsi="宋体" w:eastAsia="宋体" w:cs="宋体"/>
                <w:color w:val="000000"/>
                <w:sz w:val="22"/>
                <w:szCs w:val="22"/>
                <w:lang w:val="en-US" w:eastAsia="zh-CN"/>
              </w:rPr>
            </w:pPr>
            <w:r>
              <w:rPr>
                <w:rFonts w:hint="eastAsia" w:ascii="宋体" w:hAnsi="宋体" w:cs="宋体"/>
                <w:color w:val="000000"/>
                <w:sz w:val="22"/>
                <w:szCs w:val="22"/>
                <w:lang w:val="en-US" w:eastAsia="zh-CN"/>
              </w:rPr>
              <w:t>48</w:t>
            </w:r>
          </w:p>
        </w:tc>
      </w:tr>
      <w:tr>
        <w:tblPrEx>
          <w:tblCellMar>
            <w:top w:w="0" w:type="dxa"/>
            <w:left w:w="108" w:type="dxa"/>
            <w:bottom w:w="0" w:type="dxa"/>
            <w:right w:w="108" w:type="dxa"/>
          </w:tblCellMar>
        </w:tblPrEx>
        <w:trPr>
          <w:trHeight w:val="270" w:hRule="atLeast"/>
          <w:jc w:val="center"/>
        </w:trPr>
        <w:tc>
          <w:tcPr>
            <w:tcW w:w="1380" w:type="dxa"/>
            <w:tcBorders>
              <w:top w:val="single" w:color="FFFFFF" w:sz="8" w:space="0"/>
              <w:left w:val="single" w:color="FFFFFF" w:sz="8" w:space="0"/>
              <w:bottom w:val="single" w:color="FFFFFF" w:sz="8" w:space="0"/>
              <w:right w:val="single" w:color="FFFFFF" w:sz="8" w:space="0"/>
            </w:tcBorders>
            <w:shd w:val="clear" w:color="auto" w:fill="D0D8E8"/>
            <w:noWrap/>
            <w:vAlign w:val="center"/>
          </w:tcPr>
          <w:p>
            <w:pPr>
              <w:spacing w:line="480" w:lineRule="auto"/>
              <w:jc w:val="center"/>
              <w:rPr>
                <w:rFonts w:hint="default" w:eastAsia="宋体"/>
                <w:b/>
                <w:color w:val="000000"/>
                <w:sz w:val="22"/>
                <w:szCs w:val="22"/>
                <w:lang w:val="en-US" w:eastAsia="zh-CN"/>
              </w:rPr>
            </w:pPr>
            <w:r>
              <w:rPr>
                <w:rFonts w:hint="eastAsia"/>
                <w:b/>
                <w:color w:val="000000"/>
                <w:sz w:val="22"/>
                <w:szCs w:val="22"/>
                <w:lang w:val="en-US" w:eastAsia="zh-CN"/>
              </w:rPr>
              <w:t>经济工程</w:t>
            </w:r>
          </w:p>
        </w:tc>
        <w:tc>
          <w:tcPr>
            <w:tcW w:w="588" w:type="dxa"/>
            <w:tcBorders>
              <w:top w:val="single" w:color="FFFFFF" w:sz="8" w:space="0"/>
              <w:left w:val="single" w:color="FFFFFF" w:sz="8" w:space="0"/>
              <w:bottom w:val="single" w:color="FFFFFF" w:sz="8" w:space="0"/>
              <w:right w:val="single" w:color="FFFFFF" w:sz="8" w:space="0"/>
            </w:tcBorders>
            <w:shd w:val="clear" w:color="auto" w:fill="D0D8E8"/>
            <w:noWrap/>
            <w:vAlign w:val="center"/>
          </w:tcPr>
          <w:p>
            <w:pPr>
              <w:widowControl/>
              <w:jc w:val="center"/>
              <w:rPr>
                <w:rFonts w:hint="eastAsia" w:ascii="宋体" w:hAnsi="宋体" w:cs="宋体"/>
                <w:color w:val="000000"/>
                <w:kern w:val="0"/>
                <w:sz w:val="22"/>
                <w:szCs w:val="22"/>
                <w:lang w:val="en-US" w:eastAsia="zh-CN" w:bidi="ar-SA"/>
              </w:rPr>
            </w:pPr>
            <w:r>
              <w:rPr>
                <w:rFonts w:hint="eastAsia" w:ascii="宋体" w:hAnsi="宋体" w:cs="宋体"/>
                <w:color w:val="000000"/>
                <w:kern w:val="0"/>
                <w:sz w:val="22"/>
                <w:szCs w:val="22"/>
                <w:lang w:val="en-US" w:eastAsia="zh-CN"/>
              </w:rPr>
              <w:t>34</w:t>
            </w:r>
          </w:p>
        </w:tc>
        <w:tc>
          <w:tcPr>
            <w:tcW w:w="589" w:type="dxa"/>
            <w:tcBorders>
              <w:top w:val="single" w:color="FFFFFF" w:sz="8" w:space="0"/>
              <w:left w:val="single" w:color="FFFFFF" w:sz="8" w:space="0"/>
              <w:bottom w:val="single" w:color="FFFFFF" w:sz="8" w:space="0"/>
              <w:right w:val="single" w:color="FFFFFF" w:sz="8" w:space="0"/>
            </w:tcBorders>
            <w:shd w:val="clear" w:color="auto" w:fill="D0D8E8"/>
            <w:noWrap/>
            <w:vAlign w:val="center"/>
          </w:tcPr>
          <w:p>
            <w:pPr>
              <w:spacing w:line="480" w:lineRule="auto"/>
              <w:jc w:val="center"/>
              <w:rPr>
                <w:rFonts w:hint="default" w:ascii="宋体" w:hAnsi="宋体" w:eastAsia="宋体" w:cs="宋体"/>
                <w:color w:val="000000"/>
                <w:sz w:val="22"/>
                <w:szCs w:val="22"/>
                <w:lang w:val="en-US" w:eastAsia="zh-CN"/>
              </w:rPr>
            </w:pPr>
            <w:r>
              <w:rPr>
                <w:rFonts w:hint="eastAsia" w:ascii="宋体" w:hAnsi="宋体" w:cs="宋体"/>
                <w:color w:val="000000"/>
                <w:sz w:val="22"/>
                <w:szCs w:val="22"/>
                <w:lang w:val="en-US" w:eastAsia="zh-CN"/>
              </w:rPr>
              <w:t>31</w:t>
            </w:r>
          </w:p>
        </w:tc>
        <w:tc>
          <w:tcPr>
            <w:tcW w:w="589" w:type="dxa"/>
            <w:tcBorders>
              <w:top w:val="single" w:color="FFFFFF" w:sz="8" w:space="0"/>
              <w:left w:val="single" w:color="FFFFFF" w:sz="8" w:space="0"/>
              <w:bottom w:val="single" w:color="FFFFFF" w:sz="8" w:space="0"/>
              <w:right w:val="single" w:color="FFFFFF" w:sz="8" w:space="0"/>
            </w:tcBorders>
            <w:shd w:val="clear" w:color="auto" w:fill="D0D8E8"/>
            <w:noWrap/>
            <w:vAlign w:val="center"/>
          </w:tcPr>
          <w:p>
            <w:pPr>
              <w:widowControl/>
              <w:jc w:val="center"/>
              <w:rPr>
                <w:rFonts w:hint="eastAsia" w:ascii="宋体" w:hAnsi="宋体" w:cs="宋体"/>
                <w:color w:val="000000"/>
                <w:kern w:val="0"/>
                <w:sz w:val="22"/>
                <w:szCs w:val="22"/>
                <w:lang w:val="en-US" w:eastAsia="zh-CN" w:bidi="ar-SA"/>
              </w:rPr>
            </w:pPr>
            <w:r>
              <w:rPr>
                <w:rFonts w:hint="eastAsia" w:ascii="宋体" w:hAnsi="宋体" w:cs="宋体"/>
                <w:color w:val="000000"/>
                <w:kern w:val="0"/>
                <w:sz w:val="22"/>
                <w:szCs w:val="22"/>
                <w:lang w:val="en-US" w:eastAsia="zh-CN"/>
              </w:rPr>
              <w:t>3</w:t>
            </w:r>
          </w:p>
        </w:tc>
        <w:tc>
          <w:tcPr>
            <w:tcW w:w="589" w:type="dxa"/>
            <w:tcBorders>
              <w:top w:val="single" w:color="FFFFFF" w:sz="8" w:space="0"/>
              <w:left w:val="single" w:color="FFFFFF" w:sz="8" w:space="0"/>
              <w:bottom w:val="single" w:color="FFFFFF" w:sz="8" w:space="0"/>
              <w:right w:val="single" w:color="FFFFFF" w:sz="8" w:space="0"/>
            </w:tcBorders>
            <w:shd w:val="clear" w:color="auto" w:fill="D0D8E8"/>
            <w:noWrap/>
            <w:vAlign w:val="center"/>
          </w:tcPr>
          <w:p>
            <w:pPr>
              <w:widowControl/>
              <w:jc w:val="center"/>
              <w:rPr>
                <w:rFonts w:hint="eastAsia" w:ascii="宋体" w:hAnsi="宋体" w:eastAsia="宋体" w:cs="宋体"/>
                <w:color w:val="000000"/>
                <w:kern w:val="0"/>
                <w:sz w:val="22"/>
                <w:szCs w:val="22"/>
                <w:lang w:val="en-US" w:eastAsia="zh-CN" w:bidi="ar-SA"/>
              </w:rPr>
            </w:pPr>
            <w:r>
              <w:rPr>
                <w:rFonts w:hint="eastAsia" w:ascii="宋体" w:hAnsi="宋体" w:cs="宋体"/>
                <w:color w:val="000000"/>
                <w:kern w:val="0"/>
                <w:sz w:val="22"/>
                <w:szCs w:val="22"/>
                <w:lang w:val="en-US" w:eastAsia="zh-CN"/>
              </w:rPr>
              <w:t>0</w:t>
            </w:r>
          </w:p>
        </w:tc>
        <w:tc>
          <w:tcPr>
            <w:tcW w:w="588" w:type="dxa"/>
            <w:tcBorders>
              <w:top w:val="single" w:color="FFFFFF" w:sz="8" w:space="0"/>
              <w:left w:val="single" w:color="FFFFFF" w:sz="8" w:space="0"/>
              <w:bottom w:val="single" w:color="FFFFFF" w:sz="8" w:space="0"/>
              <w:right w:val="single" w:color="FFFFFF" w:sz="8" w:space="0"/>
            </w:tcBorders>
            <w:shd w:val="clear" w:color="auto" w:fill="D0D8E8"/>
            <w:noWrap/>
            <w:vAlign w:val="center"/>
          </w:tcPr>
          <w:p>
            <w:pPr>
              <w:spacing w:line="480" w:lineRule="auto"/>
              <w:jc w:val="center"/>
              <w:rPr>
                <w:rFonts w:hint="eastAsia" w:ascii="宋体" w:hAnsi="宋体" w:eastAsia="宋体" w:cs="宋体"/>
                <w:color w:val="000000"/>
                <w:sz w:val="22"/>
                <w:szCs w:val="22"/>
                <w:lang w:val="en-US" w:eastAsia="zh-CN"/>
              </w:rPr>
            </w:pPr>
            <w:r>
              <w:rPr>
                <w:rFonts w:hint="eastAsia" w:ascii="宋体" w:hAnsi="宋体" w:cs="宋体"/>
                <w:color w:val="000000"/>
                <w:sz w:val="22"/>
                <w:szCs w:val="22"/>
                <w:lang w:val="en-US" w:eastAsia="zh-CN"/>
              </w:rPr>
              <w:t>0</w:t>
            </w:r>
          </w:p>
        </w:tc>
        <w:tc>
          <w:tcPr>
            <w:tcW w:w="589" w:type="dxa"/>
            <w:tcBorders>
              <w:top w:val="single" w:color="FFFFFF" w:sz="8" w:space="0"/>
              <w:left w:val="single" w:color="FFFFFF" w:sz="8" w:space="0"/>
              <w:bottom w:val="single" w:color="FFFFFF" w:sz="8" w:space="0"/>
              <w:right w:val="single" w:color="FFFFFF" w:sz="8" w:space="0"/>
            </w:tcBorders>
            <w:shd w:val="clear" w:color="auto" w:fill="D0D8E8"/>
            <w:noWrap/>
            <w:vAlign w:val="center"/>
          </w:tcPr>
          <w:p>
            <w:pPr>
              <w:spacing w:line="480" w:lineRule="auto"/>
              <w:jc w:val="center"/>
              <w:rPr>
                <w:rFonts w:hint="eastAsia" w:ascii="宋体" w:hAnsi="宋体" w:eastAsia="宋体" w:cs="宋体"/>
                <w:color w:val="000000"/>
                <w:sz w:val="22"/>
                <w:szCs w:val="22"/>
                <w:lang w:val="en-US" w:eastAsia="zh-CN"/>
              </w:rPr>
            </w:pPr>
            <w:r>
              <w:rPr>
                <w:rFonts w:hint="eastAsia" w:ascii="宋体" w:hAnsi="宋体" w:cs="宋体"/>
                <w:color w:val="000000"/>
                <w:sz w:val="22"/>
                <w:szCs w:val="22"/>
                <w:lang w:val="en-US" w:eastAsia="zh-CN"/>
              </w:rPr>
              <w:t>0</w:t>
            </w:r>
          </w:p>
        </w:tc>
        <w:tc>
          <w:tcPr>
            <w:tcW w:w="589" w:type="dxa"/>
            <w:tcBorders>
              <w:top w:val="single" w:color="FFFFFF" w:sz="8" w:space="0"/>
              <w:left w:val="single" w:color="FFFFFF" w:sz="8" w:space="0"/>
              <w:bottom w:val="single" w:color="FFFFFF" w:sz="8" w:space="0"/>
              <w:right w:val="single" w:color="FFFFFF" w:sz="8" w:space="0"/>
            </w:tcBorders>
            <w:shd w:val="clear" w:color="auto" w:fill="D0D8E8"/>
            <w:noWrap/>
            <w:vAlign w:val="center"/>
          </w:tcPr>
          <w:p>
            <w:pPr>
              <w:spacing w:line="480" w:lineRule="auto"/>
              <w:jc w:val="center"/>
              <w:rPr>
                <w:rFonts w:hint="eastAsia" w:ascii="宋体" w:hAnsi="宋体" w:eastAsia="宋体" w:cs="宋体"/>
                <w:color w:val="000000"/>
                <w:sz w:val="22"/>
                <w:szCs w:val="22"/>
                <w:lang w:val="en-US" w:eastAsia="zh-CN"/>
              </w:rPr>
            </w:pPr>
            <w:r>
              <w:rPr>
                <w:rFonts w:hint="eastAsia" w:ascii="宋体" w:hAnsi="宋体" w:cs="宋体"/>
                <w:color w:val="000000"/>
                <w:sz w:val="22"/>
                <w:szCs w:val="22"/>
                <w:lang w:val="en-US" w:eastAsia="zh-CN"/>
              </w:rPr>
              <w:t>2</w:t>
            </w:r>
          </w:p>
        </w:tc>
        <w:tc>
          <w:tcPr>
            <w:tcW w:w="589" w:type="dxa"/>
            <w:tcBorders>
              <w:top w:val="single" w:color="FFFFFF" w:sz="8" w:space="0"/>
              <w:left w:val="single" w:color="FFFFFF" w:sz="8" w:space="0"/>
              <w:bottom w:val="single" w:color="FFFFFF" w:sz="8" w:space="0"/>
              <w:right w:val="single" w:color="FFFFFF" w:sz="8" w:space="0"/>
            </w:tcBorders>
            <w:shd w:val="clear" w:color="auto" w:fill="D0D8E8"/>
            <w:noWrap/>
            <w:vAlign w:val="center"/>
          </w:tcPr>
          <w:p>
            <w:pPr>
              <w:spacing w:line="480" w:lineRule="auto"/>
              <w:jc w:val="center"/>
              <w:rPr>
                <w:rFonts w:hint="eastAsia" w:ascii="宋体" w:hAnsi="宋体" w:eastAsia="宋体" w:cs="宋体"/>
                <w:color w:val="000000"/>
                <w:sz w:val="22"/>
                <w:szCs w:val="22"/>
                <w:lang w:val="en-US" w:eastAsia="zh-CN"/>
              </w:rPr>
            </w:pPr>
            <w:r>
              <w:rPr>
                <w:rFonts w:hint="eastAsia" w:ascii="宋体" w:hAnsi="宋体" w:cs="宋体"/>
                <w:b/>
                <w:bCs/>
                <w:color w:val="FF0000"/>
                <w:sz w:val="22"/>
                <w:szCs w:val="22"/>
                <w:lang w:val="en-US" w:eastAsia="zh-CN"/>
              </w:rPr>
              <w:t>1</w:t>
            </w:r>
          </w:p>
        </w:tc>
        <w:tc>
          <w:tcPr>
            <w:tcW w:w="588" w:type="dxa"/>
            <w:tcBorders>
              <w:top w:val="single" w:color="FFFFFF" w:sz="8" w:space="0"/>
              <w:left w:val="single" w:color="FFFFFF" w:sz="8" w:space="0"/>
              <w:bottom w:val="single" w:color="FFFFFF" w:sz="8" w:space="0"/>
              <w:right w:val="single" w:color="FFFFFF" w:sz="8" w:space="0"/>
            </w:tcBorders>
            <w:shd w:val="clear" w:color="auto" w:fill="D0D8E8"/>
            <w:noWrap w:val="0"/>
            <w:vAlign w:val="center"/>
          </w:tcPr>
          <w:p>
            <w:pPr>
              <w:spacing w:line="480" w:lineRule="auto"/>
              <w:jc w:val="center"/>
              <w:rPr>
                <w:rFonts w:hint="eastAsia" w:eastAsia="宋体"/>
                <w:color w:val="000000"/>
                <w:sz w:val="22"/>
                <w:szCs w:val="22"/>
                <w:lang w:val="en-US" w:eastAsia="zh-CN"/>
              </w:rPr>
            </w:pPr>
            <w:r>
              <w:rPr>
                <w:rFonts w:hint="eastAsia"/>
                <w:color w:val="000000"/>
                <w:sz w:val="22"/>
                <w:szCs w:val="22"/>
                <w:lang w:val="en-US" w:eastAsia="zh-CN"/>
              </w:rPr>
              <w:t>0</w:t>
            </w:r>
          </w:p>
        </w:tc>
        <w:tc>
          <w:tcPr>
            <w:tcW w:w="589" w:type="dxa"/>
            <w:tcBorders>
              <w:top w:val="single" w:color="FFFFFF" w:sz="8" w:space="0"/>
              <w:left w:val="single" w:color="FFFFFF" w:sz="8" w:space="0"/>
              <w:bottom w:val="single" w:color="FFFFFF" w:sz="8" w:space="0"/>
              <w:right w:val="single" w:color="FFFFFF" w:sz="8" w:space="0"/>
            </w:tcBorders>
            <w:shd w:val="clear" w:color="auto" w:fill="D0D8E8"/>
            <w:noWrap w:val="0"/>
            <w:vAlign w:val="center"/>
          </w:tcPr>
          <w:p>
            <w:pPr>
              <w:spacing w:line="480" w:lineRule="auto"/>
              <w:jc w:val="center"/>
              <w:rPr>
                <w:rFonts w:hint="eastAsia" w:eastAsia="宋体"/>
                <w:color w:val="000000"/>
                <w:sz w:val="22"/>
                <w:szCs w:val="22"/>
                <w:lang w:val="en-US" w:eastAsia="zh-CN"/>
              </w:rPr>
            </w:pPr>
            <w:r>
              <w:rPr>
                <w:rFonts w:hint="eastAsia"/>
                <w:color w:val="000000"/>
                <w:sz w:val="22"/>
                <w:szCs w:val="22"/>
                <w:lang w:val="en-US" w:eastAsia="zh-CN"/>
              </w:rPr>
              <w:t>5</w:t>
            </w:r>
          </w:p>
        </w:tc>
        <w:tc>
          <w:tcPr>
            <w:tcW w:w="589" w:type="dxa"/>
            <w:tcBorders>
              <w:top w:val="single" w:color="FFFFFF" w:sz="8" w:space="0"/>
              <w:left w:val="single" w:color="FFFFFF" w:sz="8" w:space="0"/>
              <w:bottom w:val="single" w:color="FFFFFF" w:sz="8" w:space="0"/>
              <w:right w:val="single" w:color="FFFFFF" w:sz="8" w:space="0"/>
            </w:tcBorders>
            <w:shd w:val="clear" w:color="auto" w:fill="D0D8E8"/>
            <w:noWrap/>
            <w:vAlign w:val="center"/>
          </w:tcPr>
          <w:p>
            <w:pPr>
              <w:spacing w:line="480" w:lineRule="auto"/>
              <w:jc w:val="center"/>
              <w:rPr>
                <w:rFonts w:hint="eastAsia" w:ascii="宋体" w:hAnsi="宋体" w:eastAsia="宋体" w:cs="宋体"/>
                <w:color w:val="000000"/>
                <w:sz w:val="22"/>
                <w:szCs w:val="22"/>
                <w:lang w:val="en-US" w:eastAsia="zh-CN"/>
              </w:rPr>
            </w:pPr>
            <w:r>
              <w:rPr>
                <w:rFonts w:hint="eastAsia" w:ascii="宋体" w:hAnsi="宋体" w:cs="宋体"/>
                <w:color w:val="000000"/>
                <w:sz w:val="22"/>
                <w:szCs w:val="22"/>
                <w:lang w:val="en-US" w:eastAsia="zh-CN"/>
              </w:rPr>
              <w:t>1</w:t>
            </w:r>
          </w:p>
        </w:tc>
        <w:tc>
          <w:tcPr>
            <w:tcW w:w="589" w:type="dxa"/>
            <w:tcBorders>
              <w:top w:val="single" w:color="FFFFFF" w:sz="8" w:space="0"/>
              <w:left w:val="single" w:color="FFFFFF" w:sz="8" w:space="0"/>
              <w:bottom w:val="single" w:color="FFFFFF" w:sz="8" w:space="0"/>
              <w:right w:val="single" w:color="FFFFFF" w:sz="8" w:space="0"/>
            </w:tcBorders>
            <w:shd w:val="clear" w:color="auto" w:fill="D0D8E8"/>
            <w:noWrap/>
            <w:vAlign w:val="center"/>
          </w:tcPr>
          <w:p>
            <w:pPr>
              <w:spacing w:line="480" w:lineRule="auto"/>
              <w:jc w:val="center"/>
              <w:rPr>
                <w:rFonts w:hint="default" w:ascii="宋体" w:hAnsi="宋体" w:eastAsia="宋体" w:cs="宋体"/>
                <w:color w:val="000000"/>
                <w:sz w:val="22"/>
                <w:szCs w:val="22"/>
                <w:lang w:val="en-US" w:eastAsia="zh-CN"/>
              </w:rPr>
            </w:pPr>
            <w:r>
              <w:rPr>
                <w:rFonts w:hint="eastAsia" w:ascii="宋体" w:hAnsi="宋体" w:cs="宋体"/>
                <w:color w:val="000000"/>
                <w:sz w:val="22"/>
                <w:szCs w:val="22"/>
                <w:lang w:val="en-US" w:eastAsia="zh-CN"/>
              </w:rPr>
              <w:t>19</w:t>
            </w:r>
          </w:p>
        </w:tc>
      </w:tr>
      <w:tr>
        <w:tblPrEx>
          <w:tblCellMar>
            <w:top w:w="0" w:type="dxa"/>
            <w:left w:w="108" w:type="dxa"/>
            <w:bottom w:w="0" w:type="dxa"/>
            <w:right w:w="108" w:type="dxa"/>
          </w:tblCellMar>
        </w:tblPrEx>
        <w:trPr>
          <w:trHeight w:val="270" w:hRule="atLeast"/>
          <w:jc w:val="center"/>
        </w:trPr>
        <w:tc>
          <w:tcPr>
            <w:tcW w:w="1380" w:type="dxa"/>
            <w:tcBorders>
              <w:top w:val="single" w:color="FFFFFF" w:sz="8" w:space="0"/>
              <w:left w:val="single" w:color="FFFFFF" w:sz="8" w:space="0"/>
              <w:bottom w:val="single" w:color="FFFFFF" w:sz="8" w:space="0"/>
              <w:right w:val="single" w:color="FFFFFF" w:sz="8" w:space="0"/>
            </w:tcBorders>
            <w:shd w:val="clear" w:color="auto" w:fill="E9EDF4"/>
            <w:noWrap/>
            <w:vAlign w:val="center"/>
          </w:tcPr>
          <w:p>
            <w:pPr>
              <w:spacing w:line="480" w:lineRule="auto"/>
              <w:jc w:val="center"/>
              <w:rPr>
                <w:rFonts w:ascii="宋体" w:hAnsi="宋体" w:cs="宋体"/>
                <w:b/>
                <w:color w:val="000000"/>
                <w:sz w:val="22"/>
                <w:szCs w:val="22"/>
              </w:rPr>
            </w:pPr>
            <w:r>
              <w:rPr>
                <w:rFonts w:hint="eastAsia"/>
                <w:b/>
                <w:color w:val="000000"/>
                <w:sz w:val="22"/>
                <w:szCs w:val="22"/>
              </w:rPr>
              <w:t>财务管理</w:t>
            </w:r>
          </w:p>
        </w:tc>
        <w:tc>
          <w:tcPr>
            <w:tcW w:w="588" w:type="dxa"/>
            <w:tcBorders>
              <w:top w:val="single" w:color="FFFFFF" w:sz="8" w:space="0"/>
              <w:left w:val="single" w:color="FFFFFF" w:sz="8" w:space="0"/>
              <w:bottom w:val="single" w:color="FFFFFF" w:sz="8" w:space="0"/>
              <w:right w:val="single" w:color="FFFFFF" w:sz="8" w:space="0"/>
            </w:tcBorders>
            <w:shd w:val="clear" w:color="auto" w:fill="E9EDF4"/>
            <w:noWrap/>
            <w:vAlign w:val="center"/>
          </w:tcPr>
          <w:p>
            <w:pPr>
              <w:widowControl/>
              <w:jc w:val="center"/>
              <w:rPr>
                <w:rFonts w:hint="default" w:ascii="宋体" w:hAnsi="宋体" w:eastAsia="宋体" w:cs="宋体"/>
                <w:color w:val="000000"/>
                <w:kern w:val="0"/>
                <w:sz w:val="22"/>
                <w:szCs w:val="22"/>
                <w:lang w:val="en-US" w:eastAsia="zh-CN" w:bidi="ar-SA"/>
              </w:rPr>
            </w:pPr>
            <w:r>
              <w:rPr>
                <w:rFonts w:hint="eastAsia" w:ascii="宋体" w:hAnsi="宋体" w:cs="宋体"/>
                <w:color w:val="000000"/>
                <w:kern w:val="0"/>
                <w:sz w:val="22"/>
                <w:szCs w:val="22"/>
                <w:lang w:val="en-US" w:eastAsia="zh-CN"/>
              </w:rPr>
              <w:t>41</w:t>
            </w:r>
          </w:p>
        </w:tc>
        <w:tc>
          <w:tcPr>
            <w:tcW w:w="589" w:type="dxa"/>
            <w:tcBorders>
              <w:top w:val="single" w:color="FFFFFF" w:sz="8" w:space="0"/>
              <w:left w:val="single" w:color="FFFFFF" w:sz="8" w:space="0"/>
              <w:bottom w:val="single" w:color="FFFFFF" w:sz="8" w:space="0"/>
              <w:right w:val="single" w:color="FFFFFF" w:sz="8" w:space="0"/>
            </w:tcBorders>
            <w:shd w:val="clear" w:color="auto" w:fill="E9EDF4"/>
            <w:noWrap/>
            <w:vAlign w:val="center"/>
          </w:tcPr>
          <w:p>
            <w:pPr>
              <w:spacing w:line="480" w:lineRule="auto"/>
              <w:jc w:val="center"/>
              <w:rPr>
                <w:rFonts w:hint="default" w:ascii="宋体" w:hAnsi="宋体" w:eastAsia="宋体" w:cs="宋体"/>
                <w:color w:val="000000"/>
                <w:sz w:val="22"/>
                <w:szCs w:val="22"/>
                <w:lang w:val="en-US" w:eastAsia="zh-CN"/>
              </w:rPr>
            </w:pPr>
            <w:r>
              <w:rPr>
                <w:rFonts w:hint="eastAsia" w:ascii="宋体" w:hAnsi="宋体" w:cs="宋体"/>
                <w:color w:val="000000"/>
                <w:sz w:val="22"/>
                <w:szCs w:val="22"/>
                <w:lang w:val="en-US" w:eastAsia="zh-CN"/>
              </w:rPr>
              <w:t>39</w:t>
            </w:r>
          </w:p>
        </w:tc>
        <w:tc>
          <w:tcPr>
            <w:tcW w:w="589" w:type="dxa"/>
            <w:tcBorders>
              <w:top w:val="single" w:color="FFFFFF" w:sz="8" w:space="0"/>
              <w:left w:val="single" w:color="FFFFFF" w:sz="8" w:space="0"/>
              <w:bottom w:val="single" w:color="FFFFFF" w:sz="8" w:space="0"/>
              <w:right w:val="single" w:color="FFFFFF" w:sz="8" w:space="0"/>
            </w:tcBorders>
            <w:shd w:val="clear" w:color="auto" w:fill="E9EDF4"/>
            <w:noWrap/>
            <w:vAlign w:val="center"/>
          </w:tcPr>
          <w:p>
            <w:pPr>
              <w:widowControl/>
              <w:jc w:val="center"/>
              <w:rPr>
                <w:rFonts w:hint="default" w:ascii="宋体" w:hAnsi="宋体" w:eastAsia="宋体" w:cs="宋体"/>
                <w:color w:val="000000"/>
                <w:kern w:val="0"/>
                <w:sz w:val="22"/>
                <w:szCs w:val="22"/>
                <w:lang w:val="en-US" w:eastAsia="zh-CN" w:bidi="ar-SA"/>
              </w:rPr>
            </w:pPr>
            <w:r>
              <w:rPr>
                <w:rFonts w:hint="eastAsia" w:ascii="宋体" w:hAnsi="宋体" w:cs="宋体"/>
                <w:color w:val="000000"/>
                <w:kern w:val="0"/>
                <w:sz w:val="22"/>
                <w:szCs w:val="22"/>
                <w:lang w:val="en-US" w:eastAsia="zh-CN"/>
              </w:rPr>
              <w:t>4</w:t>
            </w:r>
          </w:p>
        </w:tc>
        <w:tc>
          <w:tcPr>
            <w:tcW w:w="589" w:type="dxa"/>
            <w:tcBorders>
              <w:top w:val="single" w:color="FFFFFF" w:sz="8" w:space="0"/>
              <w:left w:val="single" w:color="FFFFFF" w:sz="8" w:space="0"/>
              <w:bottom w:val="single" w:color="FFFFFF" w:sz="8" w:space="0"/>
              <w:right w:val="single" w:color="FFFFFF" w:sz="8" w:space="0"/>
            </w:tcBorders>
            <w:shd w:val="clear" w:color="auto" w:fill="E9EDF4"/>
            <w:noWrap/>
            <w:vAlign w:val="center"/>
          </w:tcPr>
          <w:p>
            <w:pPr>
              <w:widowControl/>
              <w:jc w:val="center"/>
              <w:rPr>
                <w:rFonts w:ascii="宋体" w:hAnsi="宋体" w:cs="宋体"/>
                <w:color w:val="000000"/>
                <w:kern w:val="0"/>
                <w:sz w:val="22"/>
                <w:szCs w:val="22"/>
                <w:lang w:val="en-US" w:eastAsia="zh-CN" w:bidi="ar-SA"/>
              </w:rPr>
            </w:pPr>
            <w:r>
              <w:rPr>
                <w:rFonts w:hint="eastAsia" w:ascii="宋体" w:hAnsi="宋体" w:cs="宋体"/>
                <w:color w:val="000000"/>
                <w:kern w:val="0"/>
                <w:sz w:val="22"/>
                <w:szCs w:val="22"/>
              </w:rPr>
              <w:t>0</w:t>
            </w:r>
          </w:p>
        </w:tc>
        <w:tc>
          <w:tcPr>
            <w:tcW w:w="588" w:type="dxa"/>
            <w:tcBorders>
              <w:top w:val="single" w:color="FFFFFF" w:sz="8" w:space="0"/>
              <w:left w:val="single" w:color="FFFFFF" w:sz="8" w:space="0"/>
              <w:bottom w:val="single" w:color="FFFFFF" w:sz="8" w:space="0"/>
              <w:right w:val="single" w:color="FFFFFF" w:sz="8" w:space="0"/>
            </w:tcBorders>
            <w:shd w:val="clear" w:color="auto" w:fill="E9EDF4"/>
            <w:noWrap/>
            <w:vAlign w:val="center"/>
          </w:tcPr>
          <w:p>
            <w:pPr>
              <w:spacing w:line="480" w:lineRule="auto"/>
              <w:jc w:val="center"/>
              <w:rPr>
                <w:rFonts w:hint="eastAsia" w:ascii="宋体" w:hAnsi="宋体" w:eastAsia="宋体" w:cs="宋体"/>
                <w:color w:val="000000"/>
                <w:sz w:val="22"/>
                <w:szCs w:val="22"/>
                <w:lang w:val="en-US" w:eastAsia="zh-CN"/>
              </w:rPr>
            </w:pPr>
            <w:r>
              <w:rPr>
                <w:rFonts w:hint="eastAsia" w:ascii="宋体" w:hAnsi="宋体" w:cs="宋体"/>
                <w:color w:val="000000"/>
                <w:sz w:val="22"/>
                <w:szCs w:val="22"/>
                <w:lang w:val="en-US" w:eastAsia="zh-CN"/>
              </w:rPr>
              <w:t>1</w:t>
            </w:r>
          </w:p>
        </w:tc>
        <w:tc>
          <w:tcPr>
            <w:tcW w:w="589" w:type="dxa"/>
            <w:tcBorders>
              <w:top w:val="single" w:color="FFFFFF" w:sz="8" w:space="0"/>
              <w:left w:val="single" w:color="FFFFFF" w:sz="8" w:space="0"/>
              <w:bottom w:val="single" w:color="FFFFFF" w:sz="8" w:space="0"/>
              <w:right w:val="single" w:color="FFFFFF" w:sz="8" w:space="0"/>
            </w:tcBorders>
            <w:shd w:val="clear" w:color="auto" w:fill="E9EDF4"/>
            <w:noWrap/>
            <w:vAlign w:val="center"/>
          </w:tcPr>
          <w:p>
            <w:pPr>
              <w:spacing w:line="480" w:lineRule="auto"/>
              <w:jc w:val="center"/>
              <w:rPr>
                <w:rFonts w:hint="eastAsia" w:ascii="宋体" w:hAnsi="宋体" w:eastAsia="宋体" w:cs="宋体"/>
                <w:color w:val="000000"/>
                <w:sz w:val="22"/>
                <w:szCs w:val="22"/>
                <w:lang w:val="en-US" w:eastAsia="zh-CN"/>
              </w:rPr>
            </w:pPr>
            <w:r>
              <w:rPr>
                <w:rFonts w:hint="eastAsia" w:ascii="宋体" w:hAnsi="宋体" w:cs="宋体"/>
                <w:color w:val="000000"/>
                <w:sz w:val="22"/>
                <w:szCs w:val="22"/>
                <w:lang w:val="en-US" w:eastAsia="zh-CN"/>
              </w:rPr>
              <w:t>0</w:t>
            </w:r>
          </w:p>
        </w:tc>
        <w:tc>
          <w:tcPr>
            <w:tcW w:w="589" w:type="dxa"/>
            <w:tcBorders>
              <w:top w:val="single" w:color="FFFFFF" w:sz="8" w:space="0"/>
              <w:left w:val="single" w:color="FFFFFF" w:sz="8" w:space="0"/>
              <w:bottom w:val="single" w:color="FFFFFF" w:sz="8" w:space="0"/>
              <w:right w:val="single" w:color="FFFFFF" w:sz="8" w:space="0"/>
            </w:tcBorders>
            <w:shd w:val="clear" w:color="auto" w:fill="E9EDF4"/>
            <w:noWrap/>
            <w:vAlign w:val="center"/>
          </w:tcPr>
          <w:p>
            <w:pPr>
              <w:spacing w:line="480" w:lineRule="auto"/>
              <w:jc w:val="center"/>
              <w:rPr>
                <w:rFonts w:hint="eastAsia" w:ascii="宋体" w:hAnsi="宋体" w:eastAsia="宋体" w:cs="宋体"/>
                <w:color w:val="000000"/>
                <w:sz w:val="22"/>
                <w:szCs w:val="22"/>
                <w:lang w:val="en-US" w:eastAsia="zh-CN"/>
              </w:rPr>
            </w:pPr>
            <w:r>
              <w:rPr>
                <w:rFonts w:hint="eastAsia" w:ascii="宋体" w:hAnsi="宋体" w:cs="宋体"/>
                <w:color w:val="000000"/>
                <w:sz w:val="22"/>
                <w:szCs w:val="22"/>
                <w:lang w:val="en-US" w:eastAsia="zh-CN"/>
              </w:rPr>
              <w:t>1</w:t>
            </w:r>
          </w:p>
        </w:tc>
        <w:tc>
          <w:tcPr>
            <w:tcW w:w="589" w:type="dxa"/>
            <w:tcBorders>
              <w:top w:val="single" w:color="FFFFFF" w:sz="8" w:space="0"/>
              <w:left w:val="single" w:color="FFFFFF" w:sz="8" w:space="0"/>
              <w:bottom w:val="single" w:color="FFFFFF" w:sz="8" w:space="0"/>
              <w:right w:val="single" w:color="FFFFFF" w:sz="8" w:space="0"/>
            </w:tcBorders>
            <w:shd w:val="clear" w:color="auto" w:fill="E9EDF4"/>
            <w:noWrap/>
            <w:vAlign w:val="center"/>
          </w:tcPr>
          <w:p>
            <w:pPr>
              <w:spacing w:line="480" w:lineRule="auto"/>
              <w:jc w:val="center"/>
              <w:rPr>
                <w:rFonts w:hint="eastAsia" w:ascii="宋体" w:hAnsi="宋体" w:eastAsia="宋体" w:cs="宋体"/>
                <w:color w:val="000000"/>
                <w:sz w:val="22"/>
                <w:szCs w:val="22"/>
                <w:lang w:val="en-US" w:eastAsia="zh-CN"/>
              </w:rPr>
            </w:pPr>
            <w:r>
              <w:rPr>
                <w:rFonts w:hint="eastAsia" w:ascii="宋体" w:hAnsi="宋体" w:cs="宋体"/>
                <w:color w:val="000000"/>
                <w:sz w:val="22"/>
                <w:szCs w:val="22"/>
                <w:lang w:val="en-US" w:eastAsia="zh-CN"/>
              </w:rPr>
              <w:t>0</w:t>
            </w:r>
          </w:p>
        </w:tc>
        <w:tc>
          <w:tcPr>
            <w:tcW w:w="588" w:type="dxa"/>
            <w:tcBorders>
              <w:top w:val="single" w:color="FFFFFF" w:sz="8" w:space="0"/>
              <w:left w:val="single" w:color="FFFFFF" w:sz="8" w:space="0"/>
              <w:bottom w:val="single" w:color="FFFFFF" w:sz="8" w:space="0"/>
              <w:right w:val="single" w:color="FFFFFF" w:sz="8" w:space="0"/>
            </w:tcBorders>
            <w:shd w:val="clear" w:color="auto" w:fill="E9EDF4"/>
            <w:noWrap w:val="0"/>
            <w:vAlign w:val="center"/>
          </w:tcPr>
          <w:p>
            <w:pPr>
              <w:spacing w:line="480" w:lineRule="auto"/>
              <w:jc w:val="center"/>
              <w:rPr>
                <w:rFonts w:hint="eastAsia" w:eastAsia="宋体"/>
                <w:color w:val="000000"/>
                <w:sz w:val="22"/>
                <w:szCs w:val="22"/>
                <w:lang w:val="en-US" w:eastAsia="zh-CN"/>
              </w:rPr>
            </w:pPr>
            <w:r>
              <w:rPr>
                <w:rFonts w:hint="eastAsia"/>
                <w:color w:val="000000"/>
                <w:sz w:val="22"/>
                <w:szCs w:val="22"/>
                <w:lang w:val="en-US" w:eastAsia="zh-CN"/>
              </w:rPr>
              <w:t>0</w:t>
            </w:r>
          </w:p>
        </w:tc>
        <w:tc>
          <w:tcPr>
            <w:tcW w:w="589" w:type="dxa"/>
            <w:tcBorders>
              <w:top w:val="single" w:color="FFFFFF" w:sz="8" w:space="0"/>
              <w:left w:val="single" w:color="FFFFFF" w:sz="8" w:space="0"/>
              <w:bottom w:val="single" w:color="FFFFFF" w:sz="8" w:space="0"/>
              <w:right w:val="single" w:color="FFFFFF" w:sz="8" w:space="0"/>
            </w:tcBorders>
            <w:shd w:val="clear" w:color="auto" w:fill="E9EDF4"/>
            <w:noWrap w:val="0"/>
            <w:vAlign w:val="center"/>
          </w:tcPr>
          <w:p>
            <w:pPr>
              <w:spacing w:line="480" w:lineRule="auto"/>
              <w:jc w:val="center"/>
              <w:rPr>
                <w:rFonts w:hint="eastAsia" w:eastAsia="宋体"/>
                <w:color w:val="000000"/>
                <w:sz w:val="22"/>
                <w:szCs w:val="22"/>
                <w:lang w:val="en-US" w:eastAsia="zh-CN"/>
              </w:rPr>
            </w:pPr>
            <w:r>
              <w:rPr>
                <w:rFonts w:hint="eastAsia"/>
                <w:color w:val="000000"/>
                <w:sz w:val="22"/>
                <w:szCs w:val="22"/>
                <w:lang w:val="en-US" w:eastAsia="zh-CN"/>
              </w:rPr>
              <w:t>9</w:t>
            </w:r>
          </w:p>
        </w:tc>
        <w:tc>
          <w:tcPr>
            <w:tcW w:w="589" w:type="dxa"/>
            <w:tcBorders>
              <w:top w:val="single" w:color="FFFFFF" w:sz="8" w:space="0"/>
              <w:left w:val="single" w:color="FFFFFF" w:sz="8" w:space="0"/>
              <w:bottom w:val="single" w:color="FFFFFF" w:sz="8" w:space="0"/>
              <w:right w:val="single" w:color="FFFFFF" w:sz="8" w:space="0"/>
            </w:tcBorders>
            <w:shd w:val="clear" w:color="auto" w:fill="E9EDF4"/>
            <w:noWrap/>
            <w:vAlign w:val="center"/>
          </w:tcPr>
          <w:p>
            <w:pPr>
              <w:spacing w:line="480" w:lineRule="auto"/>
              <w:jc w:val="center"/>
              <w:rPr>
                <w:rFonts w:hint="eastAsia" w:ascii="宋体" w:hAnsi="宋体" w:eastAsia="宋体" w:cs="宋体"/>
                <w:color w:val="000000"/>
                <w:sz w:val="22"/>
                <w:szCs w:val="22"/>
                <w:lang w:val="en-US" w:eastAsia="zh-CN"/>
              </w:rPr>
            </w:pPr>
            <w:r>
              <w:rPr>
                <w:rFonts w:hint="eastAsia" w:ascii="宋体" w:hAnsi="宋体" w:cs="宋体"/>
                <w:color w:val="000000"/>
                <w:sz w:val="22"/>
                <w:szCs w:val="22"/>
                <w:lang w:val="en-US" w:eastAsia="zh-CN"/>
              </w:rPr>
              <w:t>1</w:t>
            </w:r>
          </w:p>
        </w:tc>
        <w:tc>
          <w:tcPr>
            <w:tcW w:w="589" w:type="dxa"/>
            <w:tcBorders>
              <w:top w:val="single" w:color="FFFFFF" w:sz="8" w:space="0"/>
              <w:left w:val="single" w:color="FFFFFF" w:sz="8" w:space="0"/>
              <w:bottom w:val="single" w:color="FFFFFF" w:sz="8" w:space="0"/>
              <w:right w:val="single" w:color="FFFFFF" w:sz="8" w:space="0"/>
            </w:tcBorders>
            <w:shd w:val="clear" w:color="auto" w:fill="E9EDF4"/>
            <w:noWrap/>
            <w:vAlign w:val="center"/>
          </w:tcPr>
          <w:p>
            <w:pPr>
              <w:spacing w:line="480" w:lineRule="auto"/>
              <w:jc w:val="center"/>
              <w:rPr>
                <w:rFonts w:hint="default" w:ascii="宋体" w:hAnsi="宋体" w:eastAsia="宋体" w:cs="宋体"/>
                <w:color w:val="000000"/>
                <w:sz w:val="22"/>
                <w:szCs w:val="22"/>
                <w:lang w:val="en-US" w:eastAsia="zh-CN"/>
              </w:rPr>
            </w:pPr>
            <w:r>
              <w:rPr>
                <w:rFonts w:hint="eastAsia" w:ascii="宋体" w:hAnsi="宋体" w:cs="宋体"/>
                <w:color w:val="000000"/>
                <w:sz w:val="22"/>
                <w:szCs w:val="22"/>
                <w:lang w:val="en-US" w:eastAsia="zh-CN"/>
              </w:rPr>
              <w:t>23</w:t>
            </w:r>
          </w:p>
        </w:tc>
      </w:tr>
      <w:tr>
        <w:tblPrEx>
          <w:tblCellMar>
            <w:top w:w="0" w:type="dxa"/>
            <w:left w:w="108" w:type="dxa"/>
            <w:bottom w:w="0" w:type="dxa"/>
            <w:right w:w="108" w:type="dxa"/>
          </w:tblCellMar>
        </w:tblPrEx>
        <w:trPr>
          <w:trHeight w:val="270" w:hRule="atLeast"/>
          <w:jc w:val="center"/>
        </w:trPr>
        <w:tc>
          <w:tcPr>
            <w:tcW w:w="1380" w:type="dxa"/>
            <w:tcBorders>
              <w:top w:val="single" w:color="FFFFFF" w:sz="8" w:space="0"/>
              <w:left w:val="single" w:color="FFFFFF" w:sz="8" w:space="0"/>
              <w:bottom w:val="single" w:color="FFFFFF" w:sz="8" w:space="0"/>
              <w:right w:val="single" w:color="FFFFFF" w:sz="8" w:space="0"/>
            </w:tcBorders>
            <w:shd w:val="clear" w:color="auto" w:fill="D0D8E8"/>
            <w:noWrap/>
            <w:vAlign w:val="center"/>
          </w:tcPr>
          <w:p>
            <w:pPr>
              <w:spacing w:line="480" w:lineRule="auto"/>
              <w:jc w:val="center"/>
              <w:rPr>
                <w:rFonts w:ascii="宋体" w:hAnsi="宋体" w:cs="宋体"/>
                <w:b/>
                <w:color w:val="000000"/>
                <w:sz w:val="22"/>
                <w:szCs w:val="22"/>
              </w:rPr>
            </w:pPr>
            <w:r>
              <w:rPr>
                <w:rFonts w:hint="eastAsia"/>
                <w:b/>
                <w:color w:val="000000"/>
                <w:sz w:val="22"/>
                <w:szCs w:val="22"/>
              </w:rPr>
              <w:t>工商管理</w:t>
            </w:r>
          </w:p>
        </w:tc>
        <w:tc>
          <w:tcPr>
            <w:tcW w:w="588" w:type="dxa"/>
            <w:tcBorders>
              <w:top w:val="single" w:color="FFFFFF" w:sz="8" w:space="0"/>
              <w:left w:val="single" w:color="FFFFFF" w:sz="8" w:space="0"/>
              <w:bottom w:val="single" w:color="FFFFFF" w:sz="8" w:space="0"/>
              <w:right w:val="single" w:color="FFFFFF" w:sz="8" w:space="0"/>
            </w:tcBorders>
            <w:shd w:val="clear" w:color="auto" w:fill="D0D8E8"/>
            <w:noWrap/>
            <w:vAlign w:val="center"/>
          </w:tcPr>
          <w:p>
            <w:pPr>
              <w:widowControl/>
              <w:jc w:val="center"/>
              <w:rPr>
                <w:rFonts w:hint="default" w:ascii="宋体" w:hAnsi="宋体" w:eastAsia="宋体" w:cs="宋体"/>
                <w:color w:val="000000"/>
                <w:kern w:val="0"/>
                <w:sz w:val="22"/>
                <w:szCs w:val="22"/>
                <w:lang w:val="en-US" w:eastAsia="zh-CN" w:bidi="ar-SA"/>
              </w:rPr>
            </w:pPr>
            <w:r>
              <w:rPr>
                <w:rFonts w:hint="eastAsia" w:ascii="宋体" w:hAnsi="宋体" w:cs="宋体"/>
                <w:color w:val="000000"/>
                <w:kern w:val="0"/>
                <w:sz w:val="22"/>
                <w:szCs w:val="22"/>
                <w:lang w:val="en-US" w:eastAsia="zh-CN"/>
              </w:rPr>
              <w:t>40</w:t>
            </w:r>
          </w:p>
        </w:tc>
        <w:tc>
          <w:tcPr>
            <w:tcW w:w="589" w:type="dxa"/>
            <w:tcBorders>
              <w:top w:val="single" w:color="FFFFFF" w:sz="8" w:space="0"/>
              <w:left w:val="single" w:color="FFFFFF" w:sz="8" w:space="0"/>
              <w:bottom w:val="single" w:color="FFFFFF" w:sz="8" w:space="0"/>
              <w:right w:val="single" w:color="FFFFFF" w:sz="8" w:space="0"/>
            </w:tcBorders>
            <w:shd w:val="clear" w:color="auto" w:fill="D0D8E8"/>
            <w:noWrap/>
            <w:vAlign w:val="center"/>
          </w:tcPr>
          <w:p>
            <w:pPr>
              <w:spacing w:line="480" w:lineRule="auto"/>
              <w:jc w:val="center"/>
              <w:rPr>
                <w:rFonts w:hint="default" w:ascii="宋体" w:hAnsi="宋体" w:eastAsia="宋体" w:cs="宋体"/>
                <w:color w:val="000000"/>
                <w:sz w:val="22"/>
                <w:szCs w:val="22"/>
                <w:lang w:val="en-US" w:eastAsia="zh-CN"/>
              </w:rPr>
            </w:pPr>
            <w:r>
              <w:rPr>
                <w:rFonts w:hint="eastAsia" w:ascii="宋体" w:hAnsi="宋体" w:cs="宋体"/>
                <w:color w:val="000000"/>
                <w:sz w:val="22"/>
                <w:szCs w:val="22"/>
                <w:lang w:val="en-US" w:eastAsia="zh-CN"/>
              </w:rPr>
              <w:t>37</w:t>
            </w:r>
          </w:p>
        </w:tc>
        <w:tc>
          <w:tcPr>
            <w:tcW w:w="589" w:type="dxa"/>
            <w:tcBorders>
              <w:top w:val="single" w:color="FFFFFF" w:sz="8" w:space="0"/>
              <w:left w:val="single" w:color="FFFFFF" w:sz="8" w:space="0"/>
              <w:bottom w:val="single" w:color="FFFFFF" w:sz="8" w:space="0"/>
              <w:right w:val="single" w:color="FFFFFF" w:sz="8" w:space="0"/>
            </w:tcBorders>
            <w:shd w:val="clear" w:color="auto" w:fill="D0D8E8"/>
            <w:noWrap/>
            <w:vAlign w:val="center"/>
          </w:tcPr>
          <w:p>
            <w:pPr>
              <w:widowControl/>
              <w:jc w:val="center"/>
              <w:rPr>
                <w:rFonts w:ascii="宋体" w:hAnsi="宋体" w:cs="宋体"/>
                <w:color w:val="000000"/>
                <w:kern w:val="0"/>
                <w:sz w:val="22"/>
                <w:szCs w:val="22"/>
                <w:lang w:val="en-US" w:eastAsia="zh-CN" w:bidi="ar-SA"/>
              </w:rPr>
            </w:pPr>
            <w:r>
              <w:rPr>
                <w:rFonts w:hint="eastAsia" w:ascii="宋体" w:hAnsi="宋体" w:cs="宋体"/>
                <w:color w:val="000000"/>
                <w:kern w:val="0"/>
                <w:sz w:val="22"/>
                <w:szCs w:val="22"/>
              </w:rPr>
              <w:t>4</w:t>
            </w:r>
          </w:p>
        </w:tc>
        <w:tc>
          <w:tcPr>
            <w:tcW w:w="589" w:type="dxa"/>
            <w:tcBorders>
              <w:top w:val="single" w:color="FFFFFF" w:sz="8" w:space="0"/>
              <w:left w:val="single" w:color="FFFFFF" w:sz="8" w:space="0"/>
              <w:bottom w:val="single" w:color="FFFFFF" w:sz="8" w:space="0"/>
              <w:right w:val="single" w:color="FFFFFF" w:sz="8" w:space="0"/>
            </w:tcBorders>
            <w:shd w:val="clear" w:color="auto" w:fill="D0D8E8"/>
            <w:noWrap/>
            <w:vAlign w:val="center"/>
          </w:tcPr>
          <w:p>
            <w:pPr>
              <w:widowControl/>
              <w:jc w:val="center"/>
              <w:rPr>
                <w:rFonts w:hint="eastAsia" w:ascii="宋体" w:hAnsi="宋体" w:eastAsia="宋体" w:cs="宋体"/>
                <w:color w:val="000000"/>
                <w:kern w:val="0"/>
                <w:sz w:val="22"/>
                <w:szCs w:val="22"/>
                <w:lang w:val="en-US" w:eastAsia="zh-CN" w:bidi="ar-SA"/>
              </w:rPr>
            </w:pPr>
            <w:r>
              <w:rPr>
                <w:rFonts w:hint="eastAsia" w:ascii="宋体" w:hAnsi="宋体" w:cs="宋体"/>
                <w:color w:val="000000"/>
                <w:kern w:val="0"/>
                <w:sz w:val="22"/>
                <w:szCs w:val="22"/>
                <w:lang w:val="en-US" w:eastAsia="zh-CN"/>
              </w:rPr>
              <w:t>3</w:t>
            </w:r>
          </w:p>
        </w:tc>
        <w:tc>
          <w:tcPr>
            <w:tcW w:w="588" w:type="dxa"/>
            <w:tcBorders>
              <w:top w:val="single" w:color="FFFFFF" w:sz="8" w:space="0"/>
              <w:left w:val="single" w:color="FFFFFF" w:sz="8" w:space="0"/>
              <w:bottom w:val="single" w:color="FFFFFF" w:sz="8" w:space="0"/>
              <w:right w:val="single" w:color="FFFFFF" w:sz="8" w:space="0"/>
            </w:tcBorders>
            <w:shd w:val="clear" w:color="auto" w:fill="D0D8E8"/>
            <w:noWrap/>
            <w:vAlign w:val="center"/>
          </w:tcPr>
          <w:p>
            <w:pPr>
              <w:spacing w:line="480" w:lineRule="auto"/>
              <w:jc w:val="center"/>
              <w:rPr>
                <w:rFonts w:hint="eastAsia" w:ascii="宋体" w:hAnsi="宋体" w:eastAsia="宋体" w:cs="宋体"/>
                <w:color w:val="000000"/>
                <w:sz w:val="22"/>
                <w:szCs w:val="22"/>
                <w:lang w:val="en-US" w:eastAsia="zh-CN"/>
              </w:rPr>
            </w:pPr>
            <w:r>
              <w:rPr>
                <w:rFonts w:hint="eastAsia" w:ascii="宋体" w:hAnsi="宋体" w:cs="宋体"/>
                <w:color w:val="000000"/>
                <w:sz w:val="22"/>
                <w:szCs w:val="22"/>
                <w:lang w:val="en-US" w:eastAsia="zh-CN"/>
              </w:rPr>
              <w:t>1</w:t>
            </w:r>
          </w:p>
        </w:tc>
        <w:tc>
          <w:tcPr>
            <w:tcW w:w="589" w:type="dxa"/>
            <w:tcBorders>
              <w:top w:val="single" w:color="FFFFFF" w:sz="8" w:space="0"/>
              <w:left w:val="single" w:color="FFFFFF" w:sz="8" w:space="0"/>
              <w:bottom w:val="single" w:color="FFFFFF" w:sz="8" w:space="0"/>
              <w:right w:val="single" w:color="FFFFFF" w:sz="8" w:space="0"/>
            </w:tcBorders>
            <w:shd w:val="clear" w:color="auto" w:fill="D0D8E8"/>
            <w:noWrap/>
            <w:vAlign w:val="center"/>
          </w:tcPr>
          <w:p>
            <w:pPr>
              <w:spacing w:line="480" w:lineRule="auto"/>
              <w:jc w:val="center"/>
              <w:rPr>
                <w:rFonts w:hint="eastAsia" w:ascii="宋体" w:hAnsi="宋体" w:eastAsia="宋体" w:cs="宋体"/>
                <w:color w:val="000000"/>
                <w:sz w:val="22"/>
                <w:szCs w:val="22"/>
                <w:lang w:val="en-US" w:eastAsia="zh-CN"/>
              </w:rPr>
            </w:pPr>
            <w:r>
              <w:rPr>
                <w:rFonts w:hint="eastAsia" w:ascii="宋体" w:hAnsi="宋体" w:cs="宋体"/>
                <w:color w:val="000000"/>
                <w:sz w:val="22"/>
                <w:szCs w:val="22"/>
                <w:lang w:val="en-US" w:eastAsia="zh-CN"/>
              </w:rPr>
              <w:t>0</w:t>
            </w:r>
          </w:p>
        </w:tc>
        <w:tc>
          <w:tcPr>
            <w:tcW w:w="589" w:type="dxa"/>
            <w:tcBorders>
              <w:top w:val="single" w:color="FFFFFF" w:sz="8" w:space="0"/>
              <w:left w:val="single" w:color="FFFFFF" w:sz="8" w:space="0"/>
              <w:bottom w:val="single" w:color="FFFFFF" w:sz="8" w:space="0"/>
              <w:right w:val="single" w:color="FFFFFF" w:sz="8" w:space="0"/>
            </w:tcBorders>
            <w:shd w:val="clear" w:color="auto" w:fill="D0D8E8"/>
            <w:noWrap/>
            <w:vAlign w:val="center"/>
          </w:tcPr>
          <w:p>
            <w:pPr>
              <w:spacing w:line="480" w:lineRule="auto"/>
              <w:jc w:val="center"/>
              <w:rPr>
                <w:rFonts w:hint="eastAsia" w:ascii="宋体" w:hAnsi="宋体" w:eastAsia="宋体" w:cs="宋体"/>
                <w:color w:val="000000"/>
                <w:sz w:val="22"/>
                <w:szCs w:val="22"/>
                <w:lang w:val="en-US" w:eastAsia="zh-CN"/>
              </w:rPr>
            </w:pPr>
            <w:r>
              <w:rPr>
                <w:rFonts w:hint="eastAsia" w:ascii="宋体" w:hAnsi="宋体" w:cs="宋体"/>
                <w:color w:val="000000"/>
                <w:sz w:val="22"/>
                <w:szCs w:val="22"/>
                <w:lang w:val="en-US" w:eastAsia="zh-CN"/>
              </w:rPr>
              <w:t>1</w:t>
            </w:r>
          </w:p>
        </w:tc>
        <w:tc>
          <w:tcPr>
            <w:tcW w:w="589" w:type="dxa"/>
            <w:tcBorders>
              <w:top w:val="single" w:color="FFFFFF" w:sz="8" w:space="0"/>
              <w:left w:val="single" w:color="FFFFFF" w:sz="8" w:space="0"/>
              <w:bottom w:val="single" w:color="FFFFFF" w:sz="8" w:space="0"/>
              <w:right w:val="single" w:color="FFFFFF" w:sz="8" w:space="0"/>
            </w:tcBorders>
            <w:shd w:val="clear" w:color="auto" w:fill="D0D8E8"/>
            <w:noWrap/>
            <w:vAlign w:val="center"/>
          </w:tcPr>
          <w:p>
            <w:pPr>
              <w:spacing w:line="480" w:lineRule="auto"/>
              <w:jc w:val="center"/>
              <w:rPr>
                <w:rFonts w:hint="eastAsia" w:ascii="宋体" w:hAnsi="宋体" w:eastAsia="宋体" w:cs="宋体"/>
                <w:color w:val="000000"/>
                <w:sz w:val="22"/>
                <w:szCs w:val="22"/>
                <w:lang w:val="en-US" w:eastAsia="zh-CN"/>
              </w:rPr>
            </w:pPr>
            <w:r>
              <w:rPr>
                <w:rFonts w:hint="eastAsia" w:ascii="宋体" w:hAnsi="宋体" w:cs="宋体"/>
                <w:color w:val="000000"/>
                <w:sz w:val="22"/>
                <w:szCs w:val="22"/>
                <w:lang w:val="en-US" w:eastAsia="zh-CN"/>
              </w:rPr>
              <w:t>0</w:t>
            </w:r>
          </w:p>
        </w:tc>
        <w:tc>
          <w:tcPr>
            <w:tcW w:w="588" w:type="dxa"/>
            <w:tcBorders>
              <w:top w:val="single" w:color="FFFFFF" w:sz="8" w:space="0"/>
              <w:left w:val="single" w:color="FFFFFF" w:sz="8" w:space="0"/>
              <w:bottom w:val="single" w:color="FFFFFF" w:sz="8" w:space="0"/>
              <w:right w:val="single" w:color="FFFFFF" w:sz="8" w:space="0"/>
            </w:tcBorders>
            <w:shd w:val="clear" w:color="auto" w:fill="D0D8E8"/>
            <w:noWrap w:val="0"/>
            <w:vAlign w:val="center"/>
          </w:tcPr>
          <w:p>
            <w:pPr>
              <w:spacing w:line="480" w:lineRule="auto"/>
              <w:jc w:val="center"/>
              <w:rPr>
                <w:rFonts w:hint="eastAsia" w:eastAsia="宋体"/>
                <w:color w:val="000000"/>
                <w:sz w:val="22"/>
                <w:szCs w:val="22"/>
                <w:lang w:val="en-US" w:eastAsia="zh-CN"/>
              </w:rPr>
            </w:pPr>
            <w:r>
              <w:rPr>
                <w:rFonts w:hint="eastAsia"/>
                <w:color w:val="000000"/>
                <w:sz w:val="22"/>
                <w:szCs w:val="22"/>
                <w:lang w:val="en-US" w:eastAsia="zh-CN"/>
              </w:rPr>
              <w:t>0</w:t>
            </w:r>
          </w:p>
        </w:tc>
        <w:tc>
          <w:tcPr>
            <w:tcW w:w="589" w:type="dxa"/>
            <w:tcBorders>
              <w:top w:val="single" w:color="FFFFFF" w:sz="8" w:space="0"/>
              <w:left w:val="single" w:color="FFFFFF" w:sz="8" w:space="0"/>
              <w:bottom w:val="single" w:color="FFFFFF" w:sz="8" w:space="0"/>
              <w:right w:val="single" w:color="FFFFFF" w:sz="8" w:space="0"/>
            </w:tcBorders>
            <w:shd w:val="clear" w:color="auto" w:fill="D0D8E8"/>
            <w:noWrap w:val="0"/>
            <w:vAlign w:val="center"/>
          </w:tcPr>
          <w:p>
            <w:pPr>
              <w:spacing w:line="480" w:lineRule="auto"/>
              <w:jc w:val="center"/>
              <w:rPr>
                <w:rFonts w:hint="eastAsia" w:eastAsia="宋体"/>
                <w:color w:val="000000"/>
                <w:sz w:val="22"/>
                <w:szCs w:val="22"/>
                <w:lang w:val="en-US" w:eastAsia="zh-CN"/>
              </w:rPr>
            </w:pPr>
            <w:r>
              <w:rPr>
                <w:rFonts w:hint="eastAsia"/>
                <w:color w:val="000000"/>
                <w:sz w:val="22"/>
                <w:szCs w:val="22"/>
                <w:lang w:val="en-US" w:eastAsia="zh-CN"/>
              </w:rPr>
              <w:t>0</w:t>
            </w:r>
          </w:p>
        </w:tc>
        <w:tc>
          <w:tcPr>
            <w:tcW w:w="589" w:type="dxa"/>
            <w:tcBorders>
              <w:top w:val="single" w:color="FFFFFF" w:sz="8" w:space="0"/>
              <w:left w:val="single" w:color="FFFFFF" w:sz="8" w:space="0"/>
              <w:bottom w:val="single" w:color="FFFFFF" w:sz="8" w:space="0"/>
              <w:right w:val="single" w:color="FFFFFF" w:sz="8" w:space="0"/>
            </w:tcBorders>
            <w:shd w:val="clear" w:color="auto" w:fill="D0D8E8"/>
            <w:noWrap/>
            <w:vAlign w:val="center"/>
          </w:tcPr>
          <w:p>
            <w:pPr>
              <w:spacing w:line="480" w:lineRule="auto"/>
              <w:jc w:val="center"/>
              <w:rPr>
                <w:rFonts w:hint="eastAsia" w:ascii="宋体" w:hAnsi="宋体" w:eastAsia="宋体" w:cs="宋体"/>
                <w:color w:val="000000"/>
                <w:sz w:val="22"/>
                <w:szCs w:val="22"/>
                <w:lang w:val="en-US" w:eastAsia="zh-CN"/>
              </w:rPr>
            </w:pPr>
            <w:r>
              <w:rPr>
                <w:rFonts w:hint="eastAsia" w:ascii="宋体" w:hAnsi="宋体" w:cs="宋体"/>
                <w:color w:val="000000"/>
                <w:sz w:val="22"/>
                <w:szCs w:val="22"/>
                <w:lang w:val="en-US" w:eastAsia="zh-CN"/>
              </w:rPr>
              <w:t>1</w:t>
            </w:r>
          </w:p>
        </w:tc>
        <w:tc>
          <w:tcPr>
            <w:tcW w:w="589" w:type="dxa"/>
            <w:tcBorders>
              <w:top w:val="single" w:color="FFFFFF" w:sz="8" w:space="0"/>
              <w:left w:val="single" w:color="FFFFFF" w:sz="8" w:space="0"/>
              <w:bottom w:val="single" w:color="FFFFFF" w:sz="8" w:space="0"/>
              <w:right w:val="single" w:color="FFFFFF" w:sz="8" w:space="0"/>
            </w:tcBorders>
            <w:shd w:val="clear" w:color="auto" w:fill="D0D8E8"/>
            <w:noWrap/>
            <w:vAlign w:val="center"/>
          </w:tcPr>
          <w:p>
            <w:pPr>
              <w:spacing w:line="480" w:lineRule="auto"/>
              <w:jc w:val="center"/>
              <w:rPr>
                <w:rFonts w:hint="default" w:ascii="宋体" w:hAnsi="宋体" w:eastAsia="宋体" w:cs="宋体"/>
                <w:color w:val="000000"/>
                <w:sz w:val="22"/>
                <w:szCs w:val="22"/>
                <w:lang w:val="en-US" w:eastAsia="zh-CN"/>
              </w:rPr>
            </w:pPr>
            <w:r>
              <w:rPr>
                <w:rFonts w:hint="eastAsia" w:ascii="宋体" w:hAnsi="宋体" w:cs="宋体"/>
                <w:color w:val="000000"/>
                <w:sz w:val="22"/>
                <w:szCs w:val="22"/>
                <w:lang w:val="en-US" w:eastAsia="zh-CN"/>
              </w:rPr>
              <w:t>27</w:t>
            </w:r>
          </w:p>
        </w:tc>
      </w:tr>
      <w:tr>
        <w:tblPrEx>
          <w:tblCellMar>
            <w:top w:w="0" w:type="dxa"/>
            <w:left w:w="108" w:type="dxa"/>
            <w:bottom w:w="0" w:type="dxa"/>
            <w:right w:w="108" w:type="dxa"/>
          </w:tblCellMar>
        </w:tblPrEx>
        <w:trPr>
          <w:trHeight w:val="270" w:hRule="atLeast"/>
          <w:jc w:val="center"/>
        </w:trPr>
        <w:tc>
          <w:tcPr>
            <w:tcW w:w="1380" w:type="dxa"/>
            <w:tcBorders>
              <w:top w:val="single" w:color="FFFFFF" w:sz="8" w:space="0"/>
              <w:left w:val="single" w:color="FFFFFF" w:sz="8" w:space="0"/>
              <w:bottom w:val="single" w:color="FFFFFF" w:sz="8" w:space="0"/>
              <w:right w:val="single" w:color="FFFFFF" w:sz="8" w:space="0"/>
            </w:tcBorders>
            <w:shd w:val="clear" w:color="auto" w:fill="E9EDF4"/>
            <w:noWrap/>
            <w:vAlign w:val="center"/>
          </w:tcPr>
          <w:p>
            <w:pPr>
              <w:spacing w:line="480" w:lineRule="auto"/>
              <w:jc w:val="center"/>
              <w:rPr>
                <w:rFonts w:ascii="宋体" w:hAnsi="宋体" w:cs="宋体"/>
                <w:b/>
                <w:color w:val="000000"/>
                <w:sz w:val="22"/>
                <w:szCs w:val="22"/>
              </w:rPr>
            </w:pPr>
            <w:r>
              <w:rPr>
                <w:rFonts w:hint="eastAsia"/>
                <w:b/>
                <w:color w:val="000000"/>
                <w:sz w:val="22"/>
                <w:szCs w:val="22"/>
              </w:rPr>
              <w:t>会计学</w:t>
            </w:r>
          </w:p>
        </w:tc>
        <w:tc>
          <w:tcPr>
            <w:tcW w:w="588" w:type="dxa"/>
            <w:tcBorders>
              <w:top w:val="single" w:color="FFFFFF" w:sz="8" w:space="0"/>
              <w:left w:val="single" w:color="FFFFFF" w:sz="8" w:space="0"/>
              <w:bottom w:val="single" w:color="FFFFFF" w:sz="8" w:space="0"/>
              <w:right w:val="single" w:color="FFFFFF" w:sz="8" w:space="0"/>
            </w:tcBorders>
            <w:shd w:val="clear" w:color="auto" w:fill="E9EDF4"/>
            <w:noWrap/>
            <w:vAlign w:val="center"/>
          </w:tcPr>
          <w:p>
            <w:pPr>
              <w:widowControl/>
              <w:jc w:val="center"/>
              <w:rPr>
                <w:rFonts w:hint="default" w:ascii="宋体" w:hAnsi="宋体" w:eastAsia="宋体" w:cs="宋体"/>
                <w:color w:val="000000"/>
                <w:kern w:val="0"/>
                <w:sz w:val="22"/>
                <w:szCs w:val="22"/>
                <w:lang w:val="en-US" w:eastAsia="zh-CN" w:bidi="ar-SA"/>
              </w:rPr>
            </w:pPr>
            <w:r>
              <w:rPr>
                <w:rFonts w:hint="eastAsia" w:ascii="宋体" w:hAnsi="宋体" w:cs="宋体"/>
                <w:color w:val="000000"/>
                <w:kern w:val="0"/>
                <w:sz w:val="22"/>
                <w:szCs w:val="22"/>
                <w:lang w:val="en-US" w:eastAsia="zh-CN"/>
              </w:rPr>
              <w:t>89</w:t>
            </w:r>
          </w:p>
        </w:tc>
        <w:tc>
          <w:tcPr>
            <w:tcW w:w="589" w:type="dxa"/>
            <w:tcBorders>
              <w:top w:val="single" w:color="FFFFFF" w:sz="8" w:space="0"/>
              <w:left w:val="single" w:color="FFFFFF" w:sz="8" w:space="0"/>
              <w:bottom w:val="single" w:color="FFFFFF" w:sz="8" w:space="0"/>
              <w:right w:val="single" w:color="FFFFFF" w:sz="8" w:space="0"/>
            </w:tcBorders>
            <w:shd w:val="clear" w:color="auto" w:fill="E9EDF4"/>
            <w:noWrap/>
            <w:vAlign w:val="center"/>
          </w:tcPr>
          <w:p>
            <w:pPr>
              <w:spacing w:line="480" w:lineRule="auto"/>
              <w:jc w:val="center"/>
              <w:rPr>
                <w:rFonts w:hint="default" w:ascii="宋体" w:hAnsi="宋体" w:eastAsia="宋体" w:cs="宋体"/>
                <w:color w:val="000000"/>
                <w:sz w:val="22"/>
                <w:szCs w:val="22"/>
                <w:lang w:val="en-US" w:eastAsia="zh-CN"/>
              </w:rPr>
            </w:pPr>
            <w:r>
              <w:rPr>
                <w:rFonts w:hint="eastAsia" w:ascii="宋体" w:hAnsi="宋体" w:cs="宋体"/>
                <w:color w:val="000000"/>
                <w:sz w:val="22"/>
                <w:szCs w:val="22"/>
                <w:lang w:val="en-US" w:eastAsia="zh-CN"/>
              </w:rPr>
              <w:t>73</w:t>
            </w:r>
          </w:p>
        </w:tc>
        <w:tc>
          <w:tcPr>
            <w:tcW w:w="589" w:type="dxa"/>
            <w:tcBorders>
              <w:top w:val="single" w:color="FFFFFF" w:sz="8" w:space="0"/>
              <w:left w:val="single" w:color="FFFFFF" w:sz="8" w:space="0"/>
              <w:bottom w:val="single" w:color="FFFFFF" w:sz="8" w:space="0"/>
              <w:right w:val="single" w:color="FFFFFF" w:sz="8" w:space="0"/>
            </w:tcBorders>
            <w:shd w:val="clear" w:color="auto" w:fill="E9EDF4"/>
            <w:noWrap/>
            <w:vAlign w:val="center"/>
          </w:tcPr>
          <w:p>
            <w:pPr>
              <w:widowControl/>
              <w:jc w:val="center"/>
              <w:rPr>
                <w:rFonts w:hint="eastAsia" w:ascii="宋体" w:hAnsi="宋体" w:eastAsia="宋体" w:cs="宋体"/>
                <w:color w:val="000000"/>
                <w:kern w:val="0"/>
                <w:sz w:val="22"/>
                <w:szCs w:val="22"/>
                <w:lang w:val="en-US" w:eastAsia="zh-CN" w:bidi="ar-SA"/>
              </w:rPr>
            </w:pPr>
            <w:r>
              <w:rPr>
                <w:rFonts w:hint="eastAsia" w:ascii="宋体" w:hAnsi="宋体" w:cs="宋体"/>
                <w:color w:val="000000"/>
                <w:kern w:val="0"/>
                <w:sz w:val="22"/>
                <w:szCs w:val="22"/>
                <w:lang w:val="en-US" w:eastAsia="zh-CN"/>
              </w:rPr>
              <w:t>7</w:t>
            </w:r>
          </w:p>
        </w:tc>
        <w:tc>
          <w:tcPr>
            <w:tcW w:w="589" w:type="dxa"/>
            <w:tcBorders>
              <w:top w:val="single" w:color="FFFFFF" w:sz="8" w:space="0"/>
              <w:left w:val="single" w:color="FFFFFF" w:sz="8" w:space="0"/>
              <w:bottom w:val="single" w:color="FFFFFF" w:sz="8" w:space="0"/>
              <w:right w:val="single" w:color="FFFFFF" w:sz="8" w:space="0"/>
            </w:tcBorders>
            <w:shd w:val="clear" w:color="auto" w:fill="E9EDF4"/>
            <w:noWrap/>
            <w:vAlign w:val="center"/>
          </w:tcPr>
          <w:p>
            <w:pPr>
              <w:widowControl/>
              <w:jc w:val="center"/>
              <w:rPr>
                <w:rFonts w:hint="eastAsia" w:ascii="宋体" w:hAnsi="宋体" w:eastAsia="宋体" w:cs="宋体"/>
                <w:color w:val="000000"/>
                <w:kern w:val="0"/>
                <w:sz w:val="22"/>
                <w:szCs w:val="22"/>
                <w:lang w:val="en-US" w:eastAsia="zh-CN" w:bidi="ar-SA"/>
              </w:rPr>
            </w:pPr>
            <w:r>
              <w:rPr>
                <w:rFonts w:hint="eastAsia" w:ascii="宋体" w:hAnsi="宋体" w:cs="宋体"/>
                <w:color w:val="000000"/>
                <w:kern w:val="0"/>
                <w:sz w:val="22"/>
                <w:szCs w:val="22"/>
                <w:lang w:val="en-US" w:eastAsia="zh-CN"/>
              </w:rPr>
              <w:t>2</w:t>
            </w:r>
          </w:p>
        </w:tc>
        <w:tc>
          <w:tcPr>
            <w:tcW w:w="588" w:type="dxa"/>
            <w:tcBorders>
              <w:top w:val="single" w:color="FFFFFF" w:sz="8" w:space="0"/>
              <w:left w:val="single" w:color="FFFFFF" w:sz="8" w:space="0"/>
              <w:bottom w:val="single" w:color="FFFFFF" w:sz="8" w:space="0"/>
              <w:right w:val="single" w:color="FFFFFF" w:sz="8" w:space="0"/>
            </w:tcBorders>
            <w:shd w:val="clear" w:color="auto" w:fill="E9EDF4"/>
            <w:noWrap/>
            <w:vAlign w:val="center"/>
          </w:tcPr>
          <w:p>
            <w:pPr>
              <w:spacing w:line="480" w:lineRule="auto"/>
              <w:jc w:val="center"/>
              <w:rPr>
                <w:rFonts w:hint="eastAsia" w:ascii="宋体" w:hAnsi="宋体" w:eastAsia="宋体" w:cs="宋体"/>
                <w:color w:val="000000"/>
                <w:sz w:val="22"/>
                <w:szCs w:val="22"/>
                <w:lang w:val="en-US" w:eastAsia="zh-CN"/>
              </w:rPr>
            </w:pPr>
            <w:r>
              <w:rPr>
                <w:rFonts w:hint="eastAsia" w:ascii="宋体" w:hAnsi="宋体" w:cs="宋体"/>
                <w:color w:val="000000"/>
                <w:sz w:val="22"/>
                <w:szCs w:val="22"/>
                <w:lang w:val="en-US" w:eastAsia="zh-CN"/>
              </w:rPr>
              <w:t>3</w:t>
            </w:r>
          </w:p>
        </w:tc>
        <w:tc>
          <w:tcPr>
            <w:tcW w:w="589" w:type="dxa"/>
            <w:tcBorders>
              <w:top w:val="single" w:color="FFFFFF" w:sz="8" w:space="0"/>
              <w:left w:val="single" w:color="FFFFFF" w:sz="8" w:space="0"/>
              <w:bottom w:val="single" w:color="FFFFFF" w:sz="8" w:space="0"/>
              <w:right w:val="single" w:color="FFFFFF" w:sz="8" w:space="0"/>
            </w:tcBorders>
            <w:shd w:val="clear" w:color="auto" w:fill="E9EDF4"/>
            <w:noWrap/>
            <w:vAlign w:val="center"/>
          </w:tcPr>
          <w:p>
            <w:pPr>
              <w:spacing w:line="480" w:lineRule="auto"/>
              <w:jc w:val="center"/>
              <w:rPr>
                <w:rFonts w:hint="eastAsia" w:ascii="宋体" w:hAnsi="宋体" w:eastAsia="宋体" w:cs="宋体"/>
                <w:color w:val="000000"/>
                <w:sz w:val="22"/>
                <w:szCs w:val="22"/>
                <w:lang w:val="en-US" w:eastAsia="zh-CN"/>
              </w:rPr>
            </w:pPr>
            <w:r>
              <w:rPr>
                <w:rFonts w:hint="eastAsia" w:ascii="宋体" w:hAnsi="宋体" w:cs="宋体"/>
                <w:color w:val="000000"/>
                <w:sz w:val="22"/>
                <w:szCs w:val="22"/>
                <w:lang w:val="en-US" w:eastAsia="zh-CN"/>
              </w:rPr>
              <w:t>0</w:t>
            </w:r>
          </w:p>
        </w:tc>
        <w:tc>
          <w:tcPr>
            <w:tcW w:w="589" w:type="dxa"/>
            <w:tcBorders>
              <w:top w:val="single" w:color="FFFFFF" w:sz="8" w:space="0"/>
              <w:left w:val="single" w:color="FFFFFF" w:sz="8" w:space="0"/>
              <w:bottom w:val="single" w:color="FFFFFF" w:sz="8" w:space="0"/>
              <w:right w:val="single" w:color="FFFFFF" w:sz="8" w:space="0"/>
            </w:tcBorders>
            <w:shd w:val="clear" w:color="auto" w:fill="E9EDF4"/>
            <w:noWrap/>
            <w:vAlign w:val="center"/>
          </w:tcPr>
          <w:p>
            <w:pPr>
              <w:spacing w:line="480" w:lineRule="auto"/>
              <w:jc w:val="center"/>
              <w:rPr>
                <w:rFonts w:hint="eastAsia" w:ascii="宋体" w:hAnsi="宋体" w:eastAsia="宋体" w:cs="宋体"/>
                <w:color w:val="000000"/>
                <w:sz w:val="22"/>
                <w:szCs w:val="22"/>
                <w:lang w:val="en-US" w:eastAsia="zh-CN"/>
              </w:rPr>
            </w:pPr>
            <w:r>
              <w:rPr>
                <w:rFonts w:hint="eastAsia" w:ascii="宋体" w:hAnsi="宋体" w:cs="宋体"/>
                <w:b/>
                <w:bCs/>
                <w:color w:val="FF0000"/>
                <w:sz w:val="22"/>
                <w:szCs w:val="22"/>
                <w:lang w:val="en-US" w:eastAsia="zh-CN"/>
              </w:rPr>
              <w:t>3</w:t>
            </w:r>
          </w:p>
        </w:tc>
        <w:tc>
          <w:tcPr>
            <w:tcW w:w="589" w:type="dxa"/>
            <w:tcBorders>
              <w:top w:val="single" w:color="FFFFFF" w:sz="8" w:space="0"/>
              <w:left w:val="single" w:color="FFFFFF" w:sz="8" w:space="0"/>
              <w:bottom w:val="single" w:color="FFFFFF" w:sz="8" w:space="0"/>
              <w:right w:val="single" w:color="FFFFFF" w:sz="8" w:space="0"/>
            </w:tcBorders>
            <w:shd w:val="clear" w:color="auto" w:fill="E9EDF4"/>
            <w:noWrap/>
            <w:vAlign w:val="center"/>
          </w:tcPr>
          <w:p>
            <w:pPr>
              <w:spacing w:line="480" w:lineRule="auto"/>
              <w:jc w:val="center"/>
              <w:rPr>
                <w:rFonts w:hint="eastAsia" w:ascii="宋体" w:hAnsi="宋体" w:eastAsia="宋体" w:cs="宋体"/>
                <w:color w:val="000000"/>
                <w:sz w:val="22"/>
                <w:szCs w:val="22"/>
                <w:lang w:val="en-US" w:eastAsia="zh-CN"/>
              </w:rPr>
            </w:pPr>
            <w:r>
              <w:rPr>
                <w:rFonts w:hint="eastAsia" w:ascii="宋体" w:hAnsi="宋体" w:cs="宋体"/>
                <w:color w:val="000000"/>
                <w:sz w:val="22"/>
                <w:szCs w:val="22"/>
                <w:lang w:val="en-US" w:eastAsia="zh-CN"/>
              </w:rPr>
              <w:t>0</w:t>
            </w:r>
          </w:p>
        </w:tc>
        <w:tc>
          <w:tcPr>
            <w:tcW w:w="588" w:type="dxa"/>
            <w:tcBorders>
              <w:top w:val="single" w:color="FFFFFF" w:sz="8" w:space="0"/>
              <w:left w:val="single" w:color="FFFFFF" w:sz="8" w:space="0"/>
              <w:bottom w:val="single" w:color="FFFFFF" w:sz="8" w:space="0"/>
              <w:right w:val="single" w:color="FFFFFF" w:sz="8" w:space="0"/>
            </w:tcBorders>
            <w:shd w:val="clear" w:color="auto" w:fill="E9EDF4"/>
            <w:noWrap w:val="0"/>
            <w:vAlign w:val="center"/>
          </w:tcPr>
          <w:p>
            <w:pPr>
              <w:spacing w:line="480" w:lineRule="auto"/>
              <w:jc w:val="center"/>
              <w:rPr>
                <w:rFonts w:hint="eastAsia" w:eastAsia="宋体"/>
                <w:b/>
                <w:bCs/>
                <w:color w:val="FF0000"/>
                <w:sz w:val="22"/>
                <w:szCs w:val="22"/>
                <w:lang w:val="en-US" w:eastAsia="zh-CN"/>
              </w:rPr>
            </w:pPr>
            <w:r>
              <w:rPr>
                <w:rFonts w:hint="eastAsia"/>
                <w:b/>
                <w:bCs/>
                <w:color w:val="FF0000"/>
                <w:sz w:val="22"/>
                <w:szCs w:val="22"/>
                <w:lang w:val="en-US" w:eastAsia="zh-CN"/>
              </w:rPr>
              <w:t>1</w:t>
            </w:r>
          </w:p>
        </w:tc>
        <w:tc>
          <w:tcPr>
            <w:tcW w:w="589" w:type="dxa"/>
            <w:tcBorders>
              <w:top w:val="single" w:color="FFFFFF" w:sz="8" w:space="0"/>
              <w:left w:val="single" w:color="FFFFFF" w:sz="8" w:space="0"/>
              <w:bottom w:val="single" w:color="FFFFFF" w:sz="8" w:space="0"/>
              <w:right w:val="single" w:color="FFFFFF" w:sz="8" w:space="0"/>
            </w:tcBorders>
            <w:shd w:val="clear" w:color="auto" w:fill="E9EDF4"/>
            <w:noWrap w:val="0"/>
            <w:vAlign w:val="center"/>
          </w:tcPr>
          <w:p>
            <w:pPr>
              <w:spacing w:line="480" w:lineRule="auto"/>
              <w:jc w:val="center"/>
              <w:rPr>
                <w:rFonts w:hint="eastAsia" w:eastAsia="宋体"/>
                <w:color w:val="000000"/>
                <w:sz w:val="22"/>
                <w:szCs w:val="22"/>
                <w:lang w:val="en-US" w:eastAsia="zh-CN"/>
              </w:rPr>
            </w:pPr>
            <w:r>
              <w:rPr>
                <w:rFonts w:hint="eastAsia"/>
                <w:color w:val="000000"/>
                <w:sz w:val="22"/>
                <w:szCs w:val="22"/>
                <w:lang w:val="en-US" w:eastAsia="zh-CN"/>
              </w:rPr>
              <w:t>7</w:t>
            </w:r>
          </w:p>
        </w:tc>
        <w:tc>
          <w:tcPr>
            <w:tcW w:w="589" w:type="dxa"/>
            <w:tcBorders>
              <w:top w:val="single" w:color="FFFFFF" w:sz="8" w:space="0"/>
              <w:left w:val="single" w:color="FFFFFF" w:sz="8" w:space="0"/>
              <w:bottom w:val="single" w:color="FFFFFF" w:sz="8" w:space="0"/>
              <w:right w:val="single" w:color="FFFFFF" w:sz="8" w:space="0"/>
            </w:tcBorders>
            <w:shd w:val="clear" w:color="auto" w:fill="E9EDF4"/>
            <w:noWrap/>
            <w:vAlign w:val="center"/>
          </w:tcPr>
          <w:p>
            <w:pPr>
              <w:spacing w:line="480" w:lineRule="auto"/>
              <w:jc w:val="center"/>
              <w:rPr>
                <w:rFonts w:hint="eastAsia" w:ascii="宋体" w:hAnsi="宋体" w:eastAsia="宋体" w:cs="宋体"/>
                <w:color w:val="000000"/>
                <w:sz w:val="22"/>
                <w:szCs w:val="22"/>
                <w:lang w:val="en-US" w:eastAsia="zh-CN"/>
              </w:rPr>
            </w:pPr>
            <w:r>
              <w:rPr>
                <w:rFonts w:hint="eastAsia" w:ascii="宋体" w:hAnsi="宋体" w:cs="宋体"/>
                <w:color w:val="000000"/>
                <w:sz w:val="22"/>
                <w:szCs w:val="22"/>
                <w:lang w:val="en-US" w:eastAsia="zh-CN"/>
              </w:rPr>
              <w:t>1</w:t>
            </w:r>
          </w:p>
        </w:tc>
        <w:tc>
          <w:tcPr>
            <w:tcW w:w="589" w:type="dxa"/>
            <w:tcBorders>
              <w:top w:val="single" w:color="FFFFFF" w:sz="8" w:space="0"/>
              <w:left w:val="single" w:color="FFFFFF" w:sz="8" w:space="0"/>
              <w:bottom w:val="single" w:color="FFFFFF" w:sz="8" w:space="0"/>
              <w:right w:val="single" w:color="FFFFFF" w:sz="8" w:space="0"/>
            </w:tcBorders>
            <w:shd w:val="clear" w:color="auto" w:fill="E9EDF4"/>
            <w:noWrap/>
            <w:vAlign w:val="center"/>
          </w:tcPr>
          <w:p>
            <w:pPr>
              <w:spacing w:line="480" w:lineRule="auto"/>
              <w:jc w:val="center"/>
              <w:rPr>
                <w:rFonts w:hint="default" w:ascii="宋体" w:hAnsi="宋体" w:eastAsia="宋体" w:cs="宋体"/>
                <w:color w:val="000000"/>
                <w:sz w:val="22"/>
                <w:szCs w:val="22"/>
                <w:lang w:val="en-US" w:eastAsia="zh-CN"/>
              </w:rPr>
            </w:pPr>
            <w:r>
              <w:rPr>
                <w:rFonts w:hint="eastAsia" w:ascii="宋体" w:hAnsi="宋体" w:cs="宋体"/>
                <w:color w:val="000000"/>
                <w:sz w:val="22"/>
                <w:szCs w:val="22"/>
                <w:lang w:val="en-US" w:eastAsia="zh-CN"/>
              </w:rPr>
              <w:t>50</w:t>
            </w:r>
          </w:p>
        </w:tc>
      </w:tr>
      <w:tr>
        <w:tblPrEx>
          <w:tblCellMar>
            <w:top w:w="0" w:type="dxa"/>
            <w:left w:w="108" w:type="dxa"/>
            <w:bottom w:w="0" w:type="dxa"/>
            <w:right w:w="108" w:type="dxa"/>
          </w:tblCellMar>
        </w:tblPrEx>
        <w:trPr>
          <w:trHeight w:val="270" w:hRule="atLeast"/>
          <w:jc w:val="center"/>
        </w:trPr>
        <w:tc>
          <w:tcPr>
            <w:tcW w:w="1380" w:type="dxa"/>
            <w:tcBorders>
              <w:top w:val="single" w:color="FFFFFF" w:sz="8" w:space="0"/>
              <w:left w:val="single" w:color="FFFFFF" w:sz="8" w:space="0"/>
              <w:bottom w:val="single" w:color="FFFFFF" w:sz="8" w:space="0"/>
              <w:right w:val="single" w:color="FFFFFF" w:sz="8" w:space="0"/>
            </w:tcBorders>
            <w:shd w:val="clear" w:color="auto" w:fill="D0D8E8"/>
            <w:noWrap/>
            <w:vAlign w:val="center"/>
          </w:tcPr>
          <w:p>
            <w:pPr>
              <w:spacing w:line="480" w:lineRule="auto"/>
              <w:jc w:val="center"/>
              <w:rPr>
                <w:rFonts w:ascii="宋体" w:hAnsi="宋体" w:cs="宋体"/>
                <w:b/>
                <w:color w:val="000000"/>
                <w:sz w:val="22"/>
                <w:szCs w:val="22"/>
              </w:rPr>
            </w:pPr>
            <w:r>
              <w:rPr>
                <w:rFonts w:hint="eastAsia"/>
                <w:b/>
                <w:color w:val="000000"/>
                <w:sz w:val="22"/>
                <w:szCs w:val="22"/>
              </w:rPr>
              <w:t>物流管理</w:t>
            </w:r>
          </w:p>
        </w:tc>
        <w:tc>
          <w:tcPr>
            <w:tcW w:w="588" w:type="dxa"/>
            <w:tcBorders>
              <w:top w:val="single" w:color="FFFFFF" w:sz="8" w:space="0"/>
              <w:left w:val="single" w:color="FFFFFF" w:sz="8" w:space="0"/>
              <w:bottom w:val="single" w:color="FFFFFF" w:sz="8" w:space="0"/>
              <w:right w:val="single" w:color="FFFFFF" w:sz="8" w:space="0"/>
            </w:tcBorders>
            <w:shd w:val="clear" w:color="auto" w:fill="D0D8E8"/>
            <w:noWrap/>
            <w:vAlign w:val="center"/>
          </w:tcPr>
          <w:p>
            <w:pPr>
              <w:widowControl/>
              <w:jc w:val="center"/>
              <w:rPr>
                <w:rFonts w:hint="default" w:ascii="宋体" w:hAnsi="宋体" w:eastAsia="宋体" w:cs="宋体"/>
                <w:color w:val="000000"/>
                <w:kern w:val="0"/>
                <w:sz w:val="22"/>
                <w:szCs w:val="22"/>
                <w:lang w:val="en-US" w:eastAsia="zh-CN" w:bidi="ar-SA"/>
              </w:rPr>
            </w:pPr>
            <w:r>
              <w:rPr>
                <w:rFonts w:hint="eastAsia" w:ascii="宋体" w:hAnsi="宋体" w:cs="宋体"/>
                <w:color w:val="000000"/>
                <w:kern w:val="0"/>
                <w:sz w:val="22"/>
                <w:szCs w:val="22"/>
                <w:lang w:val="en-US" w:eastAsia="zh-CN"/>
              </w:rPr>
              <w:t>68</w:t>
            </w:r>
          </w:p>
        </w:tc>
        <w:tc>
          <w:tcPr>
            <w:tcW w:w="589" w:type="dxa"/>
            <w:tcBorders>
              <w:top w:val="single" w:color="FFFFFF" w:sz="8" w:space="0"/>
              <w:left w:val="single" w:color="FFFFFF" w:sz="8" w:space="0"/>
              <w:bottom w:val="single" w:color="FFFFFF" w:sz="8" w:space="0"/>
              <w:right w:val="single" w:color="FFFFFF" w:sz="8" w:space="0"/>
            </w:tcBorders>
            <w:shd w:val="clear" w:color="auto" w:fill="D0D8E8"/>
            <w:noWrap/>
            <w:vAlign w:val="center"/>
          </w:tcPr>
          <w:p>
            <w:pPr>
              <w:spacing w:line="480" w:lineRule="auto"/>
              <w:jc w:val="center"/>
              <w:rPr>
                <w:rFonts w:hint="default" w:ascii="宋体" w:hAnsi="宋体" w:eastAsia="宋体" w:cs="宋体"/>
                <w:color w:val="000000"/>
                <w:sz w:val="22"/>
                <w:szCs w:val="22"/>
                <w:lang w:val="en-US" w:eastAsia="zh-CN"/>
              </w:rPr>
            </w:pPr>
            <w:r>
              <w:rPr>
                <w:rFonts w:hint="eastAsia" w:ascii="宋体" w:hAnsi="宋体" w:cs="宋体"/>
                <w:color w:val="000000"/>
                <w:sz w:val="22"/>
                <w:szCs w:val="22"/>
                <w:lang w:val="en-US" w:eastAsia="zh-CN"/>
              </w:rPr>
              <w:t>67</w:t>
            </w:r>
          </w:p>
        </w:tc>
        <w:tc>
          <w:tcPr>
            <w:tcW w:w="589" w:type="dxa"/>
            <w:tcBorders>
              <w:top w:val="single" w:color="FFFFFF" w:sz="8" w:space="0"/>
              <w:left w:val="single" w:color="FFFFFF" w:sz="8" w:space="0"/>
              <w:bottom w:val="single" w:color="FFFFFF" w:sz="8" w:space="0"/>
              <w:right w:val="single" w:color="FFFFFF" w:sz="8" w:space="0"/>
            </w:tcBorders>
            <w:shd w:val="clear" w:color="auto" w:fill="D0D8E8"/>
            <w:noWrap/>
            <w:vAlign w:val="center"/>
          </w:tcPr>
          <w:p>
            <w:pPr>
              <w:widowControl/>
              <w:jc w:val="center"/>
              <w:rPr>
                <w:rFonts w:hint="eastAsia" w:ascii="宋体" w:hAnsi="宋体" w:eastAsia="宋体" w:cs="宋体"/>
                <w:color w:val="000000"/>
                <w:kern w:val="0"/>
                <w:sz w:val="22"/>
                <w:szCs w:val="22"/>
                <w:lang w:val="en-US" w:eastAsia="zh-CN" w:bidi="ar-SA"/>
              </w:rPr>
            </w:pPr>
            <w:r>
              <w:rPr>
                <w:rFonts w:hint="eastAsia" w:ascii="宋体" w:hAnsi="宋体" w:cs="宋体"/>
                <w:color w:val="000000"/>
                <w:kern w:val="0"/>
                <w:sz w:val="22"/>
                <w:szCs w:val="22"/>
                <w:lang w:val="en-US" w:eastAsia="zh-CN"/>
              </w:rPr>
              <w:t>7</w:t>
            </w:r>
          </w:p>
        </w:tc>
        <w:tc>
          <w:tcPr>
            <w:tcW w:w="589" w:type="dxa"/>
            <w:tcBorders>
              <w:top w:val="single" w:color="FFFFFF" w:sz="8" w:space="0"/>
              <w:left w:val="single" w:color="FFFFFF" w:sz="8" w:space="0"/>
              <w:bottom w:val="single" w:color="FFFFFF" w:sz="8" w:space="0"/>
              <w:right w:val="single" w:color="FFFFFF" w:sz="8" w:space="0"/>
            </w:tcBorders>
            <w:shd w:val="clear" w:color="auto" w:fill="D0D8E8"/>
            <w:noWrap/>
            <w:vAlign w:val="center"/>
          </w:tcPr>
          <w:p>
            <w:pPr>
              <w:widowControl/>
              <w:jc w:val="center"/>
              <w:rPr>
                <w:rFonts w:hint="eastAsia" w:ascii="宋体" w:hAnsi="宋体" w:eastAsia="宋体" w:cs="宋体"/>
                <w:color w:val="000000"/>
                <w:kern w:val="0"/>
                <w:sz w:val="22"/>
                <w:szCs w:val="22"/>
                <w:lang w:val="en-US" w:eastAsia="zh-CN" w:bidi="ar-SA"/>
              </w:rPr>
            </w:pPr>
            <w:r>
              <w:rPr>
                <w:rFonts w:hint="eastAsia" w:ascii="宋体" w:hAnsi="宋体" w:cs="宋体"/>
                <w:color w:val="000000"/>
                <w:kern w:val="0"/>
                <w:sz w:val="22"/>
                <w:szCs w:val="22"/>
                <w:lang w:val="en-US" w:eastAsia="zh-CN"/>
              </w:rPr>
              <w:t>2</w:t>
            </w:r>
          </w:p>
        </w:tc>
        <w:tc>
          <w:tcPr>
            <w:tcW w:w="588" w:type="dxa"/>
            <w:tcBorders>
              <w:top w:val="single" w:color="FFFFFF" w:sz="8" w:space="0"/>
              <w:left w:val="single" w:color="FFFFFF" w:sz="8" w:space="0"/>
              <w:bottom w:val="single" w:color="FFFFFF" w:sz="8" w:space="0"/>
              <w:right w:val="single" w:color="FFFFFF" w:sz="8" w:space="0"/>
            </w:tcBorders>
            <w:shd w:val="clear" w:color="auto" w:fill="D0D8E8"/>
            <w:noWrap/>
            <w:vAlign w:val="center"/>
          </w:tcPr>
          <w:p>
            <w:pPr>
              <w:spacing w:line="480" w:lineRule="auto"/>
              <w:jc w:val="center"/>
              <w:rPr>
                <w:rFonts w:hint="eastAsia" w:ascii="宋体" w:hAnsi="宋体" w:eastAsia="宋体" w:cs="宋体"/>
                <w:color w:val="000000"/>
                <w:sz w:val="22"/>
                <w:szCs w:val="22"/>
                <w:lang w:val="en-US" w:eastAsia="zh-CN"/>
              </w:rPr>
            </w:pPr>
            <w:r>
              <w:rPr>
                <w:rFonts w:hint="eastAsia" w:ascii="宋体" w:hAnsi="宋体" w:cs="宋体"/>
                <w:b/>
                <w:bCs/>
                <w:color w:val="FF0000"/>
                <w:sz w:val="22"/>
                <w:szCs w:val="22"/>
                <w:lang w:val="en-US" w:eastAsia="zh-CN"/>
              </w:rPr>
              <w:t>4</w:t>
            </w:r>
          </w:p>
        </w:tc>
        <w:tc>
          <w:tcPr>
            <w:tcW w:w="589" w:type="dxa"/>
            <w:tcBorders>
              <w:top w:val="single" w:color="FFFFFF" w:sz="8" w:space="0"/>
              <w:left w:val="single" w:color="FFFFFF" w:sz="8" w:space="0"/>
              <w:bottom w:val="single" w:color="FFFFFF" w:sz="8" w:space="0"/>
              <w:right w:val="single" w:color="FFFFFF" w:sz="8" w:space="0"/>
            </w:tcBorders>
            <w:shd w:val="clear" w:color="auto" w:fill="D0D8E8"/>
            <w:noWrap/>
            <w:vAlign w:val="center"/>
          </w:tcPr>
          <w:p>
            <w:pPr>
              <w:spacing w:line="480" w:lineRule="auto"/>
              <w:jc w:val="center"/>
              <w:rPr>
                <w:rFonts w:hint="eastAsia" w:ascii="宋体" w:hAnsi="宋体" w:eastAsia="宋体" w:cs="宋体"/>
                <w:color w:val="000000"/>
                <w:sz w:val="22"/>
                <w:szCs w:val="22"/>
                <w:lang w:val="en-US" w:eastAsia="zh-CN"/>
              </w:rPr>
            </w:pPr>
            <w:r>
              <w:rPr>
                <w:rFonts w:hint="eastAsia" w:ascii="宋体" w:hAnsi="宋体" w:cs="宋体"/>
                <w:color w:val="000000"/>
                <w:sz w:val="22"/>
                <w:szCs w:val="22"/>
                <w:lang w:val="en-US" w:eastAsia="zh-CN"/>
              </w:rPr>
              <w:t>0</w:t>
            </w:r>
          </w:p>
        </w:tc>
        <w:tc>
          <w:tcPr>
            <w:tcW w:w="589" w:type="dxa"/>
            <w:tcBorders>
              <w:top w:val="single" w:color="FFFFFF" w:sz="8" w:space="0"/>
              <w:left w:val="single" w:color="FFFFFF" w:sz="8" w:space="0"/>
              <w:bottom w:val="single" w:color="FFFFFF" w:sz="8" w:space="0"/>
              <w:right w:val="single" w:color="FFFFFF" w:sz="8" w:space="0"/>
            </w:tcBorders>
            <w:shd w:val="clear" w:color="auto" w:fill="D0D8E8"/>
            <w:noWrap/>
            <w:vAlign w:val="center"/>
          </w:tcPr>
          <w:p>
            <w:pPr>
              <w:spacing w:line="480" w:lineRule="auto"/>
              <w:jc w:val="center"/>
              <w:rPr>
                <w:rFonts w:hint="eastAsia" w:ascii="宋体" w:hAnsi="宋体" w:eastAsia="宋体" w:cs="宋体"/>
                <w:color w:val="000000"/>
                <w:sz w:val="22"/>
                <w:szCs w:val="22"/>
                <w:lang w:val="en-US" w:eastAsia="zh-CN"/>
              </w:rPr>
            </w:pPr>
            <w:r>
              <w:rPr>
                <w:rFonts w:hint="eastAsia" w:ascii="宋体" w:hAnsi="宋体" w:cs="宋体"/>
                <w:color w:val="000000"/>
                <w:sz w:val="22"/>
                <w:szCs w:val="22"/>
                <w:lang w:val="en-US" w:eastAsia="zh-CN"/>
              </w:rPr>
              <w:t>2</w:t>
            </w:r>
          </w:p>
        </w:tc>
        <w:tc>
          <w:tcPr>
            <w:tcW w:w="589" w:type="dxa"/>
            <w:tcBorders>
              <w:top w:val="single" w:color="FFFFFF" w:sz="8" w:space="0"/>
              <w:left w:val="single" w:color="FFFFFF" w:sz="8" w:space="0"/>
              <w:bottom w:val="single" w:color="FFFFFF" w:sz="8" w:space="0"/>
              <w:right w:val="single" w:color="FFFFFF" w:sz="8" w:space="0"/>
            </w:tcBorders>
            <w:shd w:val="clear" w:color="auto" w:fill="D0D8E8"/>
            <w:noWrap/>
            <w:vAlign w:val="center"/>
          </w:tcPr>
          <w:p>
            <w:pPr>
              <w:spacing w:line="480" w:lineRule="auto"/>
              <w:jc w:val="center"/>
              <w:rPr>
                <w:rFonts w:hint="eastAsia" w:ascii="宋体" w:hAnsi="宋体" w:eastAsia="宋体" w:cs="宋体"/>
                <w:color w:val="000000"/>
                <w:sz w:val="22"/>
                <w:szCs w:val="22"/>
                <w:lang w:val="en-US" w:eastAsia="zh-CN"/>
              </w:rPr>
            </w:pPr>
            <w:r>
              <w:rPr>
                <w:rFonts w:hint="eastAsia" w:ascii="宋体" w:hAnsi="宋体" w:cs="宋体"/>
                <w:color w:val="000000"/>
                <w:sz w:val="22"/>
                <w:szCs w:val="22"/>
                <w:lang w:val="en-US" w:eastAsia="zh-CN"/>
              </w:rPr>
              <w:t>0</w:t>
            </w:r>
          </w:p>
        </w:tc>
        <w:tc>
          <w:tcPr>
            <w:tcW w:w="588" w:type="dxa"/>
            <w:tcBorders>
              <w:top w:val="single" w:color="FFFFFF" w:sz="8" w:space="0"/>
              <w:left w:val="single" w:color="FFFFFF" w:sz="8" w:space="0"/>
              <w:bottom w:val="single" w:color="FFFFFF" w:sz="8" w:space="0"/>
              <w:right w:val="single" w:color="FFFFFF" w:sz="8" w:space="0"/>
            </w:tcBorders>
            <w:shd w:val="clear" w:color="auto" w:fill="D0D8E8"/>
            <w:noWrap w:val="0"/>
            <w:vAlign w:val="center"/>
          </w:tcPr>
          <w:p>
            <w:pPr>
              <w:spacing w:line="480" w:lineRule="auto"/>
              <w:jc w:val="center"/>
              <w:rPr>
                <w:rFonts w:hint="eastAsia" w:eastAsia="宋体"/>
                <w:b/>
                <w:bCs/>
                <w:color w:val="FF0000"/>
                <w:sz w:val="22"/>
                <w:szCs w:val="22"/>
                <w:lang w:val="en-US" w:eastAsia="zh-CN"/>
              </w:rPr>
            </w:pPr>
            <w:r>
              <w:rPr>
                <w:rFonts w:hint="eastAsia"/>
                <w:b/>
                <w:bCs/>
                <w:color w:val="FF0000"/>
                <w:sz w:val="22"/>
                <w:szCs w:val="22"/>
                <w:lang w:val="en-US" w:eastAsia="zh-CN"/>
              </w:rPr>
              <w:t>1</w:t>
            </w:r>
          </w:p>
        </w:tc>
        <w:tc>
          <w:tcPr>
            <w:tcW w:w="589" w:type="dxa"/>
            <w:tcBorders>
              <w:top w:val="single" w:color="FFFFFF" w:sz="8" w:space="0"/>
              <w:left w:val="single" w:color="FFFFFF" w:sz="8" w:space="0"/>
              <w:bottom w:val="single" w:color="FFFFFF" w:sz="8" w:space="0"/>
              <w:right w:val="single" w:color="FFFFFF" w:sz="8" w:space="0"/>
            </w:tcBorders>
            <w:shd w:val="clear" w:color="auto" w:fill="D0D8E8"/>
            <w:noWrap w:val="0"/>
            <w:vAlign w:val="center"/>
          </w:tcPr>
          <w:p>
            <w:pPr>
              <w:spacing w:line="480" w:lineRule="auto"/>
              <w:jc w:val="center"/>
              <w:rPr>
                <w:rFonts w:hint="eastAsia" w:eastAsia="宋体"/>
                <w:color w:val="000000"/>
                <w:sz w:val="22"/>
                <w:szCs w:val="22"/>
                <w:lang w:val="en-US" w:eastAsia="zh-CN"/>
              </w:rPr>
            </w:pPr>
            <w:r>
              <w:rPr>
                <w:rFonts w:hint="eastAsia"/>
                <w:color w:val="000000"/>
                <w:sz w:val="22"/>
                <w:szCs w:val="22"/>
                <w:lang w:val="en-US" w:eastAsia="zh-CN"/>
              </w:rPr>
              <w:t>9</w:t>
            </w:r>
          </w:p>
        </w:tc>
        <w:tc>
          <w:tcPr>
            <w:tcW w:w="589" w:type="dxa"/>
            <w:tcBorders>
              <w:top w:val="single" w:color="FFFFFF" w:sz="8" w:space="0"/>
              <w:left w:val="single" w:color="FFFFFF" w:sz="8" w:space="0"/>
              <w:bottom w:val="single" w:color="FFFFFF" w:sz="8" w:space="0"/>
              <w:right w:val="single" w:color="FFFFFF" w:sz="8" w:space="0"/>
            </w:tcBorders>
            <w:shd w:val="clear" w:color="auto" w:fill="D0D8E8"/>
            <w:noWrap/>
            <w:vAlign w:val="center"/>
          </w:tcPr>
          <w:p>
            <w:pPr>
              <w:spacing w:line="480" w:lineRule="auto"/>
              <w:jc w:val="center"/>
              <w:rPr>
                <w:rFonts w:hint="eastAsia" w:ascii="宋体" w:hAnsi="宋体" w:eastAsia="宋体" w:cs="宋体"/>
                <w:color w:val="000000"/>
                <w:sz w:val="22"/>
                <w:szCs w:val="22"/>
                <w:lang w:val="en-US" w:eastAsia="zh-CN"/>
              </w:rPr>
            </w:pPr>
            <w:r>
              <w:rPr>
                <w:rFonts w:hint="eastAsia" w:ascii="宋体" w:hAnsi="宋体" w:cs="宋体"/>
                <w:color w:val="000000"/>
                <w:sz w:val="22"/>
                <w:szCs w:val="22"/>
                <w:lang w:val="en-US" w:eastAsia="zh-CN"/>
              </w:rPr>
              <w:t>0</w:t>
            </w:r>
          </w:p>
        </w:tc>
        <w:tc>
          <w:tcPr>
            <w:tcW w:w="589" w:type="dxa"/>
            <w:tcBorders>
              <w:top w:val="single" w:color="FFFFFF" w:sz="8" w:space="0"/>
              <w:left w:val="single" w:color="FFFFFF" w:sz="8" w:space="0"/>
              <w:bottom w:val="single" w:color="FFFFFF" w:sz="8" w:space="0"/>
              <w:right w:val="single" w:color="FFFFFF" w:sz="8" w:space="0"/>
            </w:tcBorders>
            <w:shd w:val="clear" w:color="auto" w:fill="D0D8E8"/>
            <w:noWrap/>
            <w:vAlign w:val="center"/>
          </w:tcPr>
          <w:p>
            <w:pPr>
              <w:spacing w:line="480" w:lineRule="auto"/>
              <w:jc w:val="center"/>
              <w:rPr>
                <w:rFonts w:hint="default" w:ascii="宋体" w:hAnsi="宋体" w:eastAsia="宋体" w:cs="宋体"/>
                <w:color w:val="000000"/>
                <w:sz w:val="22"/>
                <w:szCs w:val="22"/>
                <w:lang w:val="en-US" w:eastAsia="zh-CN"/>
              </w:rPr>
            </w:pPr>
            <w:r>
              <w:rPr>
                <w:rFonts w:hint="eastAsia" w:ascii="宋体" w:hAnsi="宋体" w:cs="宋体"/>
                <w:color w:val="000000"/>
                <w:sz w:val="22"/>
                <w:szCs w:val="22"/>
                <w:lang w:val="en-US" w:eastAsia="zh-CN"/>
              </w:rPr>
              <w:t>42</w:t>
            </w:r>
          </w:p>
        </w:tc>
      </w:tr>
      <w:tr>
        <w:tblPrEx>
          <w:tblCellMar>
            <w:top w:w="0" w:type="dxa"/>
            <w:left w:w="108" w:type="dxa"/>
            <w:bottom w:w="0" w:type="dxa"/>
            <w:right w:w="108" w:type="dxa"/>
          </w:tblCellMar>
        </w:tblPrEx>
        <w:trPr>
          <w:trHeight w:val="270" w:hRule="atLeast"/>
          <w:jc w:val="center"/>
        </w:trPr>
        <w:tc>
          <w:tcPr>
            <w:tcW w:w="1380" w:type="dxa"/>
            <w:tcBorders>
              <w:top w:val="single" w:color="FFFFFF" w:sz="8" w:space="0"/>
              <w:left w:val="single" w:color="FFFFFF" w:sz="8" w:space="0"/>
              <w:bottom w:val="single" w:color="FFFFFF" w:sz="8" w:space="0"/>
              <w:right w:val="single" w:color="FFFFFF" w:sz="8" w:space="0"/>
            </w:tcBorders>
            <w:shd w:val="clear" w:color="auto" w:fill="E9EDF4"/>
            <w:noWrap/>
            <w:vAlign w:val="center"/>
          </w:tcPr>
          <w:p>
            <w:pPr>
              <w:jc w:val="center"/>
              <w:rPr>
                <w:rFonts w:ascii="宋体" w:hAnsi="宋体" w:cs="宋体"/>
                <w:b/>
                <w:color w:val="000000"/>
                <w:sz w:val="22"/>
                <w:szCs w:val="22"/>
              </w:rPr>
            </w:pPr>
            <w:r>
              <w:rPr>
                <w:rFonts w:hint="eastAsia"/>
                <w:b/>
                <w:color w:val="000000"/>
                <w:sz w:val="22"/>
                <w:szCs w:val="22"/>
              </w:rPr>
              <w:t>物流管理（中外）</w:t>
            </w:r>
          </w:p>
        </w:tc>
        <w:tc>
          <w:tcPr>
            <w:tcW w:w="588" w:type="dxa"/>
            <w:tcBorders>
              <w:top w:val="single" w:color="FFFFFF" w:sz="8" w:space="0"/>
              <w:left w:val="single" w:color="FFFFFF" w:sz="8" w:space="0"/>
              <w:bottom w:val="single" w:color="FFFFFF" w:sz="8" w:space="0"/>
              <w:right w:val="single" w:color="FFFFFF" w:sz="8" w:space="0"/>
            </w:tcBorders>
            <w:shd w:val="clear" w:color="auto" w:fill="E9EDF4"/>
            <w:noWrap/>
            <w:vAlign w:val="center"/>
          </w:tcPr>
          <w:p>
            <w:pPr>
              <w:widowControl/>
              <w:jc w:val="center"/>
              <w:rPr>
                <w:rFonts w:ascii="宋体" w:hAnsi="宋体" w:cs="宋体"/>
                <w:color w:val="000000"/>
                <w:kern w:val="0"/>
                <w:sz w:val="22"/>
                <w:szCs w:val="22"/>
              </w:rPr>
            </w:pPr>
            <w:r>
              <w:rPr>
                <w:rFonts w:hint="eastAsia" w:ascii="宋体" w:hAnsi="宋体" w:cs="宋体"/>
                <w:color w:val="000000"/>
                <w:kern w:val="0"/>
                <w:sz w:val="22"/>
                <w:szCs w:val="22"/>
                <w:lang w:val="en-US" w:eastAsia="zh-CN"/>
              </w:rPr>
              <w:t>54</w:t>
            </w:r>
          </w:p>
        </w:tc>
        <w:tc>
          <w:tcPr>
            <w:tcW w:w="589" w:type="dxa"/>
            <w:tcBorders>
              <w:top w:val="single" w:color="FFFFFF" w:sz="8" w:space="0"/>
              <w:left w:val="single" w:color="FFFFFF" w:sz="8" w:space="0"/>
              <w:bottom w:val="single" w:color="FFFFFF" w:sz="8" w:space="0"/>
              <w:right w:val="single" w:color="FFFFFF" w:sz="8" w:space="0"/>
            </w:tcBorders>
            <w:shd w:val="clear" w:color="auto" w:fill="E9EDF4"/>
            <w:noWrap/>
            <w:vAlign w:val="center"/>
          </w:tcPr>
          <w:p>
            <w:pPr>
              <w:jc w:val="center"/>
              <w:rPr>
                <w:rFonts w:hint="default" w:ascii="宋体" w:hAnsi="宋体" w:eastAsia="宋体" w:cs="宋体"/>
                <w:color w:val="000000"/>
                <w:sz w:val="22"/>
                <w:szCs w:val="22"/>
                <w:lang w:val="en-US" w:eastAsia="zh-CN"/>
              </w:rPr>
            </w:pPr>
            <w:r>
              <w:rPr>
                <w:rFonts w:hint="eastAsia" w:ascii="宋体" w:hAnsi="宋体" w:cs="宋体"/>
                <w:color w:val="000000"/>
                <w:sz w:val="22"/>
                <w:szCs w:val="22"/>
                <w:lang w:val="en-US" w:eastAsia="zh-CN"/>
              </w:rPr>
              <w:t>53</w:t>
            </w:r>
          </w:p>
        </w:tc>
        <w:tc>
          <w:tcPr>
            <w:tcW w:w="589" w:type="dxa"/>
            <w:tcBorders>
              <w:top w:val="single" w:color="FFFFFF" w:sz="8" w:space="0"/>
              <w:left w:val="single" w:color="FFFFFF" w:sz="8" w:space="0"/>
              <w:bottom w:val="single" w:color="FFFFFF" w:sz="8" w:space="0"/>
              <w:right w:val="single" w:color="FFFFFF" w:sz="8" w:space="0"/>
            </w:tcBorders>
            <w:shd w:val="clear" w:color="auto" w:fill="E9EDF4"/>
            <w:noWrap/>
            <w:vAlign w:val="center"/>
          </w:tcPr>
          <w:p>
            <w:pPr>
              <w:widowControl/>
              <w:jc w:val="center"/>
              <w:rPr>
                <w:rFonts w:ascii="宋体" w:hAnsi="宋体" w:cs="宋体"/>
                <w:color w:val="000000"/>
                <w:kern w:val="0"/>
                <w:sz w:val="22"/>
                <w:szCs w:val="22"/>
              </w:rPr>
            </w:pPr>
            <w:r>
              <w:rPr>
                <w:rFonts w:hint="eastAsia" w:ascii="宋体" w:hAnsi="宋体" w:cs="宋体"/>
                <w:color w:val="000000"/>
                <w:kern w:val="0"/>
                <w:sz w:val="22"/>
                <w:szCs w:val="22"/>
                <w:lang w:val="en-US" w:eastAsia="zh-CN"/>
              </w:rPr>
              <w:t>2</w:t>
            </w:r>
          </w:p>
        </w:tc>
        <w:tc>
          <w:tcPr>
            <w:tcW w:w="589" w:type="dxa"/>
            <w:tcBorders>
              <w:top w:val="single" w:color="FFFFFF" w:sz="8" w:space="0"/>
              <w:left w:val="single" w:color="FFFFFF" w:sz="8" w:space="0"/>
              <w:bottom w:val="single" w:color="FFFFFF" w:sz="8" w:space="0"/>
              <w:right w:val="single" w:color="FFFFFF" w:sz="8" w:space="0"/>
            </w:tcBorders>
            <w:shd w:val="clear" w:color="auto" w:fill="E9EDF4"/>
            <w:noWrap/>
            <w:vAlign w:val="center"/>
          </w:tcPr>
          <w:p>
            <w:pPr>
              <w:widowControl/>
              <w:jc w:val="center"/>
              <w:rPr>
                <w:rFonts w:ascii="宋体" w:hAnsi="宋体" w:cs="宋体"/>
                <w:color w:val="000000"/>
                <w:kern w:val="0"/>
                <w:sz w:val="22"/>
                <w:szCs w:val="22"/>
              </w:rPr>
            </w:pPr>
            <w:r>
              <w:rPr>
                <w:rFonts w:hint="eastAsia" w:ascii="宋体" w:hAnsi="宋体" w:cs="宋体"/>
                <w:color w:val="000000"/>
                <w:kern w:val="0"/>
                <w:sz w:val="22"/>
                <w:szCs w:val="22"/>
                <w:lang w:val="en-US" w:eastAsia="zh-CN"/>
              </w:rPr>
              <w:t>0</w:t>
            </w:r>
          </w:p>
        </w:tc>
        <w:tc>
          <w:tcPr>
            <w:tcW w:w="588" w:type="dxa"/>
            <w:tcBorders>
              <w:top w:val="single" w:color="FFFFFF" w:sz="8" w:space="0"/>
              <w:left w:val="single" w:color="FFFFFF" w:sz="8" w:space="0"/>
              <w:bottom w:val="single" w:color="FFFFFF" w:sz="8" w:space="0"/>
              <w:right w:val="single" w:color="FFFFFF" w:sz="8" w:space="0"/>
            </w:tcBorders>
            <w:shd w:val="clear" w:color="auto" w:fill="E9EDF4"/>
            <w:noWrap/>
            <w:vAlign w:val="center"/>
          </w:tcPr>
          <w:p>
            <w:pPr>
              <w:jc w:val="center"/>
              <w:rPr>
                <w:rFonts w:hint="eastAsia" w:ascii="宋体" w:hAnsi="宋体" w:eastAsia="宋体" w:cs="宋体"/>
                <w:color w:val="000000"/>
                <w:sz w:val="22"/>
                <w:szCs w:val="22"/>
                <w:lang w:val="en-US" w:eastAsia="zh-CN"/>
              </w:rPr>
            </w:pPr>
            <w:r>
              <w:rPr>
                <w:rFonts w:hint="eastAsia" w:ascii="宋体" w:hAnsi="宋体" w:cs="宋体"/>
                <w:color w:val="000000"/>
                <w:sz w:val="22"/>
                <w:szCs w:val="22"/>
                <w:lang w:val="en-US" w:eastAsia="zh-CN"/>
              </w:rPr>
              <w:t>0</w:t>
            </w:r>
          </w:p>
        </w:tc>
        <w:tc>
          <w:tcPr>
            <w:tcW w:w="589" w:type="dxa"/>
            <w:tcBorders>
              <w:top w:val="single" w:color="FFFFFF" w:sz="8" w:space="0"/>
              <w:left w:val="single" w:color="FFFFFF" w:sz="8" w:space="0"/>
              <w:bottom w:val="single" w:color="FFFFFF" w:sz="8" w:space="0"/>
              <w:right w:val="single" w:color="FFFFFF" w:sz="8" w:space="0"/>
            </w:tcBorders>
            <w:shd w:val="clear" w:color="auto" w:fill="E9EDF4"/>
            <w:noWrap/>
            <w:vAlign w:val="center"/>
          </w:tcPr>
          <w:p>
            <w:pPr>
              <w:jc w:val="center"/>
              <w:rPr>
                <w:rFonts w:hint="eastAsia" w:ascii="宋体" w:hAnsi="宋体" w:eastAsia="宋体" w:cs="宋体"/>
                <w:color w:val="000000"/>
                <w:sz w:val="22"/>
                <w:szCs w:val="22"/>
                <w:lang w:val="en-US" w:eastAsia="zh-CN"/>
              </w:rPr>
            </w:pPr>
            <w:r>
              <w:rPr>
                <w:rFonts w:hint="eastAsia" w:ascii="宋体" w:hAnsi="宋体" w:cs="宋体"/>
                <w:b/>
                <w:bCs/>
                <w:color w:val="FF0000"/>
                <w:sz w:val="22"/>
                <w:szCs w:val="22"/>
                <w:lang w:val="en-US" w:eastAsia="zh-CN"/>
              </w:rPr>
              <w:t>1</w:t>
            </w:r>
          </w:p>
        </w:tc>
        <w:tc>
          <w:tcPr>
            <w:tcW w:w="589" w:type="dxa"/>
            <w:tcBorders>
              <w:top w:val="single" w:color="FFFFFF" w:sz="8" w:space="0"/>
              <w:left w:val="single" w:color="FFFFFF" w:sz="8" w:space="0"/>
              <w:bottom w:val="single" w:color="FFFFFF" w:sz="8" w:space="0"/>
              <w:right w:val="single" w:color="FFFFFF" w:sz="8" w:space="0"/>
            </w:tcBorders>
            <w:shd w:val="clear" w:color="auto" w:fill="E9EDF4"/>
            <w:noWrap/>
            <w:vAlign w:val="center"/>
          </w:tcPr>
          <w:p>
            <w:pPr>
              <w:jc w:val="center"/>
              <w:rPr>
                <w:rFonts w:hint="eastAsia" w:ascii="宋体" w:hAnsi="宋体" w:eastAsia="宋体" w:cs="宋体"/>
                <w:color w:val="000000"/>
                <w:sz w:val="22"/>
                <w:szCs w:val="22"/>
                <w:lang w:val="en-US" w:eastAsia="zh-CN"/>
              </w:rPr>
            </w:pPr>
            <w:r>
              <w:rPr>
                <w:rFonts w:hint="eastAsia" w:ascii="宋体" w:hAnsi="宋体" w:cs="宋体"/>
                <w:color w:val="000000"/>
                <w:sz w:val="22"/>
                <w:szCs w:val="22"/>
                <w:lang w:val="en-US" w:eastAsia="zh-CN"/>
              </w:rPr>
              <w:t>1</w:t>
            </w:r>
          </w:p>
        </w:tc>
        <w:tc>
          <w:tcPr>
            <w:tcW w:w="589" w:type="dxa"/>
            <w:tcBorders>
              <w:top w:val="single" w:color="FFFFFF" w:sz="8" w:space="0"/>
              <w:left w:val="single" w:color="FFFFFF" w:sz="8" w:space="0"/>
              <w:bottom w:val="single" w:color="FFFFFF" w:sz="8" w:space="0"/>
              <w:right w:val="single" w:color="FFFFFF" w:sz="8" w:space="0"/>
            </w:tcBorders>
            <w:shd w:val="clear" w:color="auto" w:fill="E9EDF4"/>
            <w:noWrap/>
            <w:vAlign w:val="center"/>
          </w:tcPr>
          <w:p>
            <w:pPr>
              <w:jc w:val="center"/>
              <w:rPr>
                <w:rFonts w:hint="eastAsia" w:ascii="宋体" w:hAnsi="宋体" w:eastAsia="宋体" w:cs="宋体"/>
                <w:color w:val="000000"/>
                <w:sz w:val="22"/>
                <w:szCs w:val="22"/>
                <w:lang w:val="en-US" w:eastAsia="zh-CN"/>
              </w:rPr>
            </w:pPr>
            <w:r>
              <w:rPr>
                <w:rFonts w:hint="eastAsia" w:ascii="宋体" w:hAnsi="宋体" w:cs="宋体"/>
                <w:color w:val="000000"/>
                <w:sz w:val="22"/>
                <w:szCs w:val="22"/>
                <w:lang w:val="en-US" w:eastAsia="zh-CN"/>
              </w:rPr>
              <w:t>0</w:t>
            </w:r>
          </w:p>
        </w:tc>
        <w:tc>
          <w:tcPr>
            <w:tcW w:w="588" w:type="dxa"/>
            <w:tcBorders>
              <w:top w:val="single" w:color="FFFFFF" w:sz="8" w:space="0"/>
              <w:left w:val="single" w:color="FFFFFF" w:sz="8" w:space="0"/>
              <w:bottom w:val="single" w:color="FFFFFF" w:sz="8" w:space="0"/>
              <w:right w:val="single" w:color="FFFFFF" w:sz="8" w:space="0"/>
            </w:tcBorders>
            <w:shd w:val="clear" w:color="auto" w:fill="E9EDF4"/>
            <w:noWrap w:val="0"/>
            <w:vAlign w:val="center"/>
          </w:tcPr>
          <w:p>
            <w:pPr>
              <w:jc w:val="center"/>
              <w:rPr>
                <w:rFonts w:hint="eastAsia" w:ascii="宋体" w:hAnsi="宋体" w:eastAsia="宋体" w:cs="宋体"/>
                <w:b/>
                <w:bCs/>
                <w:color w:val="FF0000"/>
                <w:sz w:val="22"/>
                <w:szCs w:val="22"/>
                <w:lang w:val="en-US" w:eastAsia="zh-CN"/>
              </w:rPr>
            </w:pPr>
            <w:r>
              <w:rPr>
                <w:rFonts w:hint="eastAsia" w:ascii="宋体" w:hAnsi="宋体" w:cs="宋体"/>
                <w:b/>
                <w:bCs/>
                <w:color w:val="FF0000"/>
                <w:sz w:val="22"/>
                <w:szCs w:val="22"/>
                <w:lang w:val="en-US" w:eastAsia="zh-CN"/>
              </w:rPr>
              <w:t>1</w:t>
            </w:r>
          </w:p>
        </w:tc>
        <w:tc>
          <w:tcPr>
            <w:tcW w:w="589" w:type="dxa"/>
            <w:tcBorders>
              <w:top w:val="single" w:color="FFFFFF" w:sz="8" w:space="0"/>
              <w:left w:val="single" w:color="FFFFFF" w:sz="8" w:space="0"/>
              <w:bottom w:val="single" w:color="FFFFFF" w:sz="8" w:space="0"/>
              <w:right w:val="single" w:color="FFFFFF" w:sz="8" w:space="0"/>
            </w:tcBorders>
            <w:shd w:val="clear" w:color="auto" w:fill="E9EDF4"/>
            <w:noWrap w:val="0"/>
            <w:vAlign w:val="center"/>
          </w:tcPr>
          <w:p>
            <w:pPr>
              <w:jc w:val="center"/>
              <w:rPr>
                <w:rFonts w:hint="default" w:ascii="宋体" w:hAnsi="宋体" w:eastAsia="宋体" w:cs="宋体"/>
                <w:color w:val="000000"/>
                <w:sz w:val="22"/>
                <w:szCs w:val="22"/>
                <w:lang w:val="en-US" w:eastAsia="zh-CN"/>
              </w:rPr>
            </w:pPr>
            <w:r>
              <w:rPr>
                <w:rFonts w:hint="eastAsia" w:ascii="宋体" w:hAnsi="宋体" w:cs="宋体"/>
                <w:color w:val="000000"/>
                <w:sz w:val="22"/>
                <w:szCs w:val="22"/>
                <w:lang w:val="en-US" w:eastAsia="zh-CN"/>
              </w:rPr>
              <w:t>11</w:t>
            </w:r>
          </w:p>
        </w:tc>
        <w:tc>
          <w:tcPr>
            <w:tcW w:w="589" w:type="dxa"/>
            <w:tcBorders>
              <w:top w:val="single" w:color="FFFFFF" w:sz="8" w:space="0"/>
              <w:left w:val="single" w:color="FFFFFF" w:sz="8" w:space="0"/>
              <w:bottom w:val="single" w:color="FFFFFF" w:sz="8" w:space="0"/>
              <w:right w:val="single" w:color="FFFFFF" w:sz="8" w:space="0"/>
            </w:tcBorders>
            <w:shd w:val="clear" w:color="auto" w:fill="E9EDF4"/>
            <w:noWrap/>
            <w:vAlign w:val="center"/>
          </w:tcPr>
          <w:p>
            <w:pPr>
              <w:jc w:val="center"/>
              <w:rPr>
                <w:rFonts w:hint="eastAsia" w:ascii="宋体" w:hAnsi="宋体" w:eastAsia="宋体" w:cs="宋体"/>
                <w:color w:val="000000"/>
                <w:sz w:val="22"/>
                <w:szCs w:val="22"/>
                <w:lang w:val="en-US" w:eastAsia="zh-CN"/>
              </w:rPr>
            </w:pPr>
            <w:r>
              <w:rPr>
                <w:rFonts w:hint="eastAsia" w:ascii="宋体" w:hAnsi="宋体" w:cs="宋体"/>
                <w:b/>
                <w:bCs/>
                <w:color w:val="FF0000"/>
                <w:sz w:val="22"/>
                <w:szCs w:val="22"/>
                <w:lang w:val="en-US" w:eastAsia="zh-CN"/>
              </w:rPr>
              <w:t>5</w:t>
            </w:r>
          </w:p>
        </w:tc>
        <w:tc>
          <w:tcPr>
            <w:tcW w:w="589" w:type="dxa"/>
            <w:tcBorders>
              <w:top w:val="single" w:color="FFFFFF" w:sz="8" w:space="0"/>
              <w:left w:val="single" w:color="FFFFFF" w:sz="8" w:space="0"/>
              <w:bottom w:val="single" w:color="FFFFFF" w:sz="8" w:space="0"/>
              <w:right w:val="single" w:color="FFFFFF" w:sz="8" w:space="0"/>
            </w:tcBorders>
            <w:shd w:val="clear" w:color="auto" w:fill="E9EDF4"/>
            <w:noWrap/>
            <w:vAlign w:val="center"/>
          </w:tcPr>
          <w:p>
            <w:pPr>
              <w:jc w:val="center"/>
              <w:rPr>
                <w:rFonts w:hint="default" w:ascii="宋体" w:hAnsi="宋体" w:eastAsia="宋体" w:cs="宋体"/>
                <w:color w:val="000000"/>
                <w:sz w:val="22"/>
                <w:szCs w:val="22"/>
                <w:lang w:val="en-US" w:eastAsia="zh-CN"/>
              </w:rPr>
            </w:pPr>
            <w:r>
              <w:rPr>
                <w:rFonts w:hint="eastAsia" w:ascii="宋体" w:hAnsi="宋体" w:cs="宋体"/>
                <w:color w:val="000000"/>
                <w:sz w:val="22"/>
                <w:szCs w:val="22"/>
                <w:lang w:val="en-US" w:eastAsia="zh-CN"/>
              </w:rPr>
              <w:t>32</w:t>
            </w:r>
          </w:p>
        </w:tc>
      </w:tr>
      <w:tr>
        <w:tblPrEx>
          <w:tblCellMar>
            <w:top w:w="0" w:type="dxa"/>
            <w:left w:w="108" w:type="dxa"/>
            <w:bottom w:w="0" w:type="dxa"/>
            <w:right w:w="108" w:type="dxa"/>
          </w:tblCellMar>
        </w:tblPrEx>
        <w:trPr>
          <w:trHeight w:val="270" w:hRule="atLeast"/>
          <w:jc w:val="center"/>
        </w:trPr>
        <w:tc>
          <w:tcPr>
            <w:tcW w:w="1380" w:type="dxa"/>
            <w:tcBorders>
              <w:top w:val="single" w:color="FFFFFF" w:sz="8" w:space="0"/>
              <w:left w:val="single" w:color="FFFFFF" w:sz="8" w:space="0"/>
              <w:bottom w:val="single" w:color="FFFFFF" w:sz="8" w:space="0"/>
              <w:right w:val="single" w:color="FFFFFF" w:sz="8" w:space="0"/>
            </w:tcBorders>
            <w:shd w:val="clear" w:color="auto" w:fill="D0D8E8"/>
            <w:noWrap/>
            <w:vAlign w:val="center"/>
          </w:tcPr>
          <w:p>
            <w:pPr>
              <w:spacing w:line="480" w:lineRule="auto"/>
              <w:jc w:val="center"/>
              <w:rPr>
                <w:rFonts w:ascii="宋体" w:hAnsi="宋体" w:cs="宋体"/>
                <w:b/>
                <w:color w:val="000000"/>
                <w:sz w:val="22"/>
                <w:szCs w:val="22"/>
              </w:rPr>
            </w:pPr>
            <w:r>
              <w:rPr>
                <w:rFonts w:hint="eastAsia"/>
                <w:b/>
                <w:color w:val="000000"/>
                <w:sz w:val="22"/>
                <w:szCs w:val="22"/>
              </w:rPr>
              <w:t>总和</w:t>
            </w:r>
          </w:p>
        </w:tc>
        <w:tc>
          <w:tcPr>
            <w:tcW w:w="588" w:type="dxa"/>
            <w:tcBorders>
              <w:top w:val="single" w:color="FFFFFF" w:sz="8" w:space="0"/>
              <w:left w:val="single" w:color="FFFFFF" w:sz="8" w:space="0"/>
              <w:bottom w:val="single" w:color="FFFFFF" w:sz="8" w:space="0"/>
              <w:right w:val="single" w:color="FFFFFF" w:sz="8" w:space="0"/>
            </w:tcBorders>
            <w:shd w:val="clear" w:color="auto" w:fill="D0D8E8"/>
            <w:noWrap/>
            <w:vAlign w:val="center"/>
          </w:tcPr>
          <w:p>
            <w:pPr>
              <w:widowControl/>
              <w:jc w:val="center"/>
              <w:rPr>
                <w:rFonts w:ascii="宋体" w:hAnsi="宋体" w:cs="宋体"/>
                <w:color w:val="000000"/>
                <w:kern w:val="0"/>
                <w:sz w:val="22"/>
                <w:szCs w:val="22"/>
              </w:rPr>
            </w:pPr>
            <w:r>
              <w:rPr>
                <w:rFonts w:hint="eastAsia" w:ascii="宋体" w:hAnsi="宋体" w:cs="宋体"/>
                <w:color w:val="000000"/>
                <w:kern w:val="0"/>
                <w:sz w:val="22"/>
                <w:szCs w:val="22"/>
                <w:lang w:val="en-US" w:eastAsia="zh-CN"/>
              </w:rPr>
              <w:t>617</w:t>
            </w:r>
          </w:p>
        </w:tc>
        <w:tc>
          <w:tcPr>
            <w:tcW w:w="589" w:type="dxa"/>
            <w:tcBorders>
              <w:top w:val="single" w:color="FFFFFF" w:sz="8" w:space="0"/>
              <w:left w:val="single" w:color="FFFFFF" w:sz="8" w:space="0"/>
              <w:bottom w:val="single" w:color="FFFFFF" w:sz="8" w:space="0"/>
              <w:right w:val="single" w:color="FFFFFF" w:sz="8" w:space="0"/>
            </w:tcBorders>
            <w:shd w:val="clear" w:color="auto" w:fill="D0D8E8"/>
            <w:noWrap/>
            <w:vAlign w:val="center"/>
          </w:tcPr>
          <w:p>
            <w:pPr>
              <w:spacing w:line="480" w:lineRule="auto"/>
              <w:jc w:val="center"/>
              <w:rPr>
                <w:rFonts w:hint="default" w:ascii="宋体" w:hAnsi="宋体" w:eastAsia="宋体" w:cs="宋体"/>
                <w:color w:val="000000"/>
                <w:sz w:val="22"/>
                <w:szCs w:val="22"/>
                <w:lang w:val="en-US" w:eastAsia="zh-CN"/>
              </w:rPr>
            </w:pPr>
            <w:r>
              <w:rPr>
                <w:rFonts w:hint="eastAsia" w:ascii="宋体" w:hAnsi="宋体" w:cs="宋体"/>
                <w:color w:val="000000"/>
                <w:sz w:val="22"/>
                <w:szCs w:val="22"/>
                <w:lang w:val="en-US" w:eastAsia="zh-CN"/>
              </w:rPr>
              <w:t>556</w:t>
            </w:r>
          </w:p>
        </w:tc>
        <w:tc>
          <w:tcPr>
            <w:tcW w:w="589" w:type="dxa"/>
            <w:tcBorders>
              <w:top w:val="single" w:color="FFFFFF" w:sz="8" w:space="0"/>
              <w:left w:val="single" w:color="FFFFFF" w:sz="8" w:space="0"/>
              <w:bottom w:val="single" w:color="FFFFFF" w:sz="8" w:space="0"/>
              <w:right w:val="single" w:color="FFFFFF" w:sz="8" w:space="0"/>
            </w:tcBorders>
            <w:shd w:val="clear" w:color="auto" w:fill="D0D8E8"/>
            <w:noWrap/>
            <w:vAlign w:val="center"/>
          </w:tcPr>
          <w:p>
            <w:pPr>
              <w:spacing w:line="480" w:lineRule="auto"/>
              <w:jc w:val="center"/>
              <w:rPr>
                <w:rFonts w:ascii="宋体" w:hAnsi="宋体" w:cs="宋体"/>
                <w:color w:val="000000"/>
                <w:sz w:val="22"/>
                <w:szCs w:val="22"/>
              </w:rPr>
            </w:pPr>
            <w:r>
              <w:rPr>
                <w:rFonts w:hint="eastAsia" w:ascii="宋体" w:hAnsi="宋体" w:cs="宋体"/>
                <w:color w:val="000000"/>
                <w:kern w:val="0"/>
                <w:sz w:val="22"/>
                <w:szCs w:val="22"/>
                <w:lang w:val="en-US" w:eastAsia="zh-CN"/>
              </w:rPr>
              <w:t>49</w:t>
            </w:r>
          </w:p>
        </w:tc>
        <w:tc>
          <w:tcPr>
            <w:tcW w:w="589" w:type="dxa"/>
            <w:tcBorders>
              <w:top w:val="single" w:color="FFFFFF" w:sz="8" w:space="0"/>
              <w:left w:val="single" w:color="FFFFFF" w:sz="8" w:space="0"/>
              <w:bottom w:val="single" w:color="FFFFFF" w:sz="8" w:space="0"/>
              <w:right w:val="single" w:color="FFFFFF" w:sz="8" w:space="0"/>
            </w:tcBorders>
            <w:shd w:val="clear" w:color="auto" w:fill="D0D8E8"/>
            <w:noWrap/>
            <w:vAlign w:val="center"/>
          </w:tcPr>
          <w:p>
            <w:pPr>
              <w:spacing w:line="480" w:lineRule="auto"/>
              <w:jc w:val="center"/>
              <w:rPr>
                <w:rFonts w:ascii="宋体" w:hAnsi="宋体" w:cs="宋体"/>
                <w:color w:val="000000"/>
                <w:sz w:val="22"/>
                <w:szCs w:val="22"/>
              </w:rPr>
            </w:pPr>
            <w:r>
              <w:rPr>
                <w:rFonts w:hint="eastAsia" w:ascii="宋体" w:hAnsi="宋体" w:cs="宋体"/>
                <w:color w:val="000000"/>
                <w:kern w:val="0"/>
                <w:sz w:val="22"/>
                <w:szCs w:val="22"/>
                <w:lang w:val="en-US" w:eastAsia="zh-CN"/>
              </w:rPr>
              <w:t>22</w:t>
            </w:r>
          </w:p>
        </w:tc>
        <w:tc>
          <w:tcPr>
            <w:tcW w:w="588" w:type="dxa"/>
            <w:tcBorders>
              <w:top w:val="single" w:color="FFFFFF" w:sz="8" w:space="0"/>
              <w:left w:val="single" w:color="FFFFFF" w:sz="8" w:space="0"/>
              <w:bottom w:val="single" w:color="FFFFFF" w:sz="8" w:space="0"/>
              <w:right w:val="single" w:color="FFFFFF" w:sz="8" w:space="0"/>
            </w:tcBorders>
            <w:shd w:val="clear" w:color="auto" w:fill="D0D8E8"/>
            <w:noWrap/>
            <w:vAlign w:val="center"/>
          </w:tcPr>
          <w:p>
            <w:pPr>
              <w:spacing w:line="480" w:lineRule="auto"/>
              <w:jc w:val="center"/>
              <w:rPr>
                <w:rFonts w:hint="default" w:ascii="宋体" w:hAnsi="宋体" w:eastAsia="宋体" w:cs="宋体"/>
                <w:color w:val="000000"/>
                <w:sz w:val="22"/>
                <w:szCs w:val="22"/>
                <w:highlight w:val="none"/>
                <w:lang w:val="en-US" w:eastAsia="zh-CN"/>
              </w:rPr>
            </w:pPr>
            <w:r>
              <w:rPr>
                <w:rFonts w:hint="eastAsia" w:ascii="宋体" w:hAnsi="宋体" w:cs="宋体"/>
                <w:color w:val="000000"/>
                <w:sz w:val="22"/>
                <w:szCs w:val="22"/>
                <w:highlight w:val="none"/>
                <w:lang w:val="en-US" w:eastAsia="zh-CN"/>
              </w:rPr>
              <w:t>19</w:t>
            </w:r>
          </w:p>
        </w:tc>
        <w:tc>
          <w:tcPr>
            <w:tcW w:w="589" w:type="dxa"/>
            <w:tcBorders>
              <w:top w:val="single" w:color="FFFFFF" w:sz="8" w:space="0"/>
              <w:left w:val="single" w:color="FFFFFF" w:sz="8" w:space="0"/>
              <w:bottom w:val="single" w:color="FFFFFF" w:sz="8" w:space="0"/>
              <w:right w:val="single" w:color="FFFFFF" w:sz="8" w:space="0"/>
            </w:tcBorders>
            <w:shd w:val="clear" w:color="auto" w:fill="D0D8E8"/>
            <w:noWrap/>
            <w:vAlign w:val="center"/>
          </w:tcPr>
          <w:p>
            <w:pPr>
              <w:spacing w:line="480" w:lineRule="auto"/>
              <w:jc w:val="center"/>
              <w:rPr>
                <w:rFonts w:hint="eastAsia" w:ascii="宋体" w:hAnsi="宋体" w:eastAsia="宋体" w:cs="宋体"/>
                <w:color w:val="000000"/>
                <w:sz w:val="22"/>
                <w:szCs w:val="22"/>
                <w:highlight w:val="none"/>
                <w:lang w:val="en-US" w:eastAsia="zh-CN"/>
              </w:rPr>
            </w:pPr>
            <w:r>
              <w:rPr>
                <w:rFonts w:hint="eastAsia" w:ascii="宋体" w:hAnsi="宋体" w:cs="宋体"/>
                <w:color w:val="000000"/>
                <w:sz w:val="22"/>
                <w:szCs w:val="22"/>
                <w:highlight w:val="none"/>
                <w:lang w:val="en-US" w:eastAsia="zh-CN"/>
              </w:rPr>
              <w:t>1</w:t>
            </w:r>
          </w:p>
        </w:tc>
        <w:tc>
          <w:tcPr>
            <w:tcW w:w="589" w:type="dxa"/>
            <w:tcBorders>
              <w:top w:val="single" w:color="FFFFFF" w:sz="8" w:space="0"/>
              <w:left w:val="single" w:color="FFFFFF" w:sz="8" w:space="0"/>
              <w:bottom w:val="single" w:color="FFFFFF" w:sz="8" w:space="0"/>
              <w:right w:val="single" w:color="FFFFFF" w:sz="8" w:space="0"/>
            </w:tcBorders>
            <w:shd w:val="clear" w:color="auto" w:fill="D0D8E8"/>
            <w:noWrap/>
            <w:vAlign w:val="center"/>
          </w:tcPr>
          <w:p>
            <w:pPr>
              <w:spacing w:line="480" w:lineRule="auto"/>
              <w:jc w:val="center"/>
              <w:rPr>
                <w:rFonts w:hint="default" w:ascii="宋体" w:hAnsi="宋体" w:eastAsia="宋体" w:cs="宋体"/>
                <w:color w:val="000000"/>
                <w:sz w:val="22"/>
                <w:szCs w:val="22"/>
                <w:lang w:val="en-US" w:eastAsia="zh-CN"/>
              </w:rPr>
            </w:pPr>
            <w:r>
              <w:rPr>
                <w:rFonts w:hint="eastAsia" w:ascii="宋体" w:hAnsi="宋体" w:cs="宋体"/>
                <w:color w:val="000000"/>
                <w:sz w:val="22"/>
                <w:szCs w:val="22"/>
                <w:lang w:val="en-US" w:eastAsia="zh-CN"/>
              </w:rPr>
              <w:t>14</w:t>
            </w:r>
          </w:p>
        </w:tc>
        <w:tc>
          <w:tcPr>
            <w:tcW w:w="589" w:type="dxa"/>
            <w:tcBorders>
              <w:top w:val="single" w:color="FFFFFF" w:sz="8" w:space="0"/>
              <w:left w:val="single" w:color="FFFFFF" w:sz="8" w:space="0"/>
              <w:bottom w:val="single" w:color="FFFFFF" w:sz="8" w:space="0"/>
              <w:right w:val="single" w:color="FFFFFF" w:sz="8" w:space="0"/>
            </w:tcBorders>
            <w:shd w:val="clear" w:color="auto" w:fill="D0D8E8"/>
            <w:noWrap/>
            <w:vAlign w:val="center"/>
          </w:tcPr>
          <w:p>
            <w:pPr>
              <w:spacing w:line="480" w:lineRule="auto"/>
              <w:jc w:val="center"/>
              <w:rPr>
                <w:rFonts w:hint="default" w:ascii="宋体" w:hAnsi="宋体" w:eastAsia="宋体" w:cs="宋体"/>
                <w:color w:val="000000"/>
                <w:sz w:val="22"/>
                <w:szCs w:val="22"/>
                <w:lang w:val="en-US" w:eastAsia="zh-CN"/>
              </w:rPr>
            </w:pPr>
            <w:r>
              <w:rPr>
                <w:rFonts w:hint="eastAsia" w:ascii="宋体" w:hAnsi="宋体" w:eastAsia="宋体" w:cs="宋体"/>
                <w:color w:val="000000"/>
                <w:sz w:val="22"/>
                <w:szCs w:val="22"/>
                <w:lang w:val="en-US" w:eastAsia="zh-CN"/>
              </w:rPr>
              <w:t>1</w:t>
            </w:r>
          </w:p>
        </w:tc>
        <w:tc>
          <w:tcPr>
            <w:tcW w:w="588" w:type="dxa"/>
            <w:tcBorders>
              <w:top w:val="single" w:color="FFFFFF" w:sz="8" w:space="0"/>
              <w:left w:val="single" w:color="FFFFFF" w:sz="8" w:space="0"/>
              <w:bottom w:val="single" w:color="FFFFFF" w:sz="8" w:space="0"/>
              <w:right w:val="single" w:color="FFFFFF" w:sz="8" w:space="0"/>
            </w:tcBorders>
            <w:shd w:val="clear" w:color="auto" w:fill="D0D8E8"/>
            <w:noWrap w:val="0"/>
            <w:vAlign w:val="center"/>
          </w:tcPr>
          <w:p>
            <w:pPr>
              <w:spacing w:line="480" w:lineRule="auto"/>
              <w:jc w:val="center"/>
              <w:rPr>
                <w:rFonts w:hint="eastAsia" w:eastAsia="宋体"/>
                <w:color w:val="000000"/>
                <w:sz w:val="22"/>
                <w:szCs w:val="22"/>
                <w:lang w:val="en-US" w:eastAsia="zh-CN"/>
              </w:rPr>
            </w:pPr>
            <w:r>
              <w:rPr>
                <w:rFonts w:hint="eastAsia"/>
                <w:color w:val="000000"/>
                <w:sz w:val="22"/>
                <w:szCs w:val="22"/>
                <w:lang w:val="en-US" w:eastAsia="zh-CN"/>
              </w:rPr>
              <w:t>4</w:t>
            </w:r>
          </w:p>
        </w:tc>
        <w:tc>
          <w:tcPr>
            <w:tcW w:w="589" w:type="dxa"/>
            <w:tcBorders>
              <w:top w:val="single" w:color="FFFFFF" w:sz="8" w:space="0"/>
              <w:left w:val="single" w:color="FFFFFF" w:sz="8" w:space="0"/>
              <w:bottom w:val="single" w:color="FFFFFF" w:sz="8" w:space="0"/>
              <w:right w:val="single" w:color="FFFFFF" w:sz="8" w:space="0"/>
            </w:tcBorders>
            <w:shd w:val="clear" w:color="auto" w:fill="D0D8E8"/>
            <w:noWrap w:val="0"/>
            <w:vAlign w:val="center"/>
          </w:tcPr>
          <w:p>
            <w:pPr>
              <w:spacing w:line="480" w:lineRule="auto"/>
              <w:jc w:val="center"/>
              <w:rPr>
                <w:rFonts w:hint="default" w:eastAsia="宋体"/>
                <w:color w:val="000000"/>
                <w:sz w:val="22"/>
                <w:szCs w:val="22"/>
                <w:lang w:val="en-US" w:eastAsia="zh-CN"/>
              </w:rPr>
            </w:pPr>
            <w:r>
              <w:rPr>
                <w:rFonts w:hint="eastAsia"/>
                <w:color w:val="000000"/>
                <w:sz w:val="22"/>
                <w:szCs w:val="22"/>
                <w:lang w:val="en-US" w:eastAsia="zh-CN"/>
              </w:rPr>
              <w:t>76</w:t>
            </w:r>
          </w:p>
        </w:tc>
        <w:tc>
          <w:tcPr>
            <w:tcW w:w="589" w:type="dxa"/>
            <w:tcBorders>
              <w:top w:val="single" w:color="FFFFFF" w:sz="8" w:space="0"/>
              <w:left w:val="single" w:color="FFFFFF" w:sz="8" w:space="0"/>
              <w:bottom w:val="single" w:color="FFFFFF" w:sz="8" w:space="0"/>
              <w:right w:val="single" w:color="FFFFFF" w:sz="8" w:space="0"/>
            </w:tcBorders>
            <w:shd w:val="clear" w:color="auto" w:fill="D0D8E8"/>
            <w:noWrap/>
            <w:vAlign w:val="center"/>
          </w:tcPr>
          <w:p>
            <w:pPr>
              <w:spacing w:line="480" w:lineRule="auto"/>
              <w:jc w:val="center"/>
              <w:rPr>
                <w:rFonts w:hint="default" w:ascii="宋体" w:hAnsi="宋体" w:eastAsia="宋体" w:cs="宋体"/>
                <w:color w:val="000000"/>
                <w:sz w:val="22"/>
                <w:szCs w:val="22"/>
                <w:lang w:val="en-US" w:eastAsia="zh-CN"/>
              </w:rPr>
            </w:pPr>
            <w:r>
              <w:rPr>
                <w:rFonts w:hint="eastAsia" w:ascii="宋体" w:hAnsi="宋体" w:cs="宋体"/>
                <w:color w:val="000000"/>
                <w:sz w:val="22"/>
                <w:szCs w:val="22"/>
                <w:lang w:val="en-US" w:eastAsia="zh-CN"/>
              </w:rPr>
              <w:t>15</w:t>
            </w:r>
          </w:p>
        </w:tc>
        <w:tc>
          <w:tcPr>
            <w:tcW w:w="589" w:type="dxa"/>
            <w:tcBorders>
              <w:top w:val="single" w:color="FFFFFF" w:sz="8" w:space="0"/>
              <w:left w:val="single" w:color="FFFFFF" w:sz="8" w:space="0"/>
              <w:bottom w:val="single" w:color="FFFFFF" w:sz="8" w:space="0"/>
              <w:right w:val="single" w:color="FFFFFF" w:sz="8" w:space="0"/>
            </w:tcBorders>
            <w:shd w:val="clear" w:color="auto" w:fill="D0D8E8"/>
            <w:noWrap/>
            <w:vAlign w:val="center"/>
          </w:tcPr>
          <w:p>
            <w:pPr>
              <w:spacing w:line="480" w:lineRule="auto"/>
              <w:jc w:val="center"/>
              <w:rPr>
                <w:rFonts w:hint="default" w:ascii="宋体" w:hAnsi="宋体" w:eastAsia="宋体" w:cs="宋体"/>
                <w:color w:val="000000"/>
                <w:sz w:val="22"/>
                <w:szCs w:val="22"/>
                <w:lang w:val="en-US" w:eastAsia="zh-CN"/>
              </w:rPr>
            </w:pPr>
            <w:r>
              <w:rPr>
                <w:rFonts w:hint="eastAsia" w:ascii="宋体" w:hAnsi="宋体" w:cs="宋体"/>
                <w:color w:val="000000"/>
                <w:sz w:val="22"/>
                <w:szCs w:val="22"/>
                <w:lang w:val="en-US" w:eastAsia="zh-CN"/>
              </w:rPr>
              <w:t>357</w:t>
            </w:r>
          </w:p>
        </w:tc>
      </w:tr>
    </w:tbl>
    <w:p>
      <w:pPr>
        <w:spacing w:line="360" w:lineRule="auto"/>
        <w:jc w:val="center"/>
        <w:rPr>
          <w:rFonts w:hint="eastAsia" w:ascii="宋体" w:eastAsia="宋体" w:cs="宋体"/>
          <w:b/>
          <w:sz w:val="24"/>
          <w:lang w:eastAsia="zh-CN"/>
        </w:rPr>
      </w:pPr>
      <w:r>
        <w:rPr>
          <w:rFonts w:hint="eastAsia" w:ascii="宋体" w:eastAsia="宋体" w:cs="宋体"/>
          <w:b/>
          <w:sz w:val="24"/>
          <w:lang w:eastAsia="zh-CN"/>
        </w:rPr>
        <w:drawing>
          <wp:inline distT="0" distB="0" distL="114300" distR="114300">
            <wp:extent cx="4824095" cy="3063875"/>
            <wp:effectExtent l="0" t="0" r="1905" b="9525"/>
            <wp:docPr id="120" name="图片 37"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37" descr="图片1"/>
                    <pic:cNvPicPr>
                      <a:picLocks noChangeAspect="1"/>
                    </pic:cNvPicPr>
                  </pic:nvPicPr>
                  <pic:blipFill>
                    <a:blip r:embed="rId67"/>
                    <a:stretch>
                      <a:fillRect/>
                    </a:stretch>
                  </pic:blipFill>
                  <pic:spPr>
                    <a:xfrm>
                      <a:off x="0" y="0"/>
                      <a:ext cx="4824095" cy="3063875"/>
                    </a:xfrm>
                    <a:prstGeom prst="rect">
                      <a:avLst/>
                    </a:prstGeom>
                    <a:noFill/>
                    <a:ln>
                      <a:noFill/>
                    </a:ln>
                  </pic:spPr>
                </pic:pic>
              </a:graphicData>
            </a:graphic>
          </wp:inline>
        </w:drawing>
      </w:r>
    </w:p>
    <w:p>
      <w:pPr>
        <w:spacing w:line="360" w:lineRule="auto"/>
        <w:jc w:val="center"/>
        <w:rPr>
          <w:rFonts w:hint="eastAsia" w:ascii="宋体" w:hAnsi="宋体" w:eastAsia="宋体" w:cs="宋体"/>
          <w:b/>
          <w:color w:val="000000"/>
          <w:sz w:val="24"/>
          <w:lang w:eastAsia="zh-CN"/>
        </w:rPr>
      </w:pPr>
      <w:r>
        <w:rPr>
          <w:rFonts w:hint="eastAsia" w:ascii="宋体" w:hAnsi="宋体" w:eastAsia="宋体" w:cs="宋体"/>
          <w:b/>
          <w:color w:val="000000"/>
          <w:sz w:val="24"/>
          <w:lang w:eastAsia="zh-CN"/>
        </w:rPr>
        <w:drawing>
          <wp:inline distT="0" distB="0" distL="114300" distR="114300">
            <wp:extent cx="4824095" cy="2858135"/>
            <wp:effectExtent l="0" t="0" r="1905" b="12065"/>
            <wp:docPr id="121" name="图片 38" descr="图片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38" descr="图片11"/>
                    <pic:cNvPicPr>
                      <a:picLocks noChangeAspect="1"/>
                    </pic:cNvPicPr>
                  </pic:nvPicPr>
                  <pic:blipFill>
                    <a:blip r:embed="rId68"/>
                    <a:stretch>
                      <a:fillRect/>
                    </a:stretch>
                  </pic:blipFill>
                  <pic:spPr>
                    <a:xfrm>
                      <a:off x="0" y="0"/>
                      <a:ext cx="4824095" cy="2858135"/>
                    </a:xfrm>
                    <a:prstGeom prst="rect">
                      <a:avLst/>
                    </a:prstGeom>
                    <a:noFill/>
                    <a:ln>
                      <a:noFill/>
                    </a:ln>
                  </pic:spPr>
                </pic:pic>
              </a:graphicData>
            </a:graphic>
          </wp:inline>
        </w:drawing>
      </w:r>
    </w:p>
    <w:p>
      <w:pPr>
        <w:spacing w:line="360" w:lineRule="auto"/>
        <w:ind w:firstLine="482" w:firstLineChars="200"/>
        <w:rPr>
          <w:rFonts w:ascii="宋体" w:cs="宋体"/>
          <w:b/>
          <w:sz w:val="24"/>
        </w:rPr>
      </w:pPr>
      <w:r>
        <w:rPr>
          <w:rFonts w:hint="eastAsia" w:ascii="宋体" w:hAnsi="宋体" w:cs="宋体"/>
          <w:b/>
          <w:color w:val="000000"/>
          <w:sz w:val="24"/>
        </w:rPr>
        <w:t>二、毕业生就业去向及比例分</w:t>
      </w:r>
      <w:r>
        <w:rPr>
          <w:rFonts w:hint="eastAsia" w:ascii="宋体" w:hAnsi="宋体" w:cs="宋体"/>
          <w:b/>
          <w:sz w:val="24"/>
        </w:rPr>
        <w:t>析</w:t>
      </w:r>
    </w:p>
    <w:p>
      <w:pPr>
        <w:spacing w:line="360" w:lineRule="auto"/>
        <w:ind w:firstLine="480" w:firstLineChars="200"/>
        <w:rPr>
          <w:rFonts w:hint="eastAsia" w:ascii="宋体" w:hAnsi="宋体" w:cs="宋体"/>
          <w:color w:val="000000"/>
          <w:sz w:val="24"/>
        </w:rPr>
      </w:pPr>
      <w:r>
        <w:rPr>
          <w:rFonts w:hint="eastAsia" w:ascii="宋体" w:hAnsi="宋体" w:cs="宋体"/>
          <w:sz w:val="24"/>
        </w:rPr>
        <w:t>经</w:t>
      </w:r>
      <w:r>
        <w:rPr>
          <w:rFonts w:hint="eastAsia" w:ascii="宋体" w:hAnsi="宋体" w:cs="宋体"/>
          <w:color w:val="000000"/>
          <w:sz w:val="24"/>
        </w:rPr>
        <w:t>济与管理学院省内就业同学</w:t>
      </w:r>
      <w:r>
        <w:rPr>
          <w:rFonts w:hint="eastAsia" w:ascii="宋体" w:hAnsi="宋体" w:cs="宋体"/>
          <w:color w:val="000000"/>
          <w:sz w:val="24"/>
          <w:lang w:val="en-US" w:eastAsia="zh-CN"/>
        </w:rPr>
        <w:t>374</w:t>
      </w:r>
      <w:r>
        <w:rPr>
          <w:rFonts w:hint="eastAsia" w:ascii="宋体" w:hAnsi="宋体" w:cs="宋体"/>
          <w:color w:val="000000"/>
          <w:sz w:val="24"/>
        </w:rPr>
        <w:t>名，占</w:t>
      </w:r>
      <w:r>
        <w:rPr>
          <w:rFonts w:hint="eastAsia" w:ascii="宋体" w:hAnsi="宋体" w:cs="宋体"/>
          <w:color w:val="000000"/>
          <w:sz w:val="24"/>
          <w:lang w:val="en-US" w:eastAsia="zh-CN"/>
        </w:rPr>
        <w:t>就业</w:t>
      </w:r>
      <w:r>
        <w:rPr>
          <w:rFonts w:hint="eastAsia" w:ascii="宋体" w:hAnsi="宋体" w:cs="宋体"/>
          <w:color w:val="000000"/>
          <w:sz w:val="24"/>
        </w:rPr>
        <w:t>人数的</w:t>
      </w:r>
      <w:r>
        <w:rPr>
          <w:rFonts w:hint="eastAsia" w:ascii="宋体" w:hAnsi="宋体" w:cs="宋体"/>
          <w:color w:val="000000"/>
          <w:sz w:val="24"/>
          <w:lang w:val="en-US" w:eastAsia="zh-CN"/>
        </w:rPr>
        <w:t>67.27</w:t>
      </w:r>
      <w:r>
        <w:rPr>
          <w:rFonts w:hint="eastAsia" w:ascii="宋体" w:hAnsi="宋体" w:cs="宋体"/>
          <w:color w:val="000000"/>
          <w:sz w:val="24"/>
        </w:rPr>
        <w:t>%；省外就业同学</w:t>
      </w:r>
      <w:r>
        <w:rPr>
          <w:rFonts w:hint="eastAsia" w:ascii="宋体" w:hAnsi="宋体" w:cs="宋体"/>
          <w:color w:val="000000"/>
          <w:sz w:val="24"/>
          <w:lang w:val="en-US" w:eastAsia="zh-CN"/>
        </w:rPr>
        <w:t>160</w:t>
      </w:r>
      <w:r>
        <w:rPr>
          <w:rFonts w:hint="eastAsia" w:ascii="宋体" w:hAnsi="宋体" w:cs="宋体"/>
          <w:color w:val="000000"/>
          <w:sz w:val="24"/>
        </w:rPr>
        <w:t>名，占</w:t>
      </w:r>
      <w:r>
        <w:rPr>
          <w:rFonts w:hint="eastAsia" w:ascii="宋体" w:hAnsi="宋体" w:cs="宋体"/>
          <w:color w:val="000000"/>
          <w:sz w:val="24"/>
          <w:lang w:val="en-US" w:eastAsia="zh-CN"/>
        </w:rPr>
        <w:t>就业</w:t>
      </w:r>
      <w:r>
        <w:rPr>
          <w:rFonts w:hint="eastAsia" w:ascii="宋体" w:hAnsi="宋体" w:cs="宋体"/>
          <w:color w:val="000000"/>
          <w:sz w:val="24"/>
        </w:rPr>
        <w:t>人数的</w:t>
      </w:r>
      <w:r>
        <w:rPr>
          <w:rFonts w:hint="eastAsia" w:ascii="宋体" w:hAnsi="宋体" w:cs="宋体"/>
          <w:color w:val="000000"/>
          <w:sz w:val="24"/>
          <w:lang w:val="en-US" w:eastAsia="zh-CN"/>
        </w:rPr>
        <w:t>28.78</w:t>
      </w:r>
      <w:r>
        <w:rPr>
          <w:rFonts w:hint="eastAsia" w:ascii="宋体" w:hAnsi="宋体" w:cs="宋体"/>
          <w:color w:val="000000"/>
          <w:sz w:val="24"/>
        </w:rPr>
        <w:t>%，出国同学</w:t>
      </w:r>
      <w:r>
        <w:rPr>
          <w:rFonts w:hint="eastAsia" w:ascii="宋体" w:hAnsi="宋体" w:cs="宋体"/>
          <w:color w:val="000000"/>
          <w:sz w:val="24"/>
          <w:lang w:val="en-US" w:eastAsia="zh-CN"/>
        </w:rPr>
        <w:t>22</w:t>
      </w:r>
      <w:r>
        <w:rPr>
          <w:rFonts w:hint="eastAsia" w:ascii="宋体" w:hAnsi="宋体" w:cs="宋体"/>
          <w:color w:val="000000"/>
          <w:sz w:val="24"/>
        </w:rPr>
        <w:t>名，占</w:t>
      </w:r>
      <w:r>
        <w:rPr>
          <w:rFonts w:hint="eastAsia" w:ascii="宋体" w:hAnsi="宋体" w:cs="宋体"/>
          <w:color w:val="000000"/>
          <w:sz w:val="24"/>
          <w:lang w:val="en-US" w:eastAsia="zh-CN"/>
        </w:rPr>
        <w:t>就业</w:t>
      </w:r>
      <w:r>
        <w:rPr>
          <w:rFonts w:hint="eastAsia" w:ascii="宋体" w:hAnsi="宋体" w:cs="宋体"/>
          <w:color w:val="000000"/>
          <w:sz w:val="24"/>
        </w:rPr>
        <w:t>人数</w:t>
      </w:r>
      <w:r>
        <w:rPr>
          <w:rFonts w:hint="eastAsia" w:ascii="宋体" w:hAnsi="宋体" w:cs="宋体"/>
          <w:color w:val="000000"/>
          <w:sz w:val="24"/>
          <w:lang w:val="en-US" w:eastAsia="zh-CN"/>
        </w:rPr>
        <w:t>3.96</w:t>
      </w:r>
      <w:r>
        <w:rPr>
          <w:rFonts w:hint="eastAsia" w:ascii="宋体" w:hAnsi="宋体" w:cs="宋体"/>
          <w:color w:val="000000"/>
          <w:sz w:val="24"/>
        </w:rPr>
        <w:t>%。毕业生在省内就业区域比较广泛，主要集中在合肥市</w:t>
      </w:r>
      <w:r>
        <w:rPr>
          <w:rFonts w:hint="eastAsia" w:ascii="宋体" w:hAnsi="宋体" w:cs="宋体"/>
          <w:color w:val="000000"/>
          <w:sz w:val="24"/>
          <w:lang w:val="en-US" w:eastAsia="zh-CN"/>
        </w:rPr>
        <w:t>24637</w:t>
      </w:r>
      <w:r>
        <w:rPr>
          <w:rFonts w:hint="eastAsia" w:ascii="宋体" w:hAnsi="宋体" w:cs="宋体"/>
          <w:color w:val="000000"/>
          <w:sz w:val="24"/>
        </w:rPr>
        <w:t>人</w:t>
      </w:r>
      <w:r>
        <w:rPr>
          <w:rFonts w:hint="eastAsia" w:ascii="宋体" w:hAnsi="宋体" w:cs="宋体"/>
          <w:color w:val="000000"/>
          <w:sz w:val="24"/>
          <w:lang w:eastAsia="zh-CN"/>
        </w:rPr>
        <w:t>。</w:t>
      </w:r>
      <w:r>
        <w:rPr>
          <w:rFonts w:hint="eastAsia" w:ascii="宋体" w:hAnsi="宋体" w:cs="宋体"/>
          <w:color w:val="000000"/>
          <w:sz w:val="24"/>
          <w:lang w:val="en-US" w:eastAsia="zh-CN"/>
        </w:rPr>
        <w:t>其次，六安市22人、芜湖市20人、滁州市15人、安庆市9人、铜陵市8人和马鞍山市8人等。</w:t>
      </w:r>
      <w:r>
        <w:rPr>
          <w:rFonts w:hint="eastAsia" w:ascii="宋体" w:hAnsi="宋体" w:cs="宋体"/>
          <w:color w:val="000000"/>
          <w:sz w:val="24"/>
        </w:rPr>
        <w:t>其中，毕业生在合肥就业人数占就业人数的</w:t>
      </w:r>
      <w:r>
        <w:rPr>
          <w:rFonts w:hint="eastAsia" w:ascii="宋体" w:hAnsi="宋体" w:cs="宋体"/>
          <w:color w:val="000000"/>
          <w:sz w:val="24"/>
          <w:lang w:val="en-US" w:eastAsia="zh-CN"/>
        </w:rPr>
        <w:t>44.24</w:t>
      </w:r>
      <w:r>
        <w:rPr>
          <w:rFonts w:hint="eastAsia" w:ascii="宋体" w:hAnsi="宋体" w:cs="宋体"/>
          <w:color w:val="000000"/>
          <w:sz w:val="24"/>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cs="宋体"/>
          <w:sz w:val="24"/>
        </w:rPr>
      </w:pPr>
      <w:r>
        <w:rPr>
          <w:rFonts w:hint="eastAsia" w:ascii="宋体" w:hAnsi="宋体" w:cs="宋体"/>
          <w:color w:val="000000"/>
          <w:sz w:val="24"/>
        </w:rPr>
        <w:t>在省外就业毕业生主要集中在长三角区域，如：浙江省3</w:t>
      </w:r>
      <w:r>
        <w:rPr>
          <w:rFonts w:hint="eastAsia" w:ascii="宋体" w:hAnsi="宋体" w:cs="宋体"/>
          <w:color w:val="000000"/>
          <w:sz w:val="24"/>
          <w:lang w:val="en-US" w:eastAsia="zh-CN"/>
        </w:rPr>
        <w:t>2</w:t>
      </w:r>
      <w:r>
        <w:rPr>
          <w:rFonts w:hint="eastAsia" w:ascii="宋体" w:hAnsi="宋体" w:cs="宋体"/>
          <w:color w:val="000000"/>
          <w:sz w:val="24"/>
        </w:rPr>
        <w:t>人、江苏省</w:t>
      </w:r>
      <w:r>
        <w:rPr>
          <w:rFonts w:hint="eastAsia" w:ascii="宋体" w:hAnsi="宋体" w:cs="宋体"/>
          <w:color w:val="000000"/>
          <w:sz w:val="24"/>
          <w:lang w:val="en-US" w:eastAsia="zh-CN"/>
        </w:rPr>
        <w:t>22</w:t>
      </w:r>
      <w:r>
        <w:rPr>
          <w:rFonts w:hint="eastAsia" w:ascii="宋体" w:hAnsi="宋体" w:cs="宋体"/>
          <w:color w:val="000000"/>
          <w:sz w:val="24"/>
        </w:rPr>
        <w:t>人、上海市</w:t>
      </w:r>
      <w:r>
        <w:rPr>
          <w:rFonts w:hint="eastAsia" w:ascii="宋体" w:hAnsi="宋体" w:cs="宋体"/>
          <w:color w:val="000000"/>
          <w:sz w:val="24"/>
          <w:lang w:val="en-US" w:eastAsia="zh-CN"/>
        </w:rPr>
        <w:t>21</w:t>
      </w:r>
      <w:r>
        <w:rPr>
          <w:rFonts w:hint="eastAsia" w:ascii="宋体" w:hAnsi="宋体" w:cs="宋体"/>
          <w:color w:val="000000"/>
          <w:sz w:val="24"/>
        </w:rPr>
        <w:t>人。经济发达省份</w:t>
      </w:r>
      <w:r>
        <w:rPr>
          <w:rFonts w:hint="eastAsia" w:ascii="宋体" w:hAnsi="宋体" w:cs="宋体"/>
          <w:color w:val="000000"/>
          <w:sz w:val="24"/>
          <w:lang w:eastAsia="zh-CN"/>
        </w:rPr>
        <w:t>（</w:t>
      </w:r>
      <w:r>
        <w:rPr>
          <w:rFonts w:hint="eastAsia" w:ascii="宋体" w:hAnsi="宋体" w:cs="宋体"/>
          <w:color w:val="000000"/>
          <w:sz w:val="24"/>
          <w:lang w:val="en-US" w:eastAsia="zh-CN"/>
        </w:rPr>
        <w:t>直辖市</w:t>
      </w:r>
      <w:r>
        <w:rPr>
          <w:rFonts w:hint="eastAsia" w:ascii="宋体" w:hAnsi="宋体" w:cs="宋体"/>
          <w:color w:val="000000"/>
          <w:sz w:val="24"/>
          <w:lang w:eastAsia="zh-CN"/>
        </w:rPr>
        <w:t>）</w:t>
      </w:r>
      <w:r>
        <w:rPr>
          <w:rFonts w:hint="eastAsia" w:ascii="宋体" w:hAnsi="宋体" w:cs="宋体"/>
          <w:color w:val="000000"/>
          <w:sz w:val="24"/>
        </w:rPr>
        <w:t>如：广东省21人，</w:t>
      </w:r>
      <w:r>
        <w:rPr>
          <w:rFonts w:hint="eastAsia" w:ascii="宋体" w:hAnsi="宋体" w:cs="宋体"/>
          <w:color w:val="000000"/>
          <w:sz w:val="24"/>
          <w:lang w:val="en-US" w:eastAsia="zh-CN"/>
        </w:rPr>
        <w:t>北京市10人，</w:t>
      </w:r>
      <w:r>
        <w:rPr>
          <w:rFonts w:hint="eastAsia" w:ascii="宋体" w:hAnsi="宋体" w:cs="宋体"/>
          <w:color w:val="000000"/>
          <w:sz w:val="24"/>
        </w:rPr>
        <w:t>紧随其后。其中，毕业生在</w:t>
      </w:r>
      <w:r>
        <w:rPr>
          <w:rFonts w:hint="eastAsia" w:ascii="宋体" w:hAnsi="宋体" w:cs="宋体"/>
          <w:color w:val="000000"/>
          <w:sz w:val="24"/>
          <w:lang w:val="en-US" w:eastAsia="zh-CN"/>
        </w:rPr>
        <w:t>浙江</w:t>
      </w:r>
      <w:r>
        <w:rPr>
          <w:rFonts w:hint="eastAsia" w:ascii="宋体" w:hAnsi="宋体" w:cs="宋体"/>
          <w:color w:val="000000"/>
          <w:sz w:val="24"/>
        </w:rPr>
        <w:t>省就业人数占</w:t>
      </w:r>
      <w:r>
        <w:rPr>
          <w:rFonts w:hint="eastAsia" w:ascii="宋体" w:hAnsi="宋体" w:cs="宋体"/>
          <w:color w:val="000000"/>
          <w:sz w:val="24"/>
          <w:lang w:val="en-US" w:eastAsia="zh-CN"/>
        </w:rPr>
        <w:t>就业</w:t>
      </w:r>
      <w:r>
        <w:rPr>
          <w:rFonts w:hint="eastAsia" w:ascii="宋体" w:hAnsi="宋体" w:cs="宋体"/>
          <w:color w:val="000000"/>
          <w:sz w:val="24"/>
        </w:rPr>
        <w:t>总人数的</w:t>
      </w:r>
      <w:r>
        <w:rPr>
          <w:rFonts w:hint="eastAsia" w:ascii="宋体" w:hAnsi="宋体" w:cs="宋体"/>
          <w:color w:val="000000"/>
          <w:sz w:val="24"/>
          <w:lang w:val="en-US" w:eastAsia="zh-CN"/>
        </w:rPr>
        <w:t>5.76</w:t>
      </w:r>
      <w:r>
        <w:rPr>
          <w:rFonts w:hint="eastAsia" w:ascii="宋体" w:hAnsi="宋体" w:cs="宋体"/>
          <w:color w:val="000000"/>
          <w:sz w:val="24"/>
        </w:rPr>
        <w:t>%</w:t>
      </w:r>
      <w:r>
        <w:rPr>
          <w:rFonts w:hint="eastAsia" w:ascii="宋体" w:hAnsi="宋体" w:cs="宋体"/>
          <w:color w:val="000000"/>
          <w:sz w:val="24"/>
          <w:lang w:eastAsia="zh-CN"/>
        </w:rPr>
        <w:t>，</w:t>
      </w:r>
      <w:r>
        <w:rPr>
          <w:rFonts w:hint="eastAsia" w:ascii="宋体" w:hAnsi="宋体" w:cs="宋体"/>
          <w:color w:val="000000"/>
          <w:sz w:val="24"/>
          <w:lang w:val="en-US" w:eastAsia="zh-CN"/>
        </w:rPr>
        <w:t>超越江苏省，省外就业人数排名第一</w:t>
      </w:r>
      <w:r>
        <w:rPr>
          <w:rFonts w:hint="eastAsia" w:ascii="宋体" w:hAnsi="宋体" w:cs="宋体"/>
          <w:color w:val="000000"/>
          <w:sz w:val="24"/>
        </w:rPr>
        <w:t>。毕业生在省外主要就业城市有：上海市</w:t>
      </w:r>
      <w:r>
        <w:rPr>
          <w:rFonts w:hint="eastAsia" w:ascii="宋体" w:hAnsi="宋体" w:cs="宋体"/>
          <w:color w:val="000000"/>
          <w:sz w:val="24"/>
          <w:lang w:val="en-US" w:eastAsia="zh-CN"/>
        </w:rPr>
        <w:t>21</w:t>
      </w:r>
      <w:r>
        <w:rPr>
          <w:rFonts w:hint="eastAsia" w:ascii="宋体" w:hAnsi="宋体" w:cs="宋体"/>
          <w:color w:val="000000"/>
          <w:sz w:val="24"/>
        </w:rPr>
        <w:t>人，</w:t>
      </w:r>
      <w:r>
        <w:rPr>
          <w:rFonts w:hint="eastAsia" w:ascii="宋体" w:hAnsi="宋体" w:cs="宋体"/>
          <w:color w:val="000000"/>
          <w:sz w:val="24"/>
          <w:lang w:val="en-US" w:eastAsia="zh-CN"/>
        </w:rPr>
        <w:t>杭州</w:t>
      </w:r>
      <w:r>
        <w:rPr>
          <w:rFonts w:hint="eastAsia" w:ascii="宋体" w:hAnsi="宋体" w:cs="宋体"/>
          <w:color w:val="000000"/>
          <w:sz w:val="24"/>
        </w:rPr>
        <w:t>市</w:t>
      </w:r>
      <w:r>
        <w:rPr>
          <w:rFonts w:hint="eastAsia" w:ascii="宋体" w:hAnsi="宋体" w:cs="宋体"/>
          <w:color w:val="000000"/>
          <w:sz w:val="24"/>
          <w:lang w:val="en-US" w:eastAsia="zh-CN"/>
        </w:rPr>
        <w:t>20</w:t>
      </w:r>
      <w:r>
        <w:rPr>
          <w:rFonts w:hint="eastAsia" w:ascii="宋体" w:hAnsi="宋体" w:cs="宋体"/>
          <w:color w:val="000000"/>
          <w:sz w:val="24"/>
        </w:rPr>
        <w:t>人，</w:t>
      </w:r>
      <w:r>
        <w:rPr>
          <w:rFonts w:hint="eastAsia" w:ascii="宋体" w:hAnsi="宋体" w:cs="宋体"/>
          <w:color w:val="000000"/>
          <w:sz w:val="24"/>
          <w:lang w:val="en-US" w:eastAsia="zh-CN"/>
        </w:rPr>
        <w:t>南京市12</w:t>
      </w:r>
      <w:r>
        <w:rPr>
          <w:rFonts w:hint="eastAsia" w:ascii="宋体" w:hAnsi="宋体" w:cs="宋体"/>
          <w:color w:val="000000"/>
          <w:sz w:val="24"/>
        </w:rPr>
        <w:t>人，</w:t>
      </w:r>
      <w:r>
        <w:rPr>
          <w:rFonts w:hint="eastAsia" w:ascii="宋体" w:hAnsi="宋体" w:cs="宋体"/>
          <w:color w:val="000000"/>
          <w:sz w:val="24"/>
          <w:lang w:val="en-US" w:eastAsia="zh-CN"/>
        </w:rPr>
        <w:t>北京市10</w:t>
      </w:r>
      <w:r>
        <w:rPr>
          <w:rFonts w:hint="eastAsia" w:ascii="宋体" w:hAnsi="宋体" w:cs="宋体"/>
          <w:color w:val="000000"/>
          <w:sz w:val="24"/>
        </w:rPr>
        <w:t>人，</w:t>
      </w:r>
      <w:r>
        <w:rPr>
          <w:rFonts w:hint="eastAsia" w:ascii="宋体" w:hAnsi="宋体" w:cs="宋体"/>
          <w:color w:val="000000"/>
          <w:sz w:val="24"/>
          <w:lang w:val="en-US" w:eastAsia="zh-CN"/>
        </w:rPr>
        <w:t>深圳市7</w:t>
      </w:r>
      <w:r>
        <w:rPr>
          <w:rFonts w:hint="eastAsia" w:ascii="宋体" w:hAnsi="宋体" w:cs="宋体"/>
          <w:color w:val="000000"/>
          <w:sz w:val="24"/>
        </w:rPr>
        <w:t>人，</w:t>
      </w:r>
      <w:r>
        <w:rPr>
          <w:rFonts w:hint="eastAsia" w:ascii="宋体" w:hAnsi="宋体" w:cs="宋体"/>
          <w:color w:val="000000"/>
          <w:sz w:val="24"/>
          <w:lang w:val="en-US" w:eastAsia="zh-CN"/>
        </w:rPr>
        <w:t>武汉市7</w:t>
      </w:r>
      <w:r>
        <w:rPr>
          <w:rFonts w:hint="eastAsia" w:ascii="宋体" w:hAnsi="宋体" w:cs="宋体"/>
          <w:color w:val="000000"/>
          <w:sz w:val="24"/>
        </w:rPr>
        <w:t>人。其中，毕业生在上海就业人数占</w:t>
      </w:r>
      <w:r>
        <w:rPr>
          <w:rFonts w:hint="eastAsia" w:ascii="宋体" w:hAnsi="宋体" w:cs="宋体"/>
          <w:color w:val="000000"/>
          <w:sz w:val="24"/>
          <w:lang w:val="en-US" w:eastAsia="zh-CN"/>
        </w:rPr>
        <w:t>就业</w:t>
      </w:r>
      <w:r>
        <w:rPr>
          <w:rFonts w:hint="eastAsia" w:ascii="宋体" w:hAnsi="宋体" w:cs="宋体"/>
          <w:color w:val="000000"/>
          <w:sz w:val="24"/>
        </w:rPr>
        <w:t>总人数的3.</w:t>
      </w:r>
      <w:r>
        <w:rPr>
          <w:rFonts w:hint="eastAsia" w:ascii="宋体" w:hAnsi="宋体" w:cs="宋体"/>
          <w:color w:val="000000"/>
          <w:sz w:val="24"/>
          <w:lang w:val="en-US" w:eastAsia="zh-CN"/>
        </w:rPr>
        <w:t>78</w:t>
      </w:r>
      <w:r>
        <w:rPr>
          <w:rFonts w:hint="eastAsia" w:ascii="宋体" w:hAnsi="宋体" w:cs="宋体"/>
          <w:color w:val="000000"/>
          <w:sz w:val="24"/>
        </w:rPr>
        <w:t>%</w:t>
      </w:r>
      <w:r>
        <w:rPr>
          <w:rFonts w:hint="eastAsia" w:ascii="宋体" w:hAnsi="宋体" w:cs="宋体"/>
          <w:color w:val="000000"/>
          <w:sz w:val="24"/>
          <w:lang w:eastAsia="zh-CN"/>
        </w:rPr>
        <w:t>，</w:t>
      </w:r>
      <w:r>
        <w:rPr>
          <w:rFonts w:hint="eastAsia" w:ascii="宋体" w:hAnsi="宋体" w:cs="宋体"/>
          <w:color w:val="000000"/>
          <w:sz w:val="24"/>
          <w:lang w:val="en-US" w:eastAsia="zh-CN"/>
        </w:rPr>
        <w:t>除合肥市外就业人数持续排名第一</w:t>
      </w:r>
      <w:r>
        <w:rPr>
          <w:rFonts w:hint="eastAsia" w:ascii="宋体" w:hAnsi="宋体" w:cs="宋体"/>
          <w:color w:val="000000"/>
          <w:sz w:val="24"/>
        </w:rPr>
        <w:t>。202</w:t>
      </w:r>
      <w:r>
        <w:rPr>
          <w:rFonts w:hint="eastAsia" w:ascii="宋体" w:hAnsi="宋体" w:cs="宋体"/>
          <w:color w:val="000000"/>
          <w:sz w:val="24"/>
          <w:lang w:val="en-US" w:eastAsia="zh-CN"/>
        </w:rPr>
        <w:t>2</w:t>
      </w:r>
      <w:r>
        <w:rPr>
          <w:rFonts w:hint="eastAsia" w:ascii="宋体" w:hAnsi="宋体" w:cs="宋体"/>
          <w:color w:val="000000"/>
          <w:sz w:val="24"/>
        </w:rPr>
        <w:t>届毕业生前往省外就业人数比例</w:t>
      </w:r>
      <w:r>
        <w:rPr>
          <w:rFonts w:hint="eastAsia" w:ascii="宋体" w:hAnsi="宋体" w:cs="宋体"/>
          <w:color w:val="000000"/>
          <w:sz w:val="24"/>
          <w:lang w:val="en-US" w:eastAsia="zh-CN"/>
        </w:rPr>
        <w:t>持续</w:t>
      </w:r>
      <w:r>
        <w:rPr>
          <w:rFonts w:hint="eastAsia" w:ascii="宋体" w:hAnsi="宋体" w:cs="宋体"/>
          <w:color w:val="000000"/>
          <w:sz w:val="24"/>
        </w:rPr>
        <w:t>下滑，</w:t>
      </w:r>
      <w:r>
        <w:rPr>
          <w:rFonts w:hint="eastAsia" w:ascii="宋体" w:hAnsi="宋体" w:cs="宋体"/>
          <w:color w:val="000000"/>
          <w:sz w:val="24"/>
          <w:lang w:val="en-US" w:eastAsia="zh-CN"/>
        </w:rPr>
        <w:t>更加</w:t>
      </w:r>
      <w:r>
        <w:rPr>
          <w:rFonts w:hint="eastAsia" w:ascii="宋体" w:hAnsi="宋体" w:cs="宋体"/>
          <w:color w:val="000000"/>
          <w:sz w:val="24"/>
        </w:rPr>
        <w:t>倾向在省内就业；毕业生在北上广深一线城市就业人数比例有所下滑</w:t>
      </w:r>
      <w:r>
        <w:rPr>
          <w:rFonts w:hint="eastAsia" w:ascii="宋体" w:hAnsi="宋体" w:cs="宋体"/>
          <w:color w:val="000000"/>
          <w:sz w:val="24"/>
          <w:lang w:eastAsia="zh-CN"/>
        </w:rPr>
        <w:t>（</w:t>
      </w:r>
      <w:r>
        <w:rPr>
          <w:rFonts w:hint="eastAsia" w:ascii="宋体" w:hAnsi="宋体" w:cs="宋体"/>
          <w:color w:val="000000"/>
          <w:sz w:val="24"/>
          <w:lang w:val="en-US" w:eastAsia="zh-CN"/>
        </w:rPr>
        <w:t>北京、广州上海就业人数小幅度增加</w:t>
      </w:r>
      <w:r>
        <w:rPr>
          <w:rFonts w:hint="eastAsia" w:ascii="宋体" w:hAnsi="宋体" w:cs="宋体"/>
          <w:color w:val="000000"/>
          <w:sz w:val="24"/>
          <w:lang w:eastAsia="zh-CN"/>
        </w:rPr>
        <w:t>）</w:t>
      </w:r>
      <w:r>
        <w:rPr>
          <w:rFonts w:hint="eastAsia" w:ascii="宋体" w:hAnsi="宋体" w:cs="宋体"/>
          <w:color w:val="000000"/>
          <w:sz w:val="24"/>
        </w:rPr>
        <w:t>，</w:t>
      </w:r>
      <w:r>
        <w:rPr>
          <w:rFonts w:hint="eastAsia" w:ascii="宋体" w:hAnsi="宋体" w:cs="宋体"/>
          <w:color w:val="000000"/>
          <w:sz w:val="24"/>
          <w:lang w:val="en-US" w:eastAsia="zh-CN"/>
        </w:rPr>
        <w:t>长三角省会城市（上海、杭州、南京）保持较高的吸引力，</w:t>
      </w:r>
      <w:r>
        <w:rPr>
          <w:rFonts w:hint="eastAsia" w:ascii="宋体" w:hAnsi="宋体" w:cs="宋体"/>
          <w:color w:val="000000"/>
          <w:sz w:val="24"/>
        </w:rPr>
        <w:t>新一线非省会城市就业人数比例有所</w:t>
      </w:r>
      <w:r>
        <w:rPr>
          <w:rFonts w:hint="eastAsia" w:ascii="宋体" w:hAnsi="宋体" w:cs="宋体"/>
          <w:color w:val="000000"/>
          <w:sz w:val="24"/>
          <w:lang w:val="en-US" w:eastAsia="zh-CN"/>
        </w:rPr>
        <w:t>降低</w:t>
      </w:r>
      <w:r>
        <w:rPr>
          <w:rFonts w:hint="eastAsia" w:ascii="宋体" w:hAnsi="宋体" w:cs="宋体"/>
          <w:color w:val="000000"/>
          <w:sz w:val="24"/>
        </w:rPr>
        <w:t>，合肥就业人数比例较去年基本持平。</w:t>
      </w:r>
      <w:r>
        <w:rPr>
          <w:rFonts w:hint="eastAsia" w:ascii="宋体" w:hAnsi="宋体" w:cs="宋体"/>
          <w:color w:val="000000"/>
          <w:sz w:val="24"/>
          <w:lang w:val="en-US" w:eastAsia="zh-CN"/>
        </w:rPr>
        <w:t>经济发达的省会城市、一线城市及生源地城市成为了本届毕业生就业首选</w:t>
      </w:r>
      <w:r>
        <w:rPr>
          <w:rFonts w:hint="eastAsia" w:ascii="宋体" w:hAnsi="宋体" w:cs="宋体"/>
          <w:color w:val="000000"/>
          <w:sz w:val="24"/>
        </w:rPr>
        <w:t>。</w:t>
      </w:r>
    </w:p>
    <w:p>
      <w:pPr>
        <w:spacing w:line="360" w:lineRule="auto"/>
        <w:jc w:val="center"/>
        <w:rPr>
          <w:rFonts w:hint="eastAsia" w:ascii="宋体" w:hAnsi="宋体" w:eastAsia="宋体" w:cs="宋体"/>
          <w:sz w:val="24"/>
          <w:lang w:eastAsia="zh-CN"/>
        </w:rPr>
      </w:pPr>
      <w:r>
        <w:rPr>
          <w:rFonts w:hint="eastAsia" w:ascii="宋体" w:hAnsi="宋体" w:eastAsia="宋体" w:cs="宋体"/>
          <w:sz w:val="24"/>
          <w:lang w:eastAsia="zh-CN"/>
        </w:rPr>
        <w:drawing>
          <wp:inline distT="0" distB="0" distL="114300" distR="114300">
            <wp:extent cx="4824095" cy="2721610"/>
            <wp:effectExtent l="0" t="0" r="1905" b="8890"/>
            <wp:docPr id="122" name="图片 39" descr="图片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39" descr="图片13"/>
                    <pic:cNvPicPr>
                      <a:picLocks noChangeAspect="1"/>
                    </pic:cNvPicPr>
                  </pic:nvPicPr>
                  <pic:blipFill>
                    <a:blip r:embed="rId69"/>
                    <a:stretch>
                      <a:fillRect/>
                    </a:stretch>
                  </pic:blipFill>
                  <pic:spPr>
                    <a:xfrm>
                      <a:off x="0" y="0"/>
                      <a:ext cx="4824095" cy="2721610"/>
                    </a:xfrm>
                    <a:prstGeom prst="rect">
                      <a:avLst/>
                    </a:prstGeom>
                    <a:noFill/>
                    <a:ln>
                      <a:noFill/>
                    </a:ln>
                  </pic:spPr>
                </pic:pic>
              </a:graphicData>
            </a:graphic>
          </wp:inline>
        </w:drawing>
      </w:r>
      <w:r>
        <w:rPr>
          <w:rFonts w:hint="eastAsia" w:ascii="宋体" w:hAnsi="宋体" w:eastAsia="宋体" w:cs="宋体"/>
          <w:sz w:val="24"/>
          <w:lang w:eastAsia="zh-CN"/>
        </w:rPr>
        <w:drawing>
          <wp:inline distT="0" distB="0" distL="114300" distR="114300">
            <wp:extent cx="4824095" cy="2721610"/>
            <wp:effectExtent l="0" t="0" r="1905" b="8890"/>
            <wp:docPr id="105" name="图片 40" descr="图片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40" descr="图片15"/>
                    <pic:cNvPicPr>
                      <a:picLocks noChangeAspect="1"/>
                    </pic:cNvPicPr>
                  </pic:nvPicPr>
                  <pic:blipFill>
                    <a:blip r:embed="rId70"/>
                    <a:stretch>
                      <a:fillRect/>
                    </a:stretch>
                  </pic:blipFill>
                  <pic:spPr>
                    <a:xfrm>
                      <a:off x="0" y="0"/>
                      <a:ext cx="4824095" cy="2721610"/>
                    </a:xfrm>
                    <a:prstGeom prst="rect">
                      <a:avLst/>
                    </a:prstGeom>
                    <a:noFill/>
                    <a:ln>
                      <a:noFill/>
                    </a:ln>
                  </pic:spPr>
                </pic:pic>
              </a:graphicData>
            </a:graphic>
          </wp:inline>
        </w:drawing>
      </w:r>
    </w:p>
    <w:p>
      <w:pPr>
        <w:spacing w:line="360" w:lineRule="auto"/>
        <w:ind w:firstLine="480" w:firstLineChars="200"/>
        <w:jc w:val="left"/>
        <w:rPr>
          <w:rFonts w:ascii="宋体" w:cs="宋体"/>
          <w:b/>
          <w:color w:val="000000"/>
          <w:sz w:val="24"/>
        </w:rPr>
      </w:pPr>
      <w:r>
        <w:rPr>
          <w:rFonts w:hint="eastAsia" w:ascii="宋体" w:hAnsi="宋体"/>
          <w:color w:val="000000"/>
          <w:sz w:val="24"/>
        </w:rPr>
        <w:t>经济与管理学院省内就业的</w:t>
      </w:r>
      <w:r>
        <w:rPr>
          <w:rFonts w:hint="eastAsia" w:ascii="宋体" w:hAnsi="宋体"/>
          <w:color w:val="000000"/>
          <w:sz w:val="24"/>
          <w:lang w:val="en-US" w:eastAsia="zh-CN"/>
        </w:rPr>
        <w:t>374</w:t>
      </w:r>
      <w:r>
        <w:rPr>
          <w:rFonts w:hint="eastAsia" w:ascii="宋体" w:hAnsi="宋体"/>
          <w:color w:val="000000"/>
          <w:sz w:val="24"/>
        </w:rPr>
        <w:t>名同学中有</w:t>
      </w:r>
      <w:r>
        <w:rPr>
          <w:rFonts w:hint="eastAsia" w:ascii="宋体" w:hAnsi="宋体"/>
          <w:color w:val="000000"/>
          <w:sz w:val="24"/>
          <w:lang w:val="en-US" w:eastAsia="zh-CN"/>
        </w:rPr>
        <w:t>246</w:t>
      </w:r>
      <w:r>
        <w:rPr>
          <w:rFonts w:hint="eastAsia" w:ascii="宋体" w:hAnsi="宋体"/>
          <w:color w:val="000000"/>
          <w:sz w:val="24"/>
        </w:rPr>
        <w:t>人在合肥市就业，占</w:t>
      </w:r>
      <w:r>
        <w:rPr>
          <w:rFonts w:hint="eastAsia" w:ascii="宋体" w:hAnsi="宋体"/>
          <w:color w:val="000000"/>
          <w:sz w:val="24"/>
          <w:lang w:val="en-US" w:eastAsia="zh-CN"/>
        </w:rPr>
        <w:t>就业</w:t>
      </w:r>
      <w:r>
        <w:rPr>
          <w:rFonts w:hint="eastAsia" w:ascii="宋体" w:hAnsi="宋体"/>
          <w:color w:val="000000"/>
          <w:sz w:val="24"/>
        </w:rPr>
        <w:t>人数</w:t>
      </w:r>
      <w:r>
        <w:rPr>
          <w:rFonts w:hint="eastAsia" w:ascii="宋体" w:hAnsi="宋体"/>
          <w:color w:val="000000"/>
          <w:sz w:val="24"/>
          <w:lang w:val="en-US" w:eastAsia="zh-CN"/>
        </w:rPr>
        <w:t>44.24</w:t>
      </w:r>
      <w:r>
        <w:rPr>
          <w:rFonts w:ascii="宋体" w:hAnsi="宋体"/>
          <w:color w:val="000000"/>
          <w:sz w:val="24"/>
        </w:rPr>
        <w:t>%</w:t>
      </w:r>
      <w:r>
        <w:rPr>
          <w:rFonts w:hint="eastAsia" w:ascii="宋体" w:hAnsi="宋体"/>
          <w:color w:val="000000"/>
          <w:sz w:val="24"/>
        </w:rPr>
        <w:t>。其中，经济学专业</w:t>
      </w:r>
      <w:r>
        <w:rPr>
          <w:rFonts w:hint="eastAsia" w:ascii="宋体" w:hAnsi="宋体"/>
          <w:color w:val="000000"/>
          <w:sz w:val="24"/>
          <w:lang w:val="en-US" w:eastAsia="zh-CN"/>
        </w:rPr>
        <w:t>26</w:t>
      </w:r>
      <w:r>
        <w:rPr>
          <w:rFonts w:hint="eastAsia" w:ascii="宋体" w:hAnsi="宋体"/>
          <w:color w:val="000000"/>
          <w:sz w:val="24"/>
        </w:rPr>
        <w:t>人，占本专业</w:t>
      </w:r>
      <w:r>
        <w:rPr>
          <w:rFonts w:hint="eastAsia" w:ascii="宋体" w:hAnsi="宋体"/>
          <w:color w:val="000000"/>
          <w:sz w:val="24"/>
          <w:lang w:val="en-US" w:eastAsia="zh-CN"/>
        </w:rPr>
        <w:t>就业</w:t>
      </w:r>
      <w:r>
        <w:rPr>
          <w:rFonts w:hint="eastAsia" w:ascii="宋体" w:hAnsi="宋体"/>
          <w:color w:val="000000"/>
          <w:sz w:val="24"/>
        </w:rPr>
        <w:t>人数</w:t>
      </w:r>
      <w:r>
        <w:rPr>
          <w:rFonts w:hint="eastAsia" w:ascii="宋体" w:hAnsi="宋体"/>
          <w:color w:val="000000"/>
          <w:sz w:val="24"/>
          <w:lang w:val="en-US" w:eastAsia="zh-CN"/>
        </w:rPr>
        <w:t>50.00</w:t>
      </w:r>
      <w:r>
        <w:rPr>
          <w:rFonts w:ascii="宋体" w:hAnsi="宋体"/>
          <w:color w:val="000000"/>
          <w:sz w:val="24"/>
        </w:rPr>
        <w:t>%</w:t>
      </w:r>
      <w:r>
        <w:rPr>
          <w:rFonts w:hint="eastAsia" w:ascii="宋体" w:hAnsi="宋体"/>
          <w:color w:val="000000"/>
          <w:sz w:val="24"/>
        </w:rPr>
        <w:t>；经济学3+1专业</w:t>
      </w:r>
      <w:r>
        <w:rPr>
          <w:rFonts w:hint="eastAsia" w:ascii="宋体" w:hAnsi="宋体"/>
          <w:color w:val="000000"/>
          <w:sz w:val="24"/>
          <w:lang w:val="en-US" w:eastAsia="zh-CN"/>
        </w:rPr>
        <w:t>19</w:t>
      </w:r>
      <w:r>
        <w:rPr>
          <w:rFonts w:hint="eastAsia" w:ascii="宋体" w:hAnsi="宋体"/>
          <w:color w:val="000000"/>
          <w:sz w:val="24"/>
        </w:rPr>
        <w:t>人，占本专业</w:t>
      </w:r>
      <w:r>
        <w:rPr>
          <w:rFonts w:hint="eastAsia" w:ascii="宋体" w:hAnsi="宋体"/>
          <w:color w:val="000000"/>
          <w:sz w:val="24"/>
          <w:lang w:val="en-US" w:eastAsia="zh-CN"/>
        </w:rPr>
        <w:t>就业</w:t>
      </w:r>
      <w:r>
        <w:rPr>
          <w:rFonts w:hint="eastAsia" w:ascii="宋体" w:hAnsi="宋体"/>
          <w:color w:val="000000"/>
          <w:sz w:val="24"/>
        </w:rPr>
        <w:t>人数</w:t>
      </w:r>
      <w:r>
        <w:rPr>
          <w:rFonts w:hint="eastAsia" w:ascii="宋体" w:hAnsi="宋体"/>
          <w:color w:val="000000"/>
          <w:sz w:val="24"/>
          <w:lang w:val="en-US" w:eastAsia="zh-CN"/>
        </w:rPr>
        <w:t>59.38</w:t>
      </w:r>
      <w:r>
        <w:rPr>
          <w:rFonts w:hint="eastAsia" w:ascii="宋体" w:hAnsi="宋体"/>
          <w:color w:val="000000"/>
          <w:sz w:val="24"/>
        </w:rPr>
        <w:t>%；金融学专业</w:t>
      </w:r>
      <w:r>
        <w:rPr>
          <w:rFonts w:hint="eastAsia" w:ascii="宋体" w:hAnsi="宋体"/>
          <w:color w:val="000000"/>
          <w:sz w:val="24"/>
          <w:lang w:val="en-US" w:eastAsia="zh-CN"/>
        </w:rPr>
        <w:t>45</w:t>
      </w:r>
      <w:r>
        <w:rPr>
          <w:rFonts w:hint="eastAsia" w:ascii="宋体" w:hAnsi="宋体"/>
          <w:color w:val="000000"/>
          <w:sz w:val="24"/>
        </w:rPr>
        <w:t>人，占本专业</w:t>
      </w:r>
      <w:r>
        <w:rPr>
          <w:rFonts w:hint="eastAsia" w:ascii="宋体" w:hAnsi="宋体"/>
          <w:color w:val="000000"/>
          <w:sz w:val="24"/>
          <w:lang w:val="en-US" w:eastAsia="zh-CN"/>
        </w:rPr>
        <w:t>就业</w:t>
      </w:r>
      <w:r>
        <w:rPr>
          <w:rFonts w:hint="eastAsia" w:ascii="宋体" w:hAnsi="宋体"/>
          <w:color w:val="000000"/>
          <w:sz w:val="24"/>
        </w:rPr>
        <w:t>人数</w:t>
      </w:r>
      <w:r>
        <w:rPr>
          <w:rFonts w:hint="eastAsia" w:ascii="宋体" w:hAnsi="宋体"/>
          <w:color w:val="000000"/>
          <w:sz w:val="24"/>
          <w:lang w:val="en-US" w:eastAsia="zh-CN"/>
        </w:rPr>
        <w:t>42.45</w:t>
      </w:r>
      <w:r>
        <w:rPr>
          <w:rFonts w:ascii="宋体" w:hAnsi="宋体"/>
          <w:color w:val="000000"/>
          <w:sz w:val="24"/>
        </w:rPr>
        <w:t>%</w:t>
      </w:r>
      <w:r>
        <w:rPr>
          <w:rFonts w:hint="eastAsia" w:ascii="宋体" w:hAnsi="宋体"/>
          <w:color w:val="000000"/>
          <w:sz w:val="24"/>
        </w:rPr>
        <w:t>；国际经济与贸易专业</w:t>
      </w:r>
      <w:r>
        <w:rPr>
          <w:rFonts w:hint="eastAsia" w:ascii="宋体" w:hAnsi="宋体"/>
          <w:color w:val="000000"/>
          <w:sz w:val="24"/>
          <w:lang w:val="en-US" w:eastAsia="zh-CN"/>
        </w:rPr>
        <w:t>28</w:t>
      </w:r>
      <w:r>
        <w:rPr>
          <w:rFonts w:hint="eastAsia" w:ascii="宋体" w:hAnsi="宋体"/>
          <w:color w:val="000000"/>
          <w:sz w:val="24"/>
        </w:rPr>
        <w:t>人，占本专业</w:t>
      </w:r>
      <w:r>
        <w:rPr>
          <w:rFonts w:hint="eastAsia" w:ascii="宋体" w:hAnsi="宋体"/>
          <w:color w:val="000000"/>
          <w:sz w:val="24"/>
          <w:lang w:val="en-US" w:eastAsia="zh-CN"/>
        </w:rPr>
        <w:t>就业</w:t>
      </w:r>
      <w:r>
        <w:rPr>
          <w:rFonts w:hint="eastAsia" w:ascii="宋体" w:hAnsi="宋体"/>
          <w:color w:val="000000"/>
          <w:sz w:val="24"/>
        </w:rPr>
        <w:t>人数</w:t>
      </w:r>
      <w:r>
        <w:rPr>
          <w:rFonts w:hint="eastAsia" w:ascii="宋体" w:hAnsi="宋体"/>
          <w:color w:val="000000"/>
          <w:sz w:val="24"/>
          <w:lang w:val="en-US" w:eastAsia="zh-CN"/>
        </w:rPr>
        <w:t>42.42</w:t>
      </w:r>
      <w:r>
        <w:rPr>
          <w:rFonts w:hint="eastAsia" w:ascii="宋体" w:hAnsi="宋体"/>
          <w:color w:val="000000"/>
          <w:sz w:val="24"/>
        </w:rPr>
        <w:t>%；</w:t>
      </w:r>
      <w:r>
        <w:rPr>
          <w:rFonts w:hint="eastAsia" w:ascii="宋体" w:hAnsi="宋体"/>
          <w:color w:val="000000"/>
          <w:sz w:val="24"/>
          <w:lang w:val="en-US" w:eastAsia="zh-CN"/>
        </w:rPr>
        <w:t>经济工程</w:t>
      </w:r>
      <w:r>
        <w:rPr>
          <w:rFonts w:hint="eastAsia" w:ascii="宋体" w:hAnsi="宋体"/>
          <w:color w:val="000000"/>
          <w:sz w:val="24"/>
        </w:rPr>
        <w:t>专业</w:t>
      </w:r>
      <w:r>
        <w:rPr>
          <w:rFonts w:hint="eastAsia" w:ascii="宋体" w:hAnsi="宋体"/>
          <w:color w:val="000000"/>
          <w:sz w:val="24"/>
          <w:lang w:val="en-US" w:eastAsia="zh-CN"/>
        </w:rPr>
        <w:t>14</w:t>
      </w:r>
      <w:r>
        <w:rPr>
          <w:rFonts w:hint="eastAsia" w:ascii="宋体" w:hAnsi="宋体"/>
          <w:color w:val="000000"/>
          <w:sz w:val="24"/>
        </w:rPr>
        <w:t>人，占本专业</w:t>
      </w:r>
      <w:r>
        <w:rPr>
          <w:rFonts w:hint="eastAsia" w:ascii="宋体" w:hAnsi="宋体"/>
          <w:color w:val="000000"/>
          <w:sz w:val="24"/>
          <w:lang w:val="en-US" w:eastAsia="zh-CN"/>
        </w:rPr>
        <w:t>就业</w:t>
      </w:r>
      <w:r>
        <w:rPr>
          <w:rFonts w:hint="eastAsia" w:ascii="宋体" w:hAnsi="宋体"/>
          <w:color w:val="000000"/>
          <w:sz w:val="24"/>
        </w:rPr>
        <w:t>人数</w:t>
      </w:r>
      <w:r>
        <w:rPr>
          <w:rFonts w:hint="eastAsia" w:ascii="宋体" w:hAnsi="宋体"/>
          <w:color w:val="000000"/>
          <w:sz w:val="24"/>
          <w:lang w:val="en-US" w:eastAsia="zh-CN"/>
        </w:rPr>
        <w:t>45.16</w:t>
      </w:r>
      <w:r>
        <w:rPr>
          <w:rFonts w:hint="eastAsia" w:ascii="宋体" w:hAnsi="宋体"/>
          <w:color w:val="000000"/>
          <w:sz w:val="24"/>
        </w:rPr>
        <w:t>%；财务管理专业</w:t>
      </w:r>
      <w:r>
        <w:rPr>
          <w:rFonts w:hint="eastAsia" w:ascii="宋体" w:hAnsi="宋体"/>
          <w:color w:val="000000"/>
          <w:sz w:val="24"/>
          <w:lang w:val="en-US" w:eastAsia="zh-CN"/>
        </w:rPr>
        <w:t>18</w:t>
      </w:r>
      <w:r>
        <w:rPr>
          <w:rFonts w:hint="eastAsia" w:ascii="宋体" w:hAnsi="宋体"/>
          <w:color w:val="000000"/>
          <w:sz w:val="24"/>
        </w:rPr>
        <w:t>人，占本专业</w:t>
      </w:r>
      <w:r>
        <w:rPr>
          <w:rFonts w:hint="eastAsia" w:ascii="宋体" w:hAnsi="宋体"/>
          <w:color w:val="000000"/>
          <w:sz w:val="24"/>
          <w:lang w:val="en-US" w:eastAsia="zh-CN"/>
        </w:rPr>
        <w:t>就业</w:t>
      </w:r>
      <w:r>
        <w:rPr>
          <w:rFonts w:hint="eastAsia" w:ascii="宋体" w:hAnsi="宋体"/>
          <w:color w:val="000000"/>
          <w:sz w:val="24"/>
        </w:rPr>
        <w:t>总人数</w:t>
      </w:r>
      <w:r>
        <w:rPr>
          <w:rFonts w:hint="eastAsia" w:ascii="宋体" w:hAnsi="宋体"/>
          <w:color w:val="000000"/>
          <w:sz w:val="24"/>
          <w:lang w:val="en-US" w:eastAsia="zh-CN"/>
        </w:rPr>
        <w:t>46.15</w:t>
      </w:r>
      <w:r>
        <w:rPr>
          <w:rFonts w:hint="eastAsia" w:ascii="宋体" w:hAnsi="宋体"/>
          <w:color w:val="000000"/>
          <w:sz w:val="24"/>
        </w:rPr>
        <w:t>%；工商管理</w:t>
      </w:r>
      <w:r>
        <w:rPr>
          <w:rFonts w:hint="eastAsia" w:ascii="宋体" w:hAnsi="宋体"/>
          <w:color w:val="000000"/>
          <w:sz w:val="24"/>
          <w:lang w:val="en-US" w:eastAsia="zh-CN"/>
        </w:rPr>
        <w:t>12</w:t>
      </w:r>
      <w:r>
        <w:rPr>
          <w:rFonts w:hint="eastAsia" w:ascii="宋体" w:hAnsi="宋体"/>
          <w:color w:val="000000"/>
          <w:sz w:val="24"/>
        </w:rPr>
        <w:t>人，占本专业</w:t>
      </w:r>
      <w:r>
        <w:rPr>
          <w:rFonts w:hint="eastAsia" w:ascii="宋体" w:hAnsi="宋体"/>
          <w:color w:val="000000"/>
          <w:sz w:val="24"/>
          <w:lang w:val="en-US" w:eastAsia="zh-CN"/>
        </w:rPr>
        <w:t>就业</w:t>
      </w:r>
      <w:r>
        <w:rPr>
          <w:rFonts w:hint="eastAsia" w:ascii="宋体" w:hAnsi="宋体"/>
          <w:color w:val="000000"/>
          <w:sz w:val="24"/>
        </w:rPr>
        <w:t>人数</w:t>
      </w:r>
      <w:r>
        <w:rPr>
          <w:rFonts w:hint="eastAsia" w:ascii="宋体" w:hAnsi="宋体"/>
          <w:color w:val="000000"/>
          <w:sz w:val="24"/>
          <w:lang w:val="en-US" w:eastAsia="zh-CN"/>
        </w:rPr>
        <w:t>32.43</w:t>
      </w:r>
      <w:r>
        <w:rPr>
          <w:rFonts w:hint="eastAsia" w:ascii="宋体" w:hAnsi="宋体"/>
          <w:color w:val="000000"/>
          <w:sz w:val="24"/>
        </w:rPr>
        <w:t>%；会计学专业</w:t>
      </w:r>
      <w:r>
        <w:rPr>
          <w:rFonts w:hint="eastAsia" w:ascii="宋体" w:hAnsi="宋体"/>
          <w:color w:val="000000"/>
          <w:sz w:val="24"/>
          <w:lang w:val="en-US" w:eastAsia="zh-CN"/>
        </w:rPr>
        <w:t>34</w:t>
      </w:r>
      <w:r>
        <w:rPr>
          <w:rFonts w:hint="eastAsia" w:ascii="宋体" w:hAnsi="宋体"/>
          <w:color w:val="000000"/>
          <w:sz w:val="24"/>
        </w:rPr>
        <w:t>人，占本专业</w:t>
      </w:r>
      <w:r>
        <w:rPr>
          <w:rFonts w:hint="eastAsia" w:ascii="宋体" w:hAnsi="宋体"/>
          <w:color w:val="000000"/>
          <w:sz w:val="24"/>
          <w:lang w:val="en-US" w:eastAsia="zh-CN"/>
        </w:rPr>
        <w:t>就业</w:t>
      </w:r>
      <w:r>
        <w:rPr>
          <w:rFonts w:hint="eastAsia" w:ascii="宋体" w:hAnsi="宋体"/>
          <w:color w:val="000000"/>
          <w:sz w:val="24"/>
        </w:rPr>
        <w:t>人数</w:t>
      </w:r>
      <w:r>
        <w:rPr>
          <w:rFonts w:hint="eastAsia" w:ascii="宋体" w:hAnsi="宋体"/>
          <w:color w:val="000000"/>
          <w:sz w:val="24"/>
          <w:lang w:val="en-US" w:eastAsia="zh-CN"/>
        </w:rPr>
        <w:t>46.58</w:t>
      </w:r>
      <w:r>
        <w:rPr>
          <w:rFonts w:hint="eastAsia" w:ascii="宋体" w:hAnsi="宋体"/>
          <w:color w:val="000000"/>
          <w:sz w:val="24"/>
        </w:rPr>
        <w:t>%；物流管理专业</w:t>
      </w:r>
      <w:r>
        <w:rPr>
          <w:rFonts w:hint="eastAsia" w:ascii="宋体" w:hAnsi="宋体"/>
          <w:color w:val="000000"/>
          <w:sz w:val="24"/>
          <w:lang w:val="en-US" w:eastAsia="zh-CN"/>
        </w:rPr>
        <w:t>29</w:t>
      </w:r>
      <w:r>
        <w:rPr>
          <w:rFonts w:hint="eastAsia" w:ascii="宋体" w:hAnsi="宋体"/>
          <w:color w:val="000000"/>
          <w:sz w:val="24"/>
        </w:rPr>
        <w:t>人，占本专业</w:t>
      </w:r>
      <w:r>
        <w:rPr>
          <w:rFonts w:hint="eastAsia" w:ascii="宋体" w:hAnsi="宋体"/>
          <w:color w:val="000000"/>
          <w:sz w:val="24"/>
          <w:lang w:val="en-US" w:eastAsia="zh-CN"/>
        </w:rPr>
        <w:t>就业</w:t>
      </w:r>
      <w:r>
        <w:rPr>
          <w:rFonts w:hint="eastAsia" w:ascii="宋体" w:hAnsi="宋体"/>
          <w:color w:val="000000"/>
          <w:sz w:val="24"/>
        </w:rPr>
        <w:t>人数</w:t>
      </w:r>
      <w:r>
        <w:rPr>
          <w:rFonts w:hint="eastAsia" w:ascii="宋体" w:hAnsi="宋体"/>
          <w:color w:val="000000"/>
          <w:sz w:val="24"/>
          <w:lang w:val="en-US" w:eastAsia="zh-CN"/>
        </w:rPr>
        <w:t>43.28</w:t>
      </w:r>
      <w:r>
        <w:rPr>
          <w:rFonts w:hint="eastAsia" w:ascii="宋体" w:hAnsi="宋体"/>
          <w:color w:val="000000"/>
          <w:sz w:val="24"/>
        </w:rPr>
        <w:t>%；物流管理中外合作专业</w:t>
      </w:r>
      <w:r>
        <w:rPr>
          <w:rFonts w:hint="eastAsia" w:ascii="宋体" w:hAnsi="宋体"/>
          <w:color w:val="000000"/>
          <w:sz w:val="24"/>
          <w:lang w:val="en-US" w:eastAsia="zh-CN"/>
        </w:rPr>
        <w:t>21</w:t>
      </w:r>
      <w:r>
        <w:rPr>
          <w:rFonts w:hint="eastAsia" w:ascii="宋体" w:hAnsi="宋体"/>
          <w:color w:val="000000"/>
          <w:sz w:val="24"/>
        </w:rPr>
        <w:t>人，占本专业</w:t>
      </w:r>
      <w:r>
        <w:rPr>
          <w:rFonts w:hint="eastAsia" w:ascii="宋体" w:hAnsi="宋体"/>
          <w:color w:val="000000"/>
          <w:sz w:val="24"/>
          <w:lang w:val="en-US" w:eastAsia="zh-CN"/>
        </w:rPr>
        <w:t>就业人</w:t>
      </w:r>
      <w:r>
        <w:rPr>
          <w:rFonts w:hint="eastAsia" w:ascii="宋体" w:hAnsi="宋体"/>
          <w:color w:val="000000"/>
          <w:sz w:val="24"/>
        </w:rPr>
        <w:t>数</w:t>
      </w:r>
      <w:r>
        <w:rPr>
          <w:rFonts w:hint="eastAsia" w:ascii="宋体" w:hAnsi="宋体"/>
          <w:color w:val="000000"/>
          <w:sz w:val="24"/>
          <w:lang w:val="en-US" w:eastAsia="zh-CN"/>
        </w:rPr>
        <w:t>50.94</w:t>
      </w:r>
      <w:r>
        <w:rPr>
          <w:rFonts w:hint="eastAsia" w:ascii="宋体" w:hAnsi="宋体"/>
          <w:color w:val="000000"/>
          <w:sz w:val="24"/>
        </w:rPr>
        <w:t>%。</w:t>
      </w:r>
    </w:p>
    <w:p>
      <w:pPr>
        <w:spacing w:line="360" w:lineRule="auto"/>
        <w:jc w:val="center"/>
        <w:rPr>
          <w:rFonts w:ascii="仿宋_GB2312" w:hAnsi="宋体" w:eastAsia="仿宋_GB2312"/>
          <w:b/>
          <w:color w:val="1F497D"/>
          <w:sz w:val="24"/>
        </w:rPr>
      </w:pPr>
      <w:r>
        <w:rPr>
          <w:rFonts w:hint="eastAsia" w:ascii="仿宋_GB2312" w:hAnsi="宋体" w:eastAsia="仿宋_GB2312"/>
          <w:b/>
          <w:color w:val="1F497D"/>
          <w:sz w:val="24"/>
        </w:rPr>
        <w:t>各专业毕业生</w:t>
      </w:r>
      <w:r>
        <w:rPr>
          <w:rFonts w:hint="eastAsia" w:ascii="仿宋_GB2312" w:hAnsi="宋体" w:eastAsia="仿宋_GB2312"/>
          <w:b/>
          <w:color w:val="1F497D"/>
          <w:sz w:val="24"/>
          <w:lang w:val="en-US" w:eastAsia="zh-CN"/>
        </w:rPr>
        <w:t>留肥、留皖人数</w:t>
      </w:r>
      <w:r>
        <w:rPr>
          <w:rFonts w:hint="eastAsia" w:ascii="仿宋_GB2312" w:hAnsi="宋体" w:eastAsia="仿宋_GB2312"/>
          <w:b/>
          <w:color w:val="1F497D"/>
          <w:sz w:val="24"/>
        </w:rPr>
        <w:t>比例分析表</w:t>
      </w:r>
    </w:p>
    <w:tbl>
      <w:tblPr>
        <w:tblStyle w:val="13"/>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26"/>
        <w:gridCol w:w="771"/>
        <w:gridCol w:w="1050"/>
        <w:gridCol w:w="1302"/>
        <w:gridCol w:w="846"/>
        <w:gridCol w:w="1050"/>
        <w:gridCol w:w="1295"/>
        <w:gridCol w:w="8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787" w:type="pct"/>
            <w:tcBorders>
              <w:top w:val="single" w:color="FFFFFF" w:sz="8" w:space="0"/>
              <w:left w:val="single" w:color="FFFFFF" w:sz="8" w:space="0"/>
              <w:bottom w:val="single" w:color="FFFFFF" w:sz="18" w:space="0"/>
              <w:right w:val="single" w:color="FFFFFF" w:sz="8" w:space="0"/>
            </w:tcBorders>
            <w:shd w:val="clear" w:color="auto" w:fill="4F81BD"/>
            <w:noWrap w:val="0"/>
            <w:vAlign w:val="center"/>
          </w:tcPr>
          <w:p>
            <w:pPr>
              <w:spacing w:line="360" w:lineRule="auto"/>
              <w:jc w:val="center"/>
              <w:rPr>
                <w:rFonts w:ascii="宋体" w:cs="宋体"/>
                <w:color w:val="FFFFFF"/>
                <w:sz w:val="24"/>
              </w:rPr>
            </w:pPr>
            <w:r>
              <w:rPr>
                <w:rFonts w:hint="eastAsia" w:ascii="宋体" w:hAnsi="宋体" w:cs="宋体"/>
                <w:color w:val="FFFFFF"/>
                <w:sz w:val="24"/>
              </w:rPr>
              <w:t>专业</w:t>
            </w:r>
          </w:p>
        </w:tc>
        <w:tc>
          <w:tcPr>
            <w:tcW w:w="461" w:type="pct"/>
            <w:tcBorders>
              <w:top w:val="single" w:color="FFFFFF" w:sz="8" w:space="0"/>
              <w:left w:val="single" w:color="FFFFFF" w:sz="8" w:space="0"/>
              <w:bottom w:val="single" w:color="FFFFFF" w:sz="18" w:space="0"/>
              <w:right w:val="single" w:color="FFFFFF" w:sz="8" w:space="0"/>
            </w:tcBorders>
            <w:shd w:val="clear" w:color="auto" w:fill="4F81BD"/>
            <w:noWrap w:val="0"/>
            <w:vAlign w:val="center"/>
          </w:tcPr>
          <w:p>
            <w:pPr>
              <w:spacing w:line="360" w:lineRule="auto"/>
              <w:jc w:val="center"/>
              <w:rPr>
                <w:rFonts w:ascii="宋体" w:cs="宋体"/>
                <w:color w:val="FFFFFF"/>
                <w:sz w:val="24"/>
              </w:rPr>
            </w:pPr>
            <w:r>
              <w:rPr>
                <w:rFonts w:hint="eastAsia" w:ascii="宋体" w:hAnsi="宋体" w:eastAsia="宋体" w:cs="宋体"/>
                <w:color w:val="FFFFFF"/>
                <w:sz w:val="24"/>
                <w:lang w:val="en-US" w:eastAsia="zh-CN"/>
              </w:rPr>
              <w:t>就业人数</w:t>
            </w:r>
          </w:p>
        </w:tc>
        <w:tc>
          <w:tcPr>
            <w:tcW w:w="625" w:type="pct"/>
            <w:tcBorders>
              <w:top w:val="single" w:color="FFFFFF" w:sz="8" w:space="0"/>
              <w:left w:val="single" w:color="FFFFFF" w:sz="8" w:space="0"/>
              <w:bottom w:val="single" w:color="FFFFFF" w:sz="18" w:space="0"/>
              <w:right w:val="single" w:color="FFFFFF" w:sz="8" w:space="0"/>
            </w:tcBorders>
            <w:shd w:val="clear" w:color="auto" w:fill="4F81BD"/>
            <w:noWrap w:val="0"/>
            <w:vAlign w:val="center"/>
          </w:tcPr>
          <w:p>
            <w:pPr>
              <w:spacing w:line="360" w:lineRule="auto"/>
              <w:jc w:val="center"/>
              <w:rPr>
                <w:rFonts w:hint="eastAsia" w:ascii="宋体" w:hAnsi="宋体" w:eastAsia="宋体" w:cs="宋体"/>
                <w:color w:val="FFFFFF"/>
                <w:sz w:val="24"/>
                <w:lang w:val="en-US" w:eastAsia="zh-CN"/>
              </w:rPr>
            </w:pPr>
            <w:r>
              <w:rPr>
                <w:rFonts w:hint="eastAsia" w:ascii="宋体" w:hAnsi="宋体" w:eastAsia="宋体" w:cs="宋体"/>
                <w:color w:val="FFFFFF"/>
                <w:sz w:val="24"/>
                <w:lang w:val="en-US" w:eastAsia="zh-CN"/>
              </w:rPr>
              <w:t>就业</w:t>
            </w:r>
          </w:p>
          <w:p>
            <w:pPr>
              <w:spacing w:line="360" w:lineRule="auto"/>
              <w:jc w:val="center"/>
              <w:rPr>
                <w:rFonts w:hint="eastAsia" w:ascii="宋体" w:hAnsi="宋体" w:eastAsia="宋体" w:cs="宋体"/>
                <w:color w:val="FFFFFF"/>
                <w:sz w:val="24"/>
                <w:lang w:val="en-US" w:eastAsia="zh-CN"/>
              </w:rPr>
            </w:pPr>
            <w:r>
              <w:rPr>
                <w:rFonts w:hint="eastAsia" w:ascii="宋体" w:hAnsi="宋体" w:eastAsia="宋体" w:cs="宋体"/>
                <w:color w:val="FFFFFF"/>
                <w:sz w:val="24"/>
                <w:lang w:val="en-US" w:eastAsia="zh-CN"/>
              </w:rPr>
              <w:t>地区</w:t>
            </w:r>
          </w:p>
        </w:tc>
        <w:tc>
          <w:tcPr>
            <w:tcW w:w="773" w:type="pct"/>
            <w:tcBorders>
              <w:top w:val="single" w:color="FFFFFF" w:sz="8" w:space="0"/>
              <w:left w:val="single" w:color="FFFFFF" w:sz="8" w:space="0"/>
              <w:bottom w:val="single" w:color="FFFFFF" w:sz="18" w:space="0"/>
              <w:right w:val="single" w:color="FFFFFF" w:sz="8" w:space="0"/>
            </w:tcBorders>
            <w:shd w:val="clear" w:color="auto" w:fill="4F81BD"/>
            <w:noWrap w:val="0"/>
            <w:vAlign w:val="center"/>
          </w:tcPr>
          <w:p>
            <w:pPr>
              <w:spacing w:line="360" w:lineRule="auto"/>
              <w:jc w:val="center"/>
              <w:rPr>
                <w:rFonts w:hint="eastAsia" w:ascii="宋体" w:hAnsi="宋体" w:eastAsia="宋体" w:cs="宋体"/>
                <w:color w:val="FFFFFF"/>
                <w:sz w:val="24"/>
                <w:lang w:val="en-US" w:eastAsia="zh-CN"/>
              </w:rPr>
            </w:pPr>
            <w:r>
              <w:rPr>
                <w:rFonts w:hint="eastAsia" w:ascii="宋体" w:hAnsi="宋体" w:eastAsia="宋体" w:cs="宋体"/>
                <w:color w:val="FFFFFF"/>
                <w:sz w:val="24"/>
                <w:lang w:val="en-US" w:eastAsia="zh-CN"/>
              </w:rPr>
              <w:t>人数</w:t>
            </w:r>
          </w:p>
        </w:tc>
        <w:tc>
          <w:tcPr>
            <w:tcW w:w="477" w:type="pct"/>
            <w:tcBorders>
              <w:top w:val="single" w:color="FFFFFF" w:sz="8" w:space="0"/>
              <w:left w:val="single" w:color="FFFFFF" w:sz="8" w:space="0"/>
              <w:bottom w:val="single" w:color="FFFFFF" w:sz="18" w:space="0"/>
              <w:right w:val="single" w:color="FFFFFF" w:sz="8" w:space="0"/>
            </w:tcBorders>
            <w:shd w:val="clear" w:color="auto" w:fill="4F81BD"/>
            <w:noWrap w:val="0"/>
            <w:vAlign w:val="center"/>
          </w:tcPr>
          <w:p>
            <w:pPr>
              <w:spacing w:line="360" w:lineRule="auto"/>
              <w:jc w:val="center"/>
              <w:rPr>
                <w:rFonts w:hint="default" w:ascii="宋体" w:hAnsi="宋体" w:eastAsia="宋体" w:cs="宋体"/>
                <w:color w:val="FFFFFF"/>
                <w:sz w:val="24"/>
                <w:lang w:val="en-US" w:eastAsia="zh-CN"/>
              </w:rPr>
            </w:pPr>
            <w:r>
              <w:rPr>
                <w:rFonts w:hint="eastAsia" w:ascii="宋体" w:hAnsi="宋体" w:eastAsia="宋体" w:cs="宋体"/>
                <w:color w:val="FFFFFF"/>
                <w:sz w:val="24"/>
                <w:lang w:val="en-US" w:eastAsia="zh-CN"/>
              </w:rPr>
              <w:t>留肥率</w:t>
            </w:r>
          </w:p>
        </w:tc>
        <w:tc>
          <w:tcPr>
            <w:tcW w:w="625" w:type="pct"/>
            <w:tcBorders>
              <w:top w:val="single" w:color="FFFFFF" w:sz="8" w:space="0"/>
              <w:left w:val="single" w:color="FFFFFF" w:sz="8" w:space="0"/>
              <w:bottom w:val="single" w:color="FFFFFF" w:sz="18" w:space="0"/>
              <w:right w:val="single" w:color="FFFFFF" w:sz="8" w:space="0"/>
            </w:tcBorders>
            <w:shd w:val="clear" w:color="auto" w:fill="4F81BD"/>
            <w:noWrap w:val="0"/>
            <w:vAlign w:val="center"/>
          </w:tcPr>
          <w:p>
            <w:pPr>
              <w:spacing w:line="360" w:lineRule="auto"/>
              <w:jc w:val="center"/>
              <w:rPr>
                <w:rFonts w:hint="eastAsia" w:ascii="宋体" w:hAnsi="宋体" w:eastAsia="宋体" w:cs="宋体"/>
                <w:color w:val="FFFFFF"/>
                <w:sz w:val="24"/>
                <w:lang w:val="en-US" w:eastAsia="zh-CN"/>
              </w:rPr>
            </w:pPr>
            <w:r>
              <w:rPr>
                <w:rFonts w:hint="eastAsia" w:ascii="宋体" w:hAnsi="宋体" w:eastAsia="宋体" w:cs="宋体"/>
                <w:color w:val="FFFFFF"/>
                <w:sz w:val="24"/>
                <w:lang w:val="en-US" w:eastAsia="zh-CN"/>
              </w:rPr>
              <w:t>就业</w:t>
            </w:r>
          </w:p>
          <w:p>
            <w:pPr>
              <w:spacing w:line="360" w:lineRule="auto"/>
              <w:jc w:val="center"/>
              <w:rPr>
                <w:rFonts w:hint="default" w:ascii="宋体" w:hAnsi="宋体" w:eastAsia="宋体" w:cs="宋体"/>
                <w:color w:val="FFFFFF"/>
                <w:sz w:val="24"/>
                <w:lang w:val="en-US" w:eastAsia="zh-CN"/>
              </w:rPr>
            </w:pPr>
            <w:r>
              <w:rPr>
                <w:rFonts w:hint="eastAsia" w:ascii="宋体" w:hAnsi="宋体" w:eastAsia="宋体" w:cs="宋体"/>
                <w:color w:val="FFFFFF"/>
                <w:sz w:val="24"/>
                <w:lang w:val="en-US" w:eastAsia="zh-CN"/>
              </w:rPr>
              <w:t>地区</w:t>
            </w:r>
          </w:p>
        </w:tc>
        <w:tc>
          <w:tcPr>
            <w:tcW w:w="769" w:type="pct"/>
            <w:tcBorders>
              <w:top w:val="single" w:color="FFFFFF" w:sz="8" w:space="0"/>
              <w:left w:val="single" w:color="FFFFFF" w:sz="8" w:space="0"/>
              <w:bottom w:val="single" w:color="FFFFFF" w:sz="18" w:space="0"/>
              <w:right w:val="single" w:color="FFFFFF" w:sz="8" w:space="0"/>
            </w:tcBorders>
            <w:shd w:val="clear" w:color="auto" w:fill="4F81BD"/>
            <w:noWrap w:val="0"/>
            <w:vAlign w:val="center"/>
          </w:tcPr>
          <w:p>
            <w:pPr>
              <w:spacing w:line="360" w:lineRule="auto"/>
              <w:jc w:val="center"/>
              <w:rPr>
                <w:rFonts w:hint="eastAsia" w:ascii="宋体" w:hAnsi="宋体" w:eastAsia="宋体" w:cs="宋体"/>
                <w:color w:val="FFFFFF"/>
                <w:sz w:val="24"/>
                <w:lang w:val="en-US" w:eastAsia="zh-CN"/>
              </w:rPr>
            </w:pPr>
            <w:r>
              <w:rPr>
                <w:rFonts w:hint="eastAsia" w:ascii="宋体" w:hAnsi="宋体" w:eastAsia="宋体" w:cs="宋体"/>
                <w:color w:val="FFFFFF"/>
                <w:sz w:val="24"/>
                <w:lang w:val="en-US" w:eastAsia="zh-CN"/>
              </w:rPr>
              <w:t>人数</w:t>
            </w:r>
          </w:p>
        </w:tc>
        <w:tc>
          <w:tcPr>
            <w:tcW w:w="481" w:type="pct"/>
            <w:tcBorders>
              <w:top w:val="single" w:color="FFFFFF" w:sz="8" w:space="0"/>
              <w:left w:val="single" w:color="FFFFFF" w:sz="8" w:space="0"/>
              <w:bottom w:val="single" w:color="FFFFFF" w:sz="18" w:space="0"/>
              <w:right w:val="single" w:color="FFFFFF" w:sz="8" w:space="0"/>
            </w:tcBorders>
            <w:shd w:val="clear" w:color="auto" w:fill="4F81BD"/>
            <w:noWrap w:val="0"/>
            <w:vAlign w:val="center"/>
          </w:tcPr>
          <w:p>
            <w:pPr>
              <w:spacing w:line="360" w:lineRule="auto"/>
              <w:jc w:val="center"/>
              <w:rPr>
                <w:rFonts w:hint="default" w:ascii="宋体" w:hAnsi="宋体" w:eastAsia="宋体" w:cs="宋体"/>
                <w:color w:val="FFFFFF"/>
                <w:sz w:val="24"/>
                <w:lang w:val="en-US" w:eastAsia="zh-CN"/>
              </w:rPr>
            </w:pPr>
            <w:r>
              <w:rPr>
                <w:rFonts w:hint="eastAsia" w:ascii="宋体" w:hAnsi="宋体" w:eastAsia="宋体" w:cs="宋体"/>
                <w:color w:val="FFFFFF"/>
                <w:sz w:val="24"/>
                <w:lang w:val="en-US" w:eastAsia="zh-CN"/>
              </w:rPr>
              <w:t>留皖率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 w:hRule="atLeast"/>
        </w:trPr>
        <w:tc>
          <w:tcPr>
            <w:tcW w:w="787" w:type="pct"/>
            <w:tcBorders>
              <w:top w:val="single" w:color="FFFFFF" w:sz="18" w:space="0"/>
              <w:left w:val="single" w:color="FFFFFF" w:sz="8" w:space="0"/>
              <w:bottom w:val="single" w:color="FFFFFF" w:sz="8" w:space="0"/>
              <w:right w:val="single" w:color="FFFFFF" w:sz="8" w:space="0"/>
            </w:tcBorders>
            <w:shd w:val="clear" w:color="auto" w:fill="D0D8E8"/>
            <w:noWrap w:val="0"/>
            <w:vAlign w:val="center"/>
          </w:tcPr>
          <w:p>
            <w:pPr>
              <w:spacing w:line="360" w:lineRule="auto"/>
              <w:jc w:val="center"/>
              <w:rPr>
                <w:rFonts w:ascii="宋体" w:cs="宋体"/>
                <w:color w:val="000000"/>
                <w:sz w:val="24"/>
              </w:rPr>
            </w:pPr>
            <w:r>
              <w:rPr>
                <w:rFonts w:hint="eastAsia" w:ascii="宋体" w:hAnsi="宋体" w:cs="宋体"/>
                <w:color w:val="000000"/>
                <w:sz w:val="24"/>
              </w:rPr>
              <w:t>经济学</w:t>
            </w:r>
          </w:p>
        </w:tc>
        <w:tc>
          <w:tcPr>
            <w:tcW w:w="461" w:type="pct"/>
            <w:tcBorders>
              <w:top w:val="single" w:color="FFFFFF" w:sz="18" w:space="0"/>
              <w:left w:val="single" w:color="FFFFFF" w:sz="8" w:space="0"/>
              <w:bottom w:val="single" w:color="FFFFFF" w:sz="8" w:space="0"/>
              <w:right w:val="single" w:color="FFFFFF" w:sz="8" w:space="0"/>
            </w:tcBorders>
            <w:shd w:val="clear" w:color="auto" w:fill="D0D8E8"/>
            <w:noWrap w:val="0"/>
            <w:vAlign w:val="center"/>
          </w:tcPr>
          <w:p>
            <w:pPr>
              <w:spacing w:line="360" w:lineRule="auto"/>
              <w:jc w:val="center"/>
              <w:rPr>
                <w:rFonts w:hint="default" w:ascii="宋体" w:hAnsi="宋体" w:eastAsia="宋体" w:cs="Arial"/>
                <w:color w:val="000000"/>
                <w:kern w:val="0"/>
                <w:sz w:val="24"/>
                <w:lang w:val="en-US" w:eastAsia="zh-CN"/>
              </w:rPr>
            </w:pPr>
            <w:r>
              <w:rPr>
                <w:rFonts w:hint="eastAsia" w:ascii="宋体" w:hAnsi="宋体" w:eastAsia="宋体" w:cs="Arial"/>
                <w:color w:val="000000"/>
                <w:kern w:val="0"/>
                <w:sz w:val="24"/>
                <w:lang w:val="en-US" w:eastAsia="zh-CN"/>
              </w:rPr>
              <w:t>52</w:t>
            </w:r>
          </w:p>
        </w:tc>
        <w:tc>
          <w:tcPr>
            <w:tcW w:w="625" w:type="pct"/>
            <w:tcBorders>
              <w:top w:val="single" w:color="FFFFFF" w:sz="18" w:space="0"/>
              <w:left w:val="single" w:color="FFFFFF" w:sz="8" w:space="0"/>
              <w:bottom w:val="single" w:color="FFFFFF" w:sz="8" w:space="0"/>
              <w:right w:val="single" w:color="FFFFFF" w:sz="8" w:space="0"/>
            </w:tcBorders>
            <w:shd w:val="clear" w:color="auto" w:fill="D0D8E8"/>
            <w:noWrap w:val="0"/>
            <w:vAlign w:val="center"/>
          </w:tcPr>
          <w:p>
            <w:pPr>
              <w:spacing w:line="360" w:lineRule="auto"/>
              <w:jc w:val="center"/>
              <w:rPr>
                <w:rFonts w:ascii="宋体" w:cs="宋体"/>
                <w:color w:val="000000"/>
                <w:sz w:val="24"/>
              </w:rPr>
            </w:pPr>
            <w:r>
              <w:rPr>
                <w:rFonts w:hint="eastAsia" w:ascii="宋体" w:hAnsi="宋体" w:cs="宋体"/>
                <w:color w:val="000000"/>
                <w:sz w:val="24"/>
              </w:rPr>
              <w:t>合肥市</w:t>
            </w:r>
          </w:p>
        </w:tc>
        <w:tc>
          <w:tcPr>
            <w:tcW w:w="773" w:type="pct"/>
            <w:tcBorders>
              <w:top w:val="single" w:color="FFFFFF" w:sz="18" w:space="0"/>
              <w:left w:val="single" w:color="FFFFFF" w:sz="8" w:space="0"/>
              <w:bottom w:val="single" w:color="FFFFFF" w:sz="8" w:space="0"/>
              <w:right w:val="single" w:color="FFFFFF" w:sz="8" w:space="0"/>
            </w:tcBorders>
            <w:shd w:val="clear" w:color="auto" w:fill="D0D8E8"/>
            <w:noWrap w:val="0"/>
            <w:vAlign w:val="center"/>
          </w:tcPr>
          <w:p>
            <w:pPr>
              <w:widowControl/>
              <w:spacing w:line="360" w:lineRule="auto"/>
              <w:jc w:val="center"/>
              <w:rPr>
                <w:rFonts w:hint="default" w:ascii="宋体" w:hAnsi="宋体" w:eastAsia="宋体" w:cs="宋体"/>
                <w:color w:val="000000"/>
                <w:kern w:val="0"/>
                <w:sz w:val="22"/>
                <w:szCs w:val="22"/>
                <w:lang w:val="en-US" w:eastAsia="zh-CN"/>
              </w:rPr>
            </w:pPr>
            <w:r>
              <w:rPr>
                <w:rFonts w:hint="eastAsia" w:ascii="宋体" w:hAnsi="宋体" w:cs="宋体"/>
                <w:color w:val="000000"/>
                <w:kern w:val="0"/>
                <w:sz w:val="22"/>
                <w:szCs w:val="22"/>
                <w:lang w:val="en-US" w:eastAsia="zh-CN"/>
              </w:rPr>
              <w:t>26</w:t>
            </w:r>
          </w:p>
        </w:tc>
        <w:tc>
          <w:tcPr>
            <w:tcW w:w="477" w:type="pct"/>
            <w:tcBorders>
              <w:top w:val="single" w:color="FFFFFF" w:sz="18" w:space="0"/>
              <w:left w:val="single" w:color="FFFFFF" w:sz="8" w:space="0"/>
              <w:bottom w:val="single" w:color="FFFFFF" w:sz="8" w:space="0"/>
              <w:right w:val="single" w:color="FFFFFF" w:sz="8" w:space="0"/>
            </w:tcBorders>
            <w:shd w:val="clear" w:color="auto" w:fill="D0D8E8"/>
            <w:noWrap w:val="0"/>
            <w:vAlign w:val="center"/>
          </w:tcPr>
          <w:p>
            <w:pPr>
              <w:widowControl/>
              <w:spacing w:line="360" w:lineRule="auto"/>
              <w:jc w:val="center"/>
              <w:rPr>
                <w:rFonts w:hint="default" w:ascii="宋体" w:hAnsi="宋体" w:eastAsia="宋体" w:cs="宋体"/>
                <w:b/>
                <w:bCs/>
                <w:color w:val="000000"/>
                <w:kern w:val="0"/>
                <w:sz w:val="20"/>
                <w:szCs w:val="20"/>
                <w:lang w:val="en-US" w:eastAsia="zh-CN"/>
              </w:rPr>
            </w:pPr>
            <w:r>
              <w:rPr>
                <w:rFonts w:hint="eastAsia" w:ascii="宋体" w:hAnsi="宋体" w:eastAsia="宋体" w:cs="宋体"/>
                <w:b/>
                <w:bCs/>
                <w:color w:val="000000"/>
                <w:kern w:val="0"/>
                <w:sz w:val="20"/>
                <w:szCs w:val="20"/>
                <w:lang w:val="en-US" w:eastAsia="zh-CN"/>
              </w:rPr>
              <w:t>50.00%</w:t>
            </w:r>
          </w:p>
        </w:tc>
        <w:tc>
          <w:tcPr>
            <w:tcW w:w="625" w:type="pct"/>
            <w:tcBorders>
              <w:top w:val="single" w:color="FFFFFF" w:sz="18" w:space="0"/>
              <w:left w:val="single" w:color="FFFFFF" w:sz="8" w:space="0"/>
              <w:bottom w:val="single" w:color="FFFFFF" w:sz="8" w:space="0"/>
              <w:right w:val="single" w:color="FFFFFF" w:sz="8" w:space="0"/>
            </w:tcBorders>
            <w:shd w:val="clear" w:color="auto" w:fill="D0D8E8"/>
            <w:noWrap w:val="0"/>
            <w:vAlign w:val="center"/>
          </w:tcPr>
          <w:p>
            <w:pPr>
              <w:widowControl/>
              <w:spacing w:line="360" w:lineRule="auto"/>
              <w:jc w:val="center"/>
              <w:rPr>
                <w:rFonts w:hint="default" w:ascii="宋体" w:hAnsi="宋体" w:cs="宋体"/>
                <w:color w:val="000000"/>
                <w:kern w:val="0"/>
                <w:sz w:val="22"/>
                <w:szCs w:val="22"/>
                <w:lang w:val="en-US" w:eastAsia="zh-CN"/>
              </w:rPr>
            </w:pPr>
            <w:r>
              <w:rPr>
                <w:rFonts w:hint="eastAsia" w:ascii="宋体" w:hAnsi="宋体" w:cs="宋体"/>
                <w:color w:val="000000"/>
                <w:kern w:val="0"/>
                <w:sz w:val="22"/>
                <w:szCs w:val="22"/>
                <w:lang w:val="en-US" w:eastAsia="zh-CN"/>
              </w:rPr>
              <w:t>安徽省</w:t>
            </w:r>
          </w:p>
        </w:tc>
        <w:tc>
          <w:tcPr>
            <w:tcW w:w="769" w:type="pct"/>
            <w:tcBorders>
              <w:top w:val="single" w:color="FFFFFF" w:sz="18" w:space="0"/>
              <w:left w:val="single" w:color="FFFFFF" w:sz="8" w:space="0"/>
              <w:bottom w:val="single" w:color="FFFFFF" w:sz="8" w:space="0"/>
              <w:right w:val="single" w:color="FFFFFF" w:sz="8" w:space="0"/>
            </w:tcBorders>
            <w:shd w:val="clear" w:color="auto" w:fill="D0D8E8"/>
            <w:noWrap w:val="0"/>
            <w:vAlign w:val="center"/>
          </w:tcPr>
          <w:p>
            <w:pPr>
              <w:widowControl/>
              <w:spacing w:line="360" w:lineRule="auto"/>
              <w:jc w:val="center"/>
              <w:rPr>
                <w:rFonts w:hint="default" w:ascii="宋体" w:hAnsi="宋体" w:eastAsia="宋体" w:cs="宋体"/>
                <w:color w:val="000000"/>
                <w:kern w:val="0"/>
                <w:sz w:val="22"/>
                <w:szCs w:val="22"/>
                <w:lang w:val="en-US" w:eastAsia="zh-CN"/>
              </w:rPr>
            </w:pPr>
            <w:r>
              <w:rPr>
                <w:rFonts w:hint="eastAsia" w:ascii="宋体" w:hAnsi="宋体" w:cs="宋体"/>
                <w:color w:val="000000"/>
                <w:kern w:val="0"/>
                <w:sz w:val="22"/>
                <w:szCs w:val="22"/>
                <w:lang w:val="en-US" w:eastAsia="zh-CN"/>
              </w:rPr>
              <w:t>40</w:t>
            </w:r>
          </w:p>
        </w:tc>
        <w:tc>
          <w:tcPr>
            <w:tcW w:w="481" w:type="pct"/>
            <w:tcBorders>
              <w:top w:val="single" w:color="FFFFFF" w:sz="18" w:space="0"/>
              <w:left w:val="single" w:color="FFFFFF" w:sz="8" w:space="0"/>
              <w:bottom w:val="single" w:color="FFFFFF" w:sz="8" w:space="0"/>
              <w:right w:val="single" w:color="FFFFFF" w:sz="8" w:space="0"/>
            </w:tcBorders>
            <w:shd w:val="clear" w:color="auto" w:fill="D0D8E8"/>
            <w:noWrap w:val="0"/>
            <w:vAlign w:val="center"/>
          </w:tcPr>
          <w:p>
            <w:pPr>
              <w:widowControl/>
              <w:spacing w:line="360" w:lineRule="auto"/>
              <w:jc w:val="center"/>
              <w:rPr>
                <w:rFonts w:hint="default" w:ascii="宋体" w:hAnsi="宋体" w:eastAsia="宋体" w:cs="宋体"/>
                <w:color w:val="000000"/>
                <w:kern w:val="0"/>
                <w:sz w:val="22"/>
                <w:szCs w:val="22"/>
                <w:lang w:val="en-US" w:eastAsia="zh-CN"/>
              </w:rPr>
            </w:pPr>
            <w:r>
              <w:rPr>
                <w:rFonts w:hint="eastAsia" w:ascii="宋体" w:hAnsi="宋体" w:eastAsia="宋体" w:cs="宋体"/>
                <w:b/>
                <w:bCs/>
                <w:color w:val="000000"/>
                <w:kern w:val="0"/>
                <w:sz w:val="21"/>
                <w:szCs w:val="21"/>
                <w:lang w:val="en-US" w:eastAsia="zh-CN"/>
              </w:rPr>
              <w:t>76.92%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6" w:hRule="atLeast"/>
        </w:trPr>
        <w:tc>
          <w:tcPr>
            <w:tcW w:w="787" w:type="pct"/>
            <w:tcBorders>
              <w:top w:val="single" w:color="FFFFFF" w:sz="8" w:space="0"/>
              <w:left w:val="single" w:color="FFFFFF" w:sz="8" w:space="0"/>
              <w:bottom w:val="single" w:color="FFFFFF" w:sz="8" w:space="0"/>
              <w:right w:val="single" w:color="FFFFFF" w:sz="8" w:space="0"/>
            </w:tcBorders>
            <w:shd w:val="clear" w:color="auto" w:fill="E9EDF4"/>
            <w:noWrap w:val="0"/>
            <w:vAlign w:val="center"/>
          </w:tcPr>
          <w:p>
            <w:pPr>
              <w:spacing w:line="360" w:lineRule="auto"/>
              <w:jc w:val="center"/>
              <w:rPr>
                <w:rFonts w:hint="eastAsia" w:ascii="宋体" w:hAnsi="宋体" w:cs="宋体"/>
                <w:color w:val="000000"/>
                <w:sz w:val="24"/>
              </w:rPr>
            </w:pPr>
            <w:r>
              <w:rPr>
                <w:rFonts w:hint="eastAsia" w:ascii="宋体" w:hAnsi="宋体" w:cs="Arial"/>
                <w:color w:val="000000"/>
                <w:kern w:val="0"/>
                <w:sz w:val="24"/>
              </w:rPr>
              <w:t>经济学3+1</w:t>
            </w:r>
          </w:p>
        </w:tc>
        <w:tc>
          <w:tcPr>
            <w:tcW w:w="461" w:type="pct"/>
            <w:tcBorders>
              <w:top w:val="single" w:color="FFFFFF" w:sz="8" w:space="0"/>
              <w:left w:val="single" w:color="FFFFFF" w:sz="8" w:space="0"/>
              <w:bottom w:val="single" w:color="FFFFFF" w:sz="8" w:space="0"/>
              <w:right w:val="single" w:color="FFFFFF" w:sz="8" w:space="0"/>
            </w:tcBorders>
            <w:shd w:val="clear" w:color="auto" w:fill="E9EDF4"/>
            <w:noWrap w:val="0"/>
            <w:vAlign w:val="center"/>
          </w:tcPr>
          <w:p>
            <w:pPr>
              <w:spacing w:line="360" w:lineRule="auto"/>
              <w:jc w:val="center"/>
              <w:rPr>
                <w:rFonts w:hint="default" w:ascii="宋体" w:hAnsi="宋体" w:eastAsia="宋体" w:cs="Arial"/>
                <w:color w:val="000000"/>
                <w:kern w:val="0"/>
                <w:sz w:val="24"/>
                <w:lang w:val="en-US" w:eastAsia="zh-CN"/>
              </w:rPr>
            </w:pPr>
            <w:r>
              <w:rPr>
                <w:rFonts w:hint="eastAsia" w:ascii="宋体" w:hAnsi="宋体" w:eastAsia="宋体" w:cs="Arial"/>
                <w:color w:val="000000"/>
                <w:kern w:val="0"/>
                <w:sz w:val="24"/>
                <w:lang w:val="en-US" w:eastAsia="zh-CN"/>
              </w:rPr>
              <w:t>32</w:t>
            </w:r>
          </w:p>
        </w:tc>
        <w:tc>
          <w:tcPr>
            <w:tcW w:w="625" w:type="pct"/>
            <w:tcBorders>
              <w:top w:val="single" w:color="FFFFFF" w:sz="8" w:space="0"/>
              <w:left w:val="single" w:color="FFFFFF" w:sz="8" w:space="0"/>
              <w:bottom w:val="single" w:color="FFFFFF" w:sz="8" w:space="0"/>
              <w:right w:val="single" w:color="FFFFFF" w:sz="8" w:space="0"/>
            </w:tcBorders>
            <w:shd w:val="clear" w:color="auto" w:fill="E9EDF4"/>
            <w:noWrap w:val="0"/>
            <w:vAlign w:val="center"/>
          </w:tcPr>
          <w:p>
            <w:pPr>
              <w:spacing w:line="360" w:lineRule="auto"/>
              <w:jc w:val="center"/>
              <w:rPr>
                <w:rFonts w:hint="eastAsia" w:ascii="宋体" w:hAnsi="宋体" w:cs="宋体"/>
                <w:color w:val="000000"/>
                <w:sz w:val="24"/>
              </w:rPr>
            </w:pPr>
            <w:r>
              <w:rPr>
                <w:rFonts w:hint="eastAsia" w:ascii="宋体" w:hAnsi="宋体" w:cs="宋体"/>
                <w:color w:val="000000"/>
                <w:sz w:val="24"/>
              </w:rPr>
              <w:t>合肥市</w:t>
            </w:r>
          </w:p>
        </w:tc>
        <w:tc>
          <w:tcPr>
            <w:tcW w:w="773" w:type="pct"/>
            <w:tcBorders>
              <w:top w:val="single" w:color="FFFFFF" w:sz="8" w:space="0"/>
              <w:left w:val="single" w:color="FFFFFF" w:sz="8" w:space="0"/>
              <w:bottom w:val="single" w:color="FFFFFF" w:sz="8" w:space="0"/>
              <w:right w:val="single" w:color="FFFFFF" w:sz="8" w:space="0"/>
            </w:tcBorders>
            <w:shd w:val="clear" w:color="auto" w:fill="E9EDF4"/>
            <w:noWrap w:val="0"/>
            <w:vAlign w:val="center"/>
          </w:tcPr>
          <w:p>
            <w:pPr>
              <w:widowControl/>
              <w:spacing w:line="360" w:lineRule="auto"/>
              <w:jc w:val="center"/>
              <w:rPr>
                <w:rFonts w:hint="default" w:ascii="宋体" w:hAnsi="宋体" w:eastAsia="宋体" w:cs="宋体"/>
                <w:color w:val="000000"/>
                <w:kern w:val="0"/>
                <w:sz w:val="22"/>
                <w:szCs w:val="22"/>
                <w:lang w:val="en-US" w:eastAsia="zh-CN"/>
              </w:rPr>
            </w:pPr>
            <w:r>
              <w:rPr>
                <w:rFonts w:hint="eastAsia" w:ascii="宋体" w:hAnsi="宋体" w:cs="宋体"/>
                <w:color w:val="000000"/>
                <w:kern w:val="0"/>
                <w:sz w:val="22"/>
                <w:szCs w:val="22"/>
                <w:lang w:val="en-US" w:eastAsia="zh-CN"/>
              </w:rPr>
              <w:t>19</w:t>
            </w:r>
          </w:p>
        </w:tc>
        <w:tc>
          <w:tcPr>
            <w:tcW w:w="477" w:type="pct"/>
            <w:tcBorders>
              <w:top w:val="single" w:color="FFFFFF" w:sz="8" w:space="0"/>
              <w:left w:val="single" w:color="FFFFFF" w:sz="8" w:space="0"/>
              <w:bottom w:val="single" w:color="FFFFFF" w:sz="8" w:space="0"/>
              <w:right w:val="single" w:color="FFFFFF" w:sz="8" w:space="0"/>
            </w:tcBorders>
            <w:shd w:val="clear" w:color="auto" w:fill="E9EDF4"/>
            <w:noWrap w:val="0"/>
            <w:vAlign w:val="center"/>
          </w:tcPr>
          <w:p>
            <w:pPr>
              <w:widowControl/>
              <w:spacing w:line="360" w:lineRule="auto"/>
              <w:jc w:val="center"/>
              <w:rPr>
                <w:rFonts w:hint="default" w:ascii="宋体" w:hAnsi="宋体" w:eastAsia="宋体" w:cs="宋体"/>
                <w:b/>
                <w:bCs/>
                <w:color w:val="000000"/>
                <w:kern w:val="0"/>
                <w:sz w:val="20"/>
                <w:szCs w:val="20"/>
                <w:lang w:val="en-US" w:eastAsia="zh-CN"/>
              </w:rPr>
            </w:pPr>
            <w:r>
              <w:rPr>
                <w:rFonts w:hint="eastAsia" w:ascii="宋体" w:hAnsi="宋体" w:eastAsia="宋体" w:cs="宋体"/>
                <w:b/>
                <w:bCs/>
                <w:color w:val="000000"/>
                <w:kern w:val="0"/>
                <w:sz w:val="20"/>
                <w:szCs w:val="20"/>
                <w:lang w:val="en-US" w:eastAsia="zh-CN"/>
              </w:rPr>
              <w:t>59.38%</w:t>
            </w:r>
          </w:p>
        </w:tc>
        <w:tc>
          <w:tcPr>
            <w:tcW w:w="625" w:type="pct"/>
            <w:tcBorders>
              <w:top w:val="single" w:color="FFFFFF" w:sz="8" w:space="0"/>
              <w:left w:val="single" w:color="FFFFFF" w:sz="8" w:space="0"/>
              <w:bottom w:val="single" w:color="FFFFFF" w:sz="8" w:space="0"/>
              <w:right w:val="single" w:color="FFFFFF" w:sz="8" w:space="0"/>
            </w:tcBorders>
            <w:shd w:val="clear" w:color="auto" w:fill="E9EDF4"/>
            <w:noWrap w:val="0"/>
            <w:vAlign w:val="center"/>
          </w:tcPr>
          <w:p>
            <w:pPr>
              <w:widowControl/>
              <w:spacing w:line="360" w:lineRule="auto"/>
              <w:jc w:val="center"/>
              <w:rPr>
                <w:rFonts w:ascii="宋体" w:hAnsi="宋体" w:cs="宋体"/>
                <w:color w:val="000000"/>
                <w:kern w:val="0"/>
                <w:sz w:val="22"/>
                <w:szCs w:val="22"/>
              </w:rPr>
            </w:pPr>
            <w:r>
              <w:rPr>
                <w:rFonts w:hint="eastAsia" w:ascii="宋体" w:hAnsi="宋体" w:cs="宋体"/>
                <w:color w:val="000000"/>
                <w:kern w:val="0"/>
                <w:sz w:val="22"/>
                <w:szCs w:val="22"/>
                <w:lang w:val="en-US" w:eastAsia="zh-CN"/>
              </w:rPr>
              <w:t>安徽省</w:t>
            </w:r>
          </w:p>
        </w:tc>
        <w:tc>
          <w:tcPr>
            <w:tcW w:w="769" w:type="pct"/>
            <w:tcBorders>
              <w:top w:val="single" w:color="FFFFFF" w:sz="8" w:space="0"/>
              <w:left w:val="single" w:color="FFFFFF" w:sz="8" w:space="0"/>
              <w:bottom w:val="single" w:color="FFFFFF" w:sz="8" w:space="0"/>
              <w:right w:val="single" w:color="FFFFFF" w:sz="8" w:space="0"/>
            </w:tcBorders>
            <w:shd w:val="clear" w:color="auto" w:fill="E9EDF4"/>
            <w:noWrap w:val="0"/>
            <w:vAlign w:val="center"/>
          </w:tcPr>
          <w:p>
            <w:pPr>
              <w:widowControl/>
              <w:spacing w:line="360" w:lineRule="auto"/>
              <w:jc w:val="center"/>
              <w:rPr>
                <w:rFonts w:hint="default" w:ascii="宋体" w:hAnsi="宋体" w:eastAsia="宋体" w:cs="宋体"/>
                <w:color w:val="000000"/>
                <w:kern w:val="0"/>
                <w:sz w:val="22"/>
                <w:szCs w:val="22"/>
                <w:lang w:val="en-US" w:eastAsia="zh-CN"/>
              </w:rPr>
            </w:pPr>
            <w:r>
              <w:rPr>
                <w:rFonts w:hint="eastAsia" w:ascii="宋体" w:hAnsi="宋体" w:cs="宋体"/>
                <w:color w:val="000000"/>
                <w:kern w:val="0"/>
                <w:sz w:val="22"/>
                <w:szCs w:val="22"/>
                <w:lang w:val="en-US" w:eastAsia="zh-CN"/>
              </w:rPr>
              <w:t>20</w:t>
            </w:r>
          </w:p>
        </w:tc>
        <w:tc>
          <w:tcPr>
            <w:tcW w:w="481" w:type="pct"/>
            <w:tcBorders>
              <w:top w:val="single" w:color="FFFFFF" w:sz="8" w:space="0"/>
              <w:left w:val="single" w:color="FFFFFF" w:sz="8" w:space="0"/>
              <w:bottom w:val="single" w:color="FFFFFF" w:sz="8" w:space="0"/>
              <w:right w:val="single" w:color="FFFFFF" w:sz="8" w:space="0"/>
            </w:tcBorders>
            <w:shd w:val="clear" w:color="auto" w:fill="E9EDF4"/>
            <w:noWrap w:val="0"/>
            <w:vAlign w:val="center"/>
          </w:tcPr>
          <w:p>
            <w:pPr>
              <w:widowControl/>
              <w:spacing w:line="360" w:lineRule="auto"/>
              <w:jc w:val="center"/>
              <w:rPr>
                <w:rFonts w:hint="default" w:ascii="宋体" w:hAnsi="宋体" w:eastAsia="宋体" w:cs="宋体"/>
                <w:color w:val="FF0000"/>
                <w:kern w:val="0"/>
                <w:sz w:val="22"/>
                <w:szCs w:val="22"/>
                <w:lang w:val="en-US" w:eastAsia="zh-CN"/>
              </w:rPr>
            </w:pPr>
            <w:r>
              <w:rPr>
                <w:rFonts w:hint="eastAsia" w:ascii="宋体" w:hAnsi="宋体" w:eastAsia="宋体" w:cs="宋体"/>
                <w:color w:val="FF0000"/>
                <w:kern w:val="0"/>
                <w:sz w:val="22"/>
                <w:szCs w:val="22"/>
                <w:lang w:val="en-US" w:eastAsia="zh-CN"/>
              </w:rPr>
              <w:t>62.50%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trPr>
        <w:tc>
          <w:tcPr>
            <w:tcW w:w="787" w:type="pct"/>
            <w:tcBorders>
              <w:top w:val="single" w:color="FFFFFF" w:sz="8" w:space="0"/>
              <w:left w:val="single" w:color="FFFFFF" w:sz="8" w:space="0"/>
              <w:bottom w:val="single" w:color="FFFFFF" w:sz="8" w:space="0"/>
              <w:right w:val="single" w:color="FFFFFF" w:sz="8" w:space="0"/>
            </w:tcBorders>
            <w:shd w:val="clear" w:color="auto" w:fill="D0D8E8"/>
            <w:noWrap w:val="0"/>
            <w:vAlign w:val="center"/>
          </w:tcPr>
          <w:p>
            <w:pPr>
              <w:spacing w:line="360" w:lineRule="auto"/>
              <w:jc w:val="center"/>
              <w:rPr>
                <w:rFonts w:ascii="宋体" w:cs="宋体"/>
                <w:color w:val="000000"/>
                <w:sz w:val="24"/>
              </w:rPr>
            </w:pPr>
            <w:r>
              <w:rPr>
                <w:rFonts w:hint="eastAsia" w:ascii="宋体" w:hAnsi="宋体" w:cs="宋体"/>
                <w:color w:val="000000"/>
                <w:sz w:val="24"/>
              </w:rPr>
              <w:t>金融学</w:t>
            </w:r>
          </w:p>
        </w:tc>
        <w:tc>
          <w:tcPr>
            <w:tcW w:w="461" w:type="pct"/>
            <w:tcBorders>
              <w:top w:val="single" w:color="FFFFFF" w:sz="8" w:space="0"/>
              <w:left w:val="single" w:color="FFFFFF" w:sz="8" w:space="0"/>
              <w:bottom w:val="single" w:color="FFFFFF" w:sz="8" w:space="0"/>
              <w:right w:val="single" w:color="FFFFFF" w:sz="8" w:space="0"/>
            </w:tcBorders>
            <w:shd w:val="clear" w:color="auto" w:fill="D0D8E8"/>
            <w:noWrap w:val="0"/>
            <w:vAlign w:val="center"/>
          </w:tcPr>
          <w:p>
            <w:pPr>
              <w:spacing w:line="360" w:lineRule="auto"/>
              <w:jc w:val="center"/>
              <w:rPr>
                <w:rFonts w:hint="default" w:ascii="宋体" w:hAnsi="宋体" w:eastAsia="宋体" w:cs="Arial"/>
                <w:color w:val="000000"/>
                <w:kern w:val="0"/>
                <w:sz w:val="24"/>
                <w:lang w:val="en-US" w:eastAsia="zh-CN"/>
              </w:rPr>
            </w:pPr>
            <w:r>
              <w:rPr>
                <w:rFonts w:hint="eastAsia" w:ascii="宋体" w:hAnsi="宋体" w:eastAsia="宋体" w:cs="Arial"/>
                <w:color w:val="000000"/>
                <w:kern w:val="0"/>
                <w:sz w:val="24"/>
                <w:lang w:val="en-US" w:eastAsia="zh-CN"/>
              </w:rPr>
              <w:t>106</w:t>
            </w:r>
          </w:p>
        </w:tc>
        <w:tc>
          <w:tcPr>
            <w:tcW w:w="625" w:type="pct"/>
            <w:tcBorders>
              <w:top w:val="single" w:color="FFFFFF" w:sz="8" w:space="0"/>
              <w:left w:val="single" w:color="FFFFFF" w:sz="8" w:space="0"/>
              <w:bottom w:val="single" w:color="FFFFFF" w:sz="8" w:space="0"/>
              <w:right w:val="single" w:color="FFFFFF" w:sz="8" w:space="0"/>
            </w:tcBorders>
            <w:shd w:val="clear" w:color="auto" w:fill="D0D8E8"/>
            <w:noWrap w:val="0"/>
            <w:vAlign w:val="center"/>
          </w:tcPr>
          <w:p>
            <w:pPr>
              <w:spacing w:line="360" w:lineRule="auto"/>
              <w:jc w:val="center"/>
              <w:rPr>
                <w:rFonts w:ascii="宋体" w:cs="宋体"/>
                <w:color w:val="000000"/>
                <w:sz w:val="24"/>
              </w:rPr>
            </w:pPr>
            <w:r>
              <w:rPr>
                <w:rFonts w:hint="eastAsia" w:ascii="宋体" w:hAnsi="宋体" w:cs="宋体"/>
                <w:color w:val="000000"/>
                <w:sz w:val="24"/>
              </w:rPr>
              <w:t>合肥市</w:t>
            </w:r>
          </w:p>
        </w:tc>
        <w:tc>
          <w:tcPr>
            <w:tcW w:w="773" w:type="pct"/>
            <w:tcBorders>
              <w:top w:val="single" w:color="FFFFFF" w:sz="8" w:space="0"/>
              <w:left w:val="single" w:color="FFFFFF" w:sz="8" w:space="0"/>
              <w:bottom w:val="single" w:color="FFFFFF" w:sz="8" w:space="0"/>
              <w:right w:val="single" w:color="FFFFFF" w:sz="8" w:space="0"/>
            </w:tcBorders>
            <w:shd w:val="clear" w:color="auto" w:fill="D0D8E8"/>
            <w:noWrap w:val="0"/>
            <w:vAlign w:val="center"/>
          </w:tcPr>
          <w:p>
            <w:pPr>
              <w:widowControl/>
              <w:spacing w:line="360" w:lineRule="auto"/>
              <w:jc w:val="center"/>
              <w:rPr>
                <w:rFonts w:hint="default" w:ascii="宋体" w:hAnsi="宋体" w:eastAsia="宋体" w:cs="宋体"/>
                <w:color w:val="000000"/>
                <w:kern w:val="0"/>
                <w:sz w:val="22"/>
                <w:szCs w:val="22"/>
                <w:lang w:val="en-US" w:eastAsia="zh-CN"/>
              </w:rPr>
            </w:pPr>
            <w:r>
              <w:rPr>
                <w:rFonts w:hint="eastAsia" w:ascii="宋体" w:hAnsi="宋体" w:cs="宋体"/>
                <w:color w:val="000000"/>
                <w:kern w:val="0"/>
                <w:sz w:val="22"/>
                <w:szCs w:val="22"/>
                <w:lang w:val="en-US" w:eastAsia="zh-CN"/>
              </w:rPr>
              <w:t>45</w:t>
            </w:r>
          </w:p>
        </w:tc>
        <w:tc>
          <w:tcPr>
            <w:tcW w:w="477" w:type="pct"/>
            <w:tcBorders>
              <w:top w:val="single" w:color="FFFFFF" w:sz="8" w:space="0"/>
              <w:left w:val="single" w:color="FFFFFF" w:sz="8" w:space="0"/>
              <w:bottom w:val="single" w:color="FFFFFF" w:sz="8" w:space="0"/>
              <w:right w:val="single" w:color="FFFFFF" w:sz="8" w:space="0"/>
            </w:tcBorders>
            <w:shd w:val="clear" w:color="auto" w:fill="D0D8E8"/>
            <w:noWrap w:val="0"/>
            <w:vAlign w:val="center"/>
          </w:tcPr>
          <w:p>
            <w:pPr>
              <w:widowControl/>
              <w:spacing w:line="360" w:lineRule="auto"/>
              <w:jc w:val="center"/>
              <w:rPr>
                <w:rFonts w:hint="default" w:ascii="宋体" w:hAnsi="宋体" w:eastAsia="宋体" w:cs="宋体"/>
                <w:color w:val="FF0000"/>
                <w:kern w:val="0"/>
                <w:sz w:val="21"/>
                <w:szCs w:val="21"/>
                <w:lang w:val="en-US" w:eastAsia="zh-CN"/>
              </w:rPr>
            </w:pPr>
            <w:r>
              <w:rPr>
                <w:rFonts w:hint="eastAsia" w:ascii="宋体" w:hAnsi="宋体" w:eastAsia="宋体" w:cs="宋体"/>
                <w:color w:val="FF0000"/>
                <w:kern w:val="0"/>
                <w:sz w:val="21"/>
                <w:szCs w:val="21"/>
                <w:lang w:val="en-US" w:eastAsia="zh-CN"/>
              </w:rPr>
              <w:t>42.45%</w:t>
            </w:r>
          </w:p>
        </w:tc>
        <w:tc>
          <w:tcPr>
            <w:tcW w:w="625" w:type="pct"/>
            <w:tcBorders>
              <w:top w:val="single" w:color="FFFFFF" w:sz="8" w:space="0"/>
              <w:left w:val="single" w:color="FFFFFF" w:sz="8" w:space="0"/>
              <w:bottom w:val="single" w:color="FFFFFF" w:sz="8" w:space="0"/>
              <w:right w:val="single" w:color="FFFFFF" w:sz="8" w:space="0"/>
            </w:tcBorders>
            <w:shd w:val="clear" w:color="auto" w:fill="D0D8E8"/>
            <w:noWrap w:val="0"/>
            <w:vAlign w:val="center"/>
          </w:tcPr>
          <w:p>
            <w:pPr>
              <w:widowControl/>
              <w:spacing w:line="360" w:lineRule="auto"/>
              <w:jc w:val="center"/>
              <w:rPr>
                <w:rFonts w:ascii="宋体" w:hAnsi="宋体" w:cs="宋体"/>
                <w:color w:val="000000"/>
                <w:kern w:val="0"/>
                <w:sz w:val="22"/>
                <w:szCs w:val="22"/>
              </w:rPr>
            </w:pPr>
            <w:r>
              <w:rPr>
                <w:rFonts w:hint="eastAsia" w:ascii="宋体" w:hAnsi="宋体" w:cs="宋体"/>
                <w:color w:val="000000"/>
                <w:kern w:val="0"/>
                <w:sz w:val="22"/>
                <w:szCs w:val="22"/>
                <w:lang w:val="en-US" w:eastAsia="zh-CN"/>
              </w:rPr>
              <w:t>安徽省</w:t>
            </w:r>
          </w:p>
        </w:tc>
        <w:tc>
          <w:tcPr>
            <w:tcW w:w="769" w:type="pct"/>
            <w:tcBorders>
              <w:top w:val="single" w:color="FFFFFF" w:sz="8" w:space="0"/>
              <w:left w:val="single" w:color="FFFFFF" w:sz="8" w:space="0"/>
              <w:bottom w:val="single" w:color="FFFFFF" w:sz="8" w:space="0"/>
              <w:right w:val="single" w:color="FFFFFF" w:sz="8" w:space="0"/>
            </w:tcBorders>
            <w:shd w:val="clear" w:color="auto" w:fill="D0D8E8"/>
            <w:noWrap w:val="0"/>
            <w:vAlign w:val="center"/>
          </w:tcPr>
          <w:p>
            <w:pPr>
              <w:widowControl/>
              <w:spacing w:line="360" w:lineRule="auto"/>
              <w:jc w:val="center"/>
              <w:rPr>
                <w:rFonts w:hint="default" w:ascii="宋体" w:hAnsi="宋体" w:eastAsia="宋体" w:cs="宋体"/>
                <w:color w:val="000000"/>
                <w:kern w:val="0"/>
                <w:sz w:val="22"/>
                <w:szCs w:val="22"/>
                <w:lang w:val="en-US" w:eastAsia="zh-CN"/>
              </w:rPr>
            </w:pPr>
            <w:r>
              <w:rPr>
                <w:rFonts w:hint="eastAsia" w:ascii="宋体" w:hAnsi="宋体" w:cs="宋体"/>
                <w:color w:val="000000"/>
                <w:kern w:val="0"/>
                <w:sz w:val="22"/>
                <w:szCs w:val="22"/>
                <w:lang w:val="en-US" w:eastAsia="zh-CN"/>
              </w:rPr>
              <w:t>78</w:t>
            </w:r>
          </w:p>
        </w:tc>
        <w:tc>
          <w:tcPr>
            <w:tcW w:w="481" w:type="pct"/>
            <w:tcBorders>
              <w:top w:val="single" w:color="FFFFFF" w:sz="8" w:space="0"/>
              <w:left w:val="single" w:color="FFFFFF" w:sz="8" w:space="0"/>
              <w:bottom w:val="single" w:color="FFFFFF" w:sz="8" w:space="0"/>
              <w:right w:val="single" w:color="FFFFFF" w:sz="8" w:space="0"/>
            </w:tcBorders>
            <w:shd w:val="clear" w:color="auto" w:fill="D0D8E8"/>
            <w:noWrap w:val="0"/>
            <w:vAlign w:val="center"/>
          </w:tcPr>
          <w:p>
            <w:pPr>
              <w:widowControl/>
              <w:spacing w:line="360" w:lineRule="auto"/>
              <w:jc w:val="center"/>
              <w:rPr>
                <w:rFonts w:hint="default" w:ascii="宋体" w:hAnsi="宋体" w:eastAsia="宋体" w:cs="宋体"/>
                <w:color w:val="000000"/>
                <w:kern w:val="0"/>
                <w:sz w:val="22"/>
                <w:szCs w:val="22"/>
                <w:lang w:val="en-US" w:eastAsia="zh-CN"/>
              </w:rPr>
            </w:pPr>
            <w:r>
              <w:rPr>
                <w:rFonts w:hint="eastAsia" w:ascii="宋体" w:hAnsi="宋体" w:eastAsia="宋体" w:cs="宋体"/>
                <w:b/>
                <w:bCs/>
                <w:color w:val="000000"/>
                <w:kern w:val="0"/>
                <w:sz w:val="21"/>
                <w:szCs w:val="21"/>
                <w:lang w:val="en-US" w:eastAsia="zh-CN"/>
              </w:rPr>
              <w:t>73.58%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3" w:hRule="atLeast"/>
        </w:trPr>
        <w:tc>
          <w:tcPr>
            <w:tcW w:w="787" w:type="pct"/>
            <w:tcBorders>
              <w:top w:val="single" w:color="FFFFFF" w:sz="8" w:space="0"/>
              <w:left w:val="single" w:color="FFFFFF" w:sz="8" w:space="0"/>
              <w:bottom w:val="single" w:color="FFFFFF" w:sz="8" w:space="0"/>
              <w:right w:val="single" w:color="FFFFFF" w:sz="8" w:space="0"/>
            </w:tcBorders>
            <w:shd w:val="clear" w:color="auto" w:fill="E9EDF4"/>
            <w:noWrap w:val="0"/>
            <w:vAlign w:val="center"/>
          </w:tcPr>
          <w:p>
            <w:pPr>
              <w:spacing w:line="360" w:lineRule="auto"/>
              <w:jc w:val="center"/>
              <w:rPr>
                <w:rFonts w:ascii="宋体" w:cs="宋体"/>
                <w:color w:val="000000"/>
                <w:sz w:val="24"/>
              </w:rPr>
            </w:pPr>
            <w:r>
              <w:rPr>
                <w:rFonts w:hint="eastAsia" w:ascii="宋体" w:hAnsi="宋体" w:cs="宋体"/>
                <w:color w:val="000000"/>
                <w:sz w:val="15"/>
                <w:szCs w:val="15"/>
              </w:rPr>
              <w:t>国际经济与贸易</w:t>
            </w:r>
          </w:p>
        </w:tc>
        <w:tc>
          <w:tcPr>
            <w:tcW w:w="461" w:type="pct"/>
            <w:tcBorders>
              <w:top w:val="single" w:color="FFFFFF" w:sz="8" w:space="0"/>
              <w:left w:val="single" w:color="FFFFFF" w:sz="8" w:space="0"/>
              <w:bottom w:val="single" w:color="FFFFFF" w:sz="8" w:space="0"/>
              <w:right w:val="single" w:color="FFFFFF" w:sz="8" w:space="0"/>
            </w:tcBorders>
            <w:shd w:val="clear" w:color="auto" w:fill="E9EDF4"/>
            <w:noWrap w:val="0"/>
            <w:vAlign w:val="center"/>
          </w:tcPr>
          <w:p>
            <w:pPr>
              <w:spacing w:line="360" w:lineRule="auto"/>
              <w:jc w:val="center"/>
              <w:rPr>
                <w:rFonts w:hint="default" w:ascii="宋体" w:hAnsi="宋体" w:eastAsia="宋体" w:cs="Arial"/>
                <w:color w:val="000000"/>
                <w:kern w:val="0"/>
                <w:sz w:val="24"/>
                <w:lang w:val="en-US" w:eastAsia="zh-CN"/>
              </w:rPr>
            </w:pPr>
            <w:r>
              <w:rPr>
                <w:rFonts w:hint="eastAsia" w:ascii="宋体" w:hAnsi="宋体" w:eastAsia="宋体" w:cs="Arial"/>
                <w:color w:val="000000"/>
                <w:kern w:val="0"/>
                <w:sz w:val="24"/>
                <w:lang w:val="en-US" w:eastAsia="zh-CN"/>
              </w:rPr>
              <w:t>66</w:t>
            </w:r>
          </w:p>
        </w:tc>
        <w:tc>
          <w:tcPr>
            <w:tcW w:w="625" w:type="pct"/>
            <w:tcBorders>
              <w:top w:val="single" w:color="FFFFFF" w:sz="8" w:space="0"/>
              <w:left w:val="single" w:color="FFFFFF" w:sz="8" w:space="0"/>
              <w:bottom w:val="single" w:color="FFFFFF" w:sz="8" w:space="0"/>
              <w:right w:val="single" w:color="FFFFFF" w:sz="8" w:space="0"/>
            </w:tcBorders>
            <w:shd w:val="clear" w:color="auto" w:fill="E9EDF4"/>
            <w:noWrap w:val="0"/>
            <w:vAlign w:val="center"/>
          </w:tcPr>
          <w:p>
            <w:pPr>
              <w:spacing w:line="360" w:lineRule="auto"/>
              <w:jc w:val="center"/>
              <w:rPr>
                <w:rFonts w:ascii="宋体" w:cs="宋体"/>
                <w:color w:val="000000"/>
                <w:sz w:val="24"/>
              </w:rPr>
            </w:pPr>
            <w:r>
              <w:rPr>
                <w:rFonts w:hint="eastAsia" w:ascii="宋体" w:hAnsi="宋体" w:cs="宋体"/>
                <w:color w:val="000000"/>
                <w:sz w:val="24"/>
              </w:rPr>
              <w:t>合肥市</w:t>
            </w:r>
          </w:p>
        </w:tc>
        <w:tc>
          <w:tcPr>
            <w:tcW w:w="773" w:type="pct"/>
            <w:tcBorders>
              <w:top w:val="single" w:color="FFFFFF" w:sz="8" w:space="0"/>
              <w:left w:val="single" w:color="FFFFFF" w:sz="8" w:space="0"/>
              <w:bottom w:val="single" w:color="FFFFFF" w:sz="8" w:space="0"/>
              <w:right w:val="single" w:color="FFFFFF" w:sz="8" w:space="0"/>
            </w:tcBorders>
            <w:shd w:val="clear" w:color="auto" w:fill="E9EDF4"/>
            <w:noWrap w:val="0"/>
            <w:vAlign w:val="center"/>
          </w:tcPr>
          <w:p>
            <w:pPr>
              <w:widowControl/>
              <w:spacing w:line="360" w:lineRule="auto"/>
              <w:jc w:val="center"/>
              <w:rPr>
                <w:rFonts w:hint="default" w:ascii="宋体" w:hAnsi="宋体" w:eastAsia="宋体" w:cs="宋体"/>
                <w:color w:val="000000"/>
                <w:kern w:val="0"/>
                <w:sz w:val="22"/>
                <w:szCs w:val="22"/>
                <w:lang w:val="en-US" w:eastAsia="zh-CN"/>
              </w:rPr>
            </w:pPr>
            <w:r>
              <w:rPr>
                <w:rFonts w:hint="eastAsia" w:ascii="宋体" w:hAnsi="宋体" w:cs="宋体"/>
                <w:color w:val="000000"/>
                <w:kern w:val="0"/>
                <w:sz w:val="22"/>
                <w:szCs w:val="22"/>
                <w:lang w:val="en-US" w:eastAsia="zh-CN"/>
              </w:rPr>
              <w:t>28</w:t>
            </w:r>
          </w:p>
        </w:tc>
        <w:tc>
          <w:tcPr>
            <w:tcW w:w="477" w:type="pct"/>
            <w:tcBorders>
              <w:top w:val="single" w:color="FFFFFF" w:sz="8" w:space="0"/>
              <w:left w:val="single" w:color="FFFFFF" w:sz="8" w:space="0"/>
              <w:bottom w:val="single" w:color="FFFFFF" w:sz="8" w:space="0"/>
              <w:right w:val="single" w:color="FFFFFF" w:sz="8" w:space="0"/>
            </w:tcBorders>
            <w:shd w:val="clear" w:color="auto" w:fill="E9EDF4"/>
            <w:noWrap w:val="0"/>
            <w:vAlign w:val="center"/>
          </w:tcPr>
          <w:p>
            <w:pPr>
              <w:widowControl/>
              <w:spacing w:line="360" w:lineRule="auto"/>
              <w:jc w:val="center"/>
              <w:rPr>
                <w:rFonts w:hint="default" w:ascii="宋体" w:hAnsi="宋体" w:eastAsia="宋体" w:cs="宋体"/>
                <w:color w:val="000000"/>
                <w:kern w:val="0"/>
                <w:sz w:val="21"/>
                <w:szCs w:val="21"/>
                <w:lang w:val="en-US" w:eastAsia="zh-CN"/>
              </w:rPr>
            </w:pPr>
            <w:r>
              <w:rPr>
                <w:rFonts w:hint="eastAsia" w:ascii="宋体" w:hAnsi="宋体" w:eastAsia="宋体" w:cs="宋体"/>
                <w:color w:val="FF0000"/>
                <w:kern w:val="0"/>
                <w:sz w:val="21"/>
                <w:szCs w:val="21"/>
                <w:lang w:val="en-US" w:eastAsia="zh-CN"/>
              </w:rPr>
              <w:t>42.42%</w:t>
            </w:r>
          </w:p>
        </w:tc>
        <w:tc>
          <w:tcPr>
            <w:tcW w:w="625" w:type="pct"/>
            <w:tcBorders>
              <w:top w:val="single" w:color="FFFFFF" w:sz="8" w:space="0"/>
              <w:left w:val="single" w:color="FFFFFF" w:sz="8" w:space="0"/>
              <w:bottom w:val="single" w:color="FFFFFF" w:sz="8" w:space="0"/>
              <w:right w:val="single" w:color="FFFFFF" w:sz="8" w:space="0"/>
            </w:tcBorders>
            <w:shd w:val="clear" w:color="auto" w:fill="E9EDF4"/>
            <w:noWrap w:val="0"/>
            <w:vAlign w:val="center"/>
          </w:tcPr>
          <w:p>
            <w:pPr>
              <w:widowControl/>
              <w:spacing w:line="360" w:lineRule="auto"/>
              <w:jc w:val="center"/>
              <w:rPr>
                <w:rFonts w:ascii="宋体" w:hAnsi="宋体" w:cs="宋体"/>
                <w:color w:val="000000"/>
                <w:kern w:val="0"/>
                <w:sz w:val="22"/>
                <w:szCs w:val="22"/>
              </w:rPr>
            </w:pPr>
            <w:r>
              <w:rPr>
                <w:rFonts w:hint="eastAsia" w:ascii="宋体" w:hAnsi="宋体" w:cs="宋体"/>
                <w:color w:val="000000"/>
                <w:kern w:val="0"/>
                <w:sz w:val="22"/>
                <w:szCs w:val="22"/>
                <w:lang w:val="en-US" w:eastAsia="zh-CN"/>
              </w:rPr>
              <w:t>安徽省</w:t>
            </w:r>
          </w:p>
        </w:tc>
        <w:tc>
          <w:tcPr>
            <w:tcW w:w="769" w:type="pct"/>
            <w:tcBorders>
              <w:top w:val="single" w:color="FFFFFF" w:sz="8" w:space="0"/>
              <w:left w:val="single" w:color="FFFFFF" w:sz="8" w:space="0"/>
              <w:bottom w:val="single" w:color="FFFFFF" w:sz="8" w:space="0"/>
              <w:right w:val="single" w:color="FFFFFF" w:sz="8" w:space="0"/>
            </w:tcBorders>
            <w:shd w:val="clear" w:color="auto" w:fill="E9EDF4"/>
            <w:noWrap w:val="0"/>
            <w:vAlign w:val="center"/>
          </w:tcPr>
          <w:p>
            <w:pPr>
              <w:widowControl/>
              <w:spacing w:line="360" w:lineRule="auto"/>
              <w:jc w:val="center"/>
              <w:rPr>
                <w:rFonts w:hint="default" w:ascii="宋体" w:hAnsi="宋体" w:eastAsia="宋体" w:cs="宋体"/>
                <w:color w:val="000000"/>
                <w:kern w:val="0"/>
                <w:sz w:val="22"/>
                <w:szCs w:val="22"/>
                <w:lang w:val="en-US" w:eastAsia="zh-CN"/>
              </w:rPr>
            </w:pPr>
            <w:r>
              <w:rPr>
                <w:rFonts w:hint="eastAsia" w:ascii="宋体" w:hAnsi="宋体" w:cs="宋体"/>
                <w:color w:val="000000"/>
                <w:kern w:val="0"/>
                <w:sz w:val="22"/>
                <w:szCs w:val="22"/>
                <w:lang w:val="en-US" w:eastAsia="zh-CN"/>
              </w:rPr>
              <w:t>46</w:t>
            </w:r>
          </w:p>
        </w:tc>
        <w:tc>
          <w:tcPr>
            <w:tcW w:w="481" w:type="pct"/>
            <w:tcBorders>
              <w:top w:val="single" w:color="FFFFFF" w:sz="8" w:space="0"/>
              <w:left w:val="single" w:color="FFFFFF" w:sz="8" w:space="0"/>
              <w:bottom w:val="single" w:color="FFFFFF" w:sz="8" w:space="0"/>
              <w:right w:val="single" w:color="FFFFFF" w:sz="8" w:space="0"/>
            </w:tcBorders>
            <w:shd w:val="clear" w:color="auto" w:fill="E9EDF4"/>
            <w:noWrap w:val="0"/>
            <w:vAlign w:val="center"/>
          </w:tcPr>
          <w:p>
            <w:pPr>
              <w:widowControl/>
              <w:spacing w:line="360" w:lineRule="auto"/>
              <w:jc w:val="center"/>
              <w:rPr>
                <w:rFonts w:hint="default" w:ascii="宋体" w:hAnsi="宋体" w:eastAsia="宋体" w:cs="宋体"/>
                <w:color w:val="000000"/>
                <w:kern w:val="0"/>
                <w:sz w:val="22"/>
                <w:szCs w:val="22"/>
                <w:lang w:val="en-US" w:eastAsia="zh-CN"/>
              </w:rPr>
            </w:pPr>
            <w:r>
              <w:rPr>
                <w:rFonts w:hint="eastAsia" w:ascii="宋体" w:hAnsi="宋体" w:eastAsia="宋体" w:cs="宋体"/>
                <w:color w:val="FF0000"/>
                <w:kern w:val="0"/>
                <w:sz w:val="22"/>
                <w:szCs w:val="22"/>
                <w:lang w:val="en-US" w:eastAsia="zh-CN"/>
              </w:rPr>
              <w:t>69.70%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6" w:hRule="atLeast"/>
        </w:trPr>
        <w:tc>
          <w:tcPr>
            <w:tcW w:w="787" w:type="pct"/>
            <w:tcBorders>
              <w:top w:val="single" w:color="FFFFFF" w:sz="8" w:space="0"/>
              <w:left w:val="single" w:color="FFFFFF" w:sz="8" w:space="0"/>
              <w:bottom w:val="single" w:color="FFFFFF" w:sz="8" w:space="0"/>
              <w:right w:val="single" w:color="FFFFFF" w:sz="8" w:space="0"/>
            </w:tcBorders>
            <w:shd w:val="clear" w:color="auto" w:fill="D0D8E8"/>
            <w:noWrap w:val="0"/>
            <w:vAlign w:val="center"/>
          </w:tcPr>
          <w:p>
            <w:pPr>
              <w:spacing w:line="360" w:lineRule="auto"/>
              <w:jc w:val="center"/>
              <w:rPr>
                <w:rFonts w:hint="default" w:ascii="宋体" w:hAnsi="宋体" w:eastAsia="宋体" w:cs="Arial"/>
                <w:color w:val="000000"/>
                <w:kern w:val="0"/>
                <w:sz w:val="24"/>
                <w:lang w:val="en-US" w:eastAsia="zh-CN"/>
              </w:rPr>
            </w:pPr>
            <w:r>
              <w:rPr>
                <w:rFonts w:hint="eastAsia" w:ascii="宋体" w:hAnsi="宋体" w:cs="Arial"/>
                <w:color w:val="000000"/>
                <w:kern w:val="0"/>
                <w:sz w:val="24"/>
                <w:lang w:val="en-US" w:eastAsia="zh-CN"/>
              </w:rPr>
              <w:t>经济工程</w:t>
            </w:r>
          </w:p>
        </w:tc>
        <w:tc>
          <w:tcPr>
            <w:tcW w:w="461" w:type="pct"/>
            <w:tcBorders>
              <w:top w:val="single" w:color="FFFFFF" w:sz="8" w:space="0"/>
              <w:left w:val="single" w:color="FFFFFF" w:sz="8" w:space="0"/>
              <w:bottom w:val="single" w:color="FFFFFF" w:sz="8" w:space="0"/>
              <w:right w:val="single" w:color="FFFFFF" w:sz="8" w:space="0"/>
            </w:tcBorders>
            <w:shd w:val="clear" w:color="auto" w:fill="D0D8E8"/>
            <w:noWrap w:val="0"/>
            <w:vAlign w:val="center"/>
          </w:tcPr>
          <w:p>
            <w:pPr>
              <w:spacing w:line="360" w:lineRule="auto"/>
              <w:jc w:val="center"/>
              <w:rPr>
                <w:rFonts w:hint="eastAsia" w:ascii="宋体" w:hAnsi="宋体" w:eastAsia="宋体" w:cs="Arial"/>
                <w:color w:val="000000"/>
                <w:kern w:val="0"/>
                <w:sz w:val="24"/>
                <w:lang w:val="en-US" w:eastAsia="zh-CN"/>
              </w:rPr>
            </w:pPr>
            <w:r>
              <w:rPr>
                <w:rFonts w:hint="eastAsia" w:ascii="宋体" w:hAnsi="宋体" w:eastAsia="宋体" w:cs="Arial"/>
                <w:color w:val="000000"/>
                <w:kern w:val="0"/>
                <w:sz w:val="24"/>
                <w:lang w:val="en-US" w:eastAsia="zh-CN"/>
              </w:rPr>
              <w:t>31</w:t>
            </w:r>
          </w:p>
        </w:tc>
        <w:tc>
          <w:tcPr>
            <w:tcW w:w="625" w:type="pct"/>
            <w:tcBorders>
              <w:top w:val="single" w:color="FFFFFF" w:sz="8" w:space="0"/>
              <w:left w:val="single" w:color="FFFFFF" w:sz="8" w:space="0"/>
              <w:bottom w:val="single" w:color="FFFFFF" w:sz="8" w:space="0"/>
              <w:right w:val="single" w:color="FFFFFF" w:sz="8" w:space="0"/>
            </w:tcBorders>
            <w:shd w:val="clear" w:color="auto" w:fill="D0D8E8"/>
            <w:noWrap w:val="0"/>
            <w:vAlign w:val="center"/>
          </w:tcPr>
          <w:p>
            <w:pPr>
              <w:spacing w:line="360" w:lineRule="auto"/>
              <w:jc w:val="center"/>
              <w:rPr>
                <w:rFonts w:hint="default" w:ascii="宋体" w:hAnsi="宋体" w:eastAsia="宋体" w:cs="宋体"/>
                <w:color w:val="000000"/>
                <w:sz w:val="24"/>
                <w:lang w:val="en-US" w:eastAsia="zh-CN"/>
              </w:rPr>
            </w:pPr>
            <w:r>
              <w:rPr>
                <w:rFonts w:hint="eastAsia" w:ascii="宋体" w:hAnsi="宋体" w:cs="宋体"/>
                <w:color w:val="000000"/>
                <w:sz w:val="24"/>
                <w:lang w:val="en-US" w:eastAsia="zh-CN"/>
              </w:rPr>
              <w:t>合肥市</w:t>
            </w:r>
          </w:p>
        </w:tc>
        <w:tc>
          <w:tcPr>
            <w:tcW w:w="773" w:type="pct"/>
            <w:tcBorders>
              <w:top w:val="single" w:color="FFFFFF" w:sz="8" w:space="0"/>
              <w:left w:val="single" w:color="FFFFFF" w:sz="8" w:space="0"/>
              <w:bottom w:val="single" w:color="FFFFFF" w:sz="8" w:space="0"/>
              <w:right w:val="single" w:color="FFFFFF" w:sz="8" w:space="0"/>
            </w:tcBorders>
            <w:shd w:val="clear" w:color="auto" w:fill="D0D8E8"/>
            <w:noWrap w:val="0"/>
            <w:vAlign w:val="center"/>
          </w:tcPr>
          <w:p>
            <w:pPr>
              <w:widowControl/>
              <w:spacing w:line="360" w:lineRule="auto"/>
              <w:jc w:val="center"/>
              <w:rPr>
                <w:rFonts w:hint="default" w:ascii="宋体" w:hAnsi="宋体" w:eastAsia="宋体" w:cs="宋体"/>
                <w:color w:val="000000"/>
                <w:kern w:val="0"/>
                <w:sz w:val="22"/>
                <w:szCs w:val="22"/>
                <w:lang w:val="en-US" w:eastAsia="zh-CN"/>
              </w:rPr>
            </w:pPr>
            <w:r>
              <w:rPr>
                <w:rFonts w:hint="eastAsia" w:ascii="宋体" w:hAnsi="宋体" w:cs="宋体"/>
                <w:color w:val="000000"/>
                <w:kern w:val="0"/>
                <w:sz w:val="22"/>
                <w:szCs w:val="22"/>
                <w:lang w:val="en-US" w:eastAsia="zh-CN"/>
              </w:rPr>
              <w:t>14</w:t>
            </w:r>
          </w:p>
        </w:tc>
        <w:tc>
          <w:tcPr>
            <w:tcW w:w="477" w:type="pct"/>
            <w:tcBorders>
              <w:top w:val="single" w:color="FFFFFF" w:sz="8" w:space="0"/>
              <w:left w:val="single" w:color="FFFFFF" w:sz="8" w:space="0"/>
              <w:bottom w:val="single" w:color="FFFFFF" w:sz="8" w:space="0"/>
              <w:right w:val="single" w:color="FFFFFF" w:sz="8" w:space="0"/>
            </w:tcBorders>
            <w:shd w:val="clear" w:color="auto" w:fill="D0D8E8"/>
            <w:noWrap w:val="0"/>
            <w:vAlign w:val="center"/>
          </w:tcPr>
          <w:p>
            <w:pPr>
              <w:widowControl/>
              <w:spacing w:line="360" w:lineRule="auto"/>
              <w:jc w:val="center"/>
              <w:rPr>
                <w:rFonts w:hint="default" w:ascii="宋体" w:hAnsi="宋体" w:eastAsia="宋体" w:cs="宋体"/>
                <w:color w:val="FF0000"/>
                <w:kern w:val="0"/>
                <w:sz w:val="21"/>
                <w:szCs w:val="21"/>
                <w:lang w:val="en-US" w:eastAsia="zh-CN"/>
              </w:rPr>
            </w:pPr>
            <w:r>
              <w:rPr>
                <w:rFonts w:hint="eastAsia" w:ascii="宋体" w:hAnsi="宋体" w:eastAsia="宋体" w:cs="宋体"/>
                <w:color w:val="FF0000"/>
                <w:kern w:val="0"/>
                <w:sz w:val="21"/>
                <w:szCs w:val="21"/>
                <w:lang w:val="en-US" w:eastAsia="zh-CN"/>
              </w:rPr>
              <w:t>45.16%</w:t>
            </w:r>
          </w:p>
        </w:tc>
        <w:tc>
          <w:tcPr>
            <w:tcW w:w="625" w:type="pct"/>
            <w:tcBorders>
              <w:top w:val="single" w:color="FFFFFF" w:sz="8" w:space="0"/>
              <w:left w:val="single" w:color="FFFFFF" w:sz="8" w:space="0"/>
              <w:bottom w:val="single" w:color="FFFFFF" w:sz="8" w:space="0"/>
              <w:right w:val="single" w:color="FFFFFF" w:sz="8" w:space="0"/>
            </w:tcBorders>
            <w:shd w:val="clear" w:color="auto" w:fill="D0D8E8"/>
            <w:noWrap w:val="0"/>
            <w:vAlign w:val="center"/>
          </w:tcPr>
          <w:p>
            <w:pPr>
              <w:widowControl/>
              <w:spacing w:line="360" w:lineRule="auto"/>
              <w:jc w:val="center"/>
              <w:rPr>
                <w:rFonts w:ascii="宋体" w:hAnsi="宋体" w:cs="宋体"/>
                <w:color w:val="000000"/>
                <w:kern w:val="0"/>
                <w:sz w:val="22"/>
                <w:szCs w:val="22"/>
              </w:rPr>
            </w:pPr>
            <w:r>
              <w:rPr>
                <w:rFonts w:hint="eastAsia" w:ascii="宋体" w:hAnsi="宋体" w:cs="宋体"/>
                <w:color w:val="000000"/>
                <w:kern w:val="0"/>
                <w:sz w:val="22"/>
                <w:szCs w:val="22"/>
                <w:lang w:val="en-US" w:eastAsia="zh-CN"/>
              </w:rPr>
              <w:t>安徽省</w:t>
            </w:r>
          </w:p>
        </w:tc>
        <w:tc>
          <w:tcPr>
            <w:tcW w:w="769" w:type="pct"/>
            <w:tcBorders>
              <w:top w:val="single" w:color="FFFFFF" w:sz="8" w:space="0"/>
              <w:left w:val="single" w:color="FFFFFF" w:sz="8" w:space="0"/>
              <w:bottom w:val="single" w:color="FFFFFF" w:sz="8" w:space="0"/>
              <w:right w:val="single" w:color="FFFFFF" w:sz="8" w:space="0"/>
            </w:tcBorders>
            <w:shd w:val="clear" w:color="auto" w:fill="D0D8E8"/>
            <w:noWrap w:val="0"/>
            <w:vAlign w:val="center"/>
          </w:tcPr>
          <w:p>
            <w:pPr>
              <w:widowControl/>
              <w:spacing w:line="360" w:lineRule="auto"/>
              <w:jc w:val="center"/>
              <w:rPr>
                <w:rFonts w:hint="default" w:ascii="宋体" w:hAnsi="宋体" w:eastAsia="宋体" w:cs="宋体"/>
                <w:color w:val="000000"/>
                <w:kern w:val="0"/>
                <w:sz w:val="22"/>
                <w:szCs w:val="22"/>
                <w:lang w:val="en-US" w:eastAsia="zh-CN"/>
              </w:rPr>
            </w:pPr>
            <w:r>
              <w:rPr>
                <w:rFonts w:hint="eastAsia" w:ascii="宋体" w:hAnsi="宋体" w:cs="宋体"/>
                <w:color w:val="000000"/>
                <w:kern w:val="0"/>
                <w:sz w:val="22"/>
                <w:szCs w:val="22"/>
                <w:lang w:val="en-US" w:eastAsia="zh-CN"/>
              </w:rPr>
              <w:t>26</w:t>
            </w:r>
          </w:p>
        </w:tc>
        <w:tc>
          <w:tcPr>
            <w:tcW w:w="481" w:type="pct"/>
            <w:tcBorders>
              <w:top w:val="single" w:color="FFFFFF" w:sz="8" w:space="0"/>
              <w:left w:val="single" w:color="FFFFFF" w:sz="8" w:space="0"/>
              <w:bottom w:val="single" w:color="FFFFFF" w:sz="8" w:space="0"/>
              <w:right w:val="single" w:color="FFFFFF" w:sz="8" w:space="0"/>
            </w:tcBorders>
            <w:shd w:val="clear" w:color="auto" w:fill="D0D8E8"/>
            <w:noWrap w:val="0"/>
            <w:vAlign w:val="center"/>
          </w:tcPr>
          <w:p>
            <w:pPr>
              <w:widowControl/>
              <w:spacing w:line="360" w:lineRule="auto"/>
              <w:jc w:val="center"/>
              <w:rPr>
                <w:rFonts w:hint="default" w:ascii="宋体" w:hAnsi="宋体" w:eastAsia="宋体" w:cs="宋体"/>
                <w:b/>
                <w:bCs/>
                <w:color w:val="000000"/>
                <w:kern w:val="0"/>
                <w:sz w:val="21"/>
                <w:szCs w:val="21"/>
                <w:lang w:val="en-US" w:eastAsia="zh-CN"/>
              </w:rPr>
            </w:pPr>
            <w:r>
              <w:rPr>
                <w:rFonts w:hint="eastAsia" w:ascii="宋体" w:hAnsi="宋体" w:eastAsia="宋体" w:cs="宋体"/>
                <w:b/>
                <w:bCs/>
                <w:color w:val="000000"/>
                <w:kern w:val="0"/>
                <w:sz w:val="21"/>
                <w:szCs w:val="21"/>
                <w:lang w:val="en-US" w:eastAsia="zh-CN"/>
              </w:rPr>
              <w:t>83.87%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6" w:hRule="atLeast"/>
        </w:trPr>
        <w:tc>
          <w:tcPr>
            <w:tcW w:w="787" w:type="pct"/>
            <w:tcBorders>
              <w:top w:val="single" w:color="FFFFFF" w:sz="8" w:space="0"/>
              <w:left w:val="single" w:color="FFFFFF" w:sz="8" w:space="0"/>
              <w:bottom w:val="single" w:color="FFFFFF" w:sz="8" w:space="0"/>
              <w:right w:val="single" w:color="FFFFFF" w:sz="8" w:space="0"/>
            </w:tcBorders>
            <w:shd w:val="clear" w:color="auto" w:fill="E9EDF4"/>
            <w:noWrap w:val="0"/>
            <w:vAlign w:val="center"/>
          </w:tcPr>
          <w:p>
            <w:pPr>
              <w:spacing w:line="360" w:lineRule="auto"/>
              <w:jc w:val="center"/>
              <w:rPr>
                <w:rFonts w:hint="eastAsia" w:ascii="宋体" w:hAnsi="宋体" w:cs="Arial"/>
                <w:color w:val="000000"/>
                <w:kern w:val="0"/>
                <w:sz w:val="24"/>
              </w:rPr>
            </w:pPr>
            <w:r>
              <w:rPr>
                <w:rFonts w:hint="eastAsia" w:ascii="宋体" w:hAnsi="宋体" w:cs="Arial"/>
                <w:color w:val="000000"/>
                <w:kern w:val="0"/>
                <w:sz w:val="24"/>
              </w:rPr>
              <w:t>财务管理</w:t>
            </w:r>
          </w:p>
        </w:tc>
        <w:tc>
          <w:tcPr>
            <w:tcW w:w="461" w:type="pct"/>
            <w:tcBorders>
              <w:top w:val="single" w:color="FFFFFF" w:sz="8" w:space="0"/>
              <w:left w:val="single" w:color="FFFFFF" w:sz="8" w:space="0"/>
              <w:bottom w:val="single" w:color="FFFFFF" w:sz="8" w:space="0"/>
              <w:right w:val="single" w:color="FFFFFF" w:sz="8" w:space="0"/>
            </w:tcBorders>
            <w:shd w:val="clear" w:color="auto" w:fill="E9EDF4"/>
            <w:noWrap w:val="0"/>
            <w:vAlign w:val="center"/>
          </w:tcPr>
          <w:p>
            <w:pPr>
              <w:spacing w:line="360" w:lineRule="auto"/>
              <w:jc w:val="center"/>
              <w:rPr>
                <w:rFonts w:hint="eastAsia" w:ascii="宋体" w:hAnsi="宋体" w:eastAsia="宋体" w:cs="Arial"/>
                <w:color w:val="000000"/>
                <w:kern w:val="0"/>
                <w:sz w:val="24"/>
                <w:lang w:val="en-US" w:eastAsia="zh-CN"/>
              </w:rPr>
            </w:pPr>
            <w:r>
              <w:rPr>
                <w:rFonts w:hint="eastAsia" w:ascii="宋体" w:hAnsi="宋体" w:eastAsia="宋体" w:cs="Arial"/>
                <w:color w:val="000000"/>
                <w:kern w:val="0"/>
                <w:sz w:val="24"/>
                <w:lang w:val="en-US" w:eastAsia="zh-CN"/>
              </w:rPr>
              <w:t>39</w:t>
            </w:r>
          </w:p>
        </w:tc>
        <w:tc>
          <w:tcPr>
            <w:tcW w:w="625" w:type="pct"/>
            <w:tcBorders>
              <w:top w:val="single" w:color="FFFFFF" w:sz="8" w:space="0"/>
              <w:left w:val="single" w:color="FFFFFF" w:sz="8" w:space="0"/>
              <w:bottom w:val="single" w:color="FFFFFF" w:sz="8" w:space="0"/>
              <w:right w:val="single" w:color="FFFFFF" w:sz="8" w:space="0"/>
            </w:tcBorders>
            <w:shd w:val="clear" w:color="auto" w:fill="E9EDF4"/>
            <w:noWrap w:val="0"/>
            <w:vAlign w:val="center"/>
          </w:tcPr>
          <w:p>
            <w:pPr>
              <w:spacing w:line="360" w:lineRule="auto"/>
              <w:jc w:val="center"/>
              <w:rPr>
                <w:rFonts w:hint="eastAsia" w:ascii="宋体" w:hAnsi="宋体" w:cs="宋体"/>
                <w:color w:val="000000"/>
                <w:sz w:val="24"/>
              </w:rPr>
            </w:pPr>
            <w:r>
              <w:rPr>
                <w:rFonts w:hint="eastAsia" w:ascii="宋体" w:hAnsi="宋体" w:cs="宋体"/>
                <w:color w:val="000000"/>
                <w:sz w:val="24"/>
              </w:rPr>
              <w:t>合肥市</w:t>
            </w:r>
          </w:p>
        </w:tc>
        <w:tc>
          <w:tcPr>
            <w:tcW w:w="773" w:type="pct"/>
            <w:tcBorders>
              <w:top w:val="single" w:color="FFFFFF" w:sz="8" w:space="0"/>
              <w:left w:val="single" w:color="FFFFFF" w:sz="8" w:space="0"/>
              <w:bottom w:val="single" w:color="FFFFFF" w:sz="8" w:space="0"/>
              <w:right w:val="single" w:color="FFFFFF" w:sz="8" w:space="0"/>
            </w:tcBorders>
            <w:shd w:val="clear" w:color="auto" w:fill="E9EDF4"/>
            <w:noWrap w:val="0"/>
            <w:vAlign w:val="center"/>
          </w:tcPr>
          <w:p>
            <w:pPr>
              <w:widowControl/>
              <w:spacing w:line="360" w:lineRule="auto"/>
              <w:jc w:val="center"/>
              <w:rPr>
                <w:rFonts w:hint="default" w:ascii="宋体" w:hAnsi="宋体" w:eastAsia="宋体" w:cs="宋体"/>
                <w:color w:val="000000"/>
                <w:kern w:val="0"/>
                <w:sz w:val="22"/>
                <w:szCs w:val="22"/>
                <w:lang w:val="en-US" w:eastAsia="zh-CN"/>
              </w:rPr>
            </w:pPr>
            <w:r>
              <w:rPr>
                <w:rFonts w:hint="eastAsia" w:ascii="宋体" w:hAnsi="宋体" w:cs="宋体"/>
                <w:color w:val="000000"/>
                <w:kern w:val="0"/>
                <w:sz w:val="22"/>
                <w:szCs w:val="22"/>
                <w:lang w:val="en-US" w:eastAsia="zh-CN"/>
              </w:rPr>
              <w:t>18</w:t>
            </w:r>
          </w:p>
        </w:tc>
        <w:tc>
          <w:tcPr>
            <w:tcW w:w="477" w:type="pct"/>
            <w:tcBorders>
              <w:top w:val="single" w:color="FFFFFF" w:sz="8" w:space="0"/>
              <w:left w:val="single" w:color="FFFFFF" w:sz="8" w:space="0"/>
              <w:bottom w:val="single" w:color="FFFFFF" w:sz="8" w:space="0"/>
              <w:right w:val="single" w:color="FFFFFF" w:sz="8" w:space="0"/>
            </w:tcBorders>
            <w:shd w:val="clear" w:color="auto" w:fill="E9EDF4"/>
            <w:noWrap w:val="0"/>
            <w:vAlign w:val="center"/>
          </w:tcPr>
          <w:p>
            <w:pPr>
              <w:widowControl/>
              <w:spacing w:line="360" w:lineRule="auto"/>
              <w:jc w:val="center"/>
              <w:rPr>
                <w:rFonts w:hint="default" w:ascii="宋体" w:hAnsi="宋体" w:eastAsia="宋体" w:cs="宋体"/>
                <w:color w:val="FF0000"/>
                <w:kern w:val="0"/>
                <w:sz w:val="21"/>
                <w:szCs w:val="21"/>
                <w:lang w:val="en-US" w:eastAsia="zh-CN"/>
              </w:rPr>
            </w:pPr>
            <w:r>
              <w:rPr>
                <w:rFonts w:hint="eastAsia" w:ascii="宋体" w:hAnsi="宋体" w:eastAsia="宋体" w:cs="宋体"/>
                <w:color w:val="FF0000"/>
                <w:kern w:val="0"/>
                <w:sz w:val="21"/>
                <w:szCs w:val="21"/>
                <w:lang w:val="en-US" w:eastAsia="zh-CN"/>
              </w:rPr>
              <w:t>46.15%</w:t>
            </w:r>
          </w:p>
        </w:tc>
        <w:tc>
          <w:tcPr>
            <w:tcW w:w="625" w:type="pct"/>
            <w:tcBorders>
              <w:top w:val="single" w:color="FFFFFF" w:sz="8" w:space="0"/>
              <w:left w:val="single" w:color="FFFFFF" w:sz="8" w:space="0"/>
              <w:bottom w:val="single" w:color="FFFFFF" w:sz="8" w:space="0"/>
              <w:right w:val="single" w:color="FFFFFF" w:sz="8" w:space="0"/>
            </w:tcBorders>
            <w:shd w:val="clear" w:color="auto" w:fill="E9EDF4"/>
            <w:noWrap w:val="0"/>
            <w:vAlign w:val="center"/>
          </w:tcPr>
          <w:p>
            <w:pPr>
              <w:widowControl/>
              <w:spacing w:line="360" w:lineRule="auto"/>
              <w:jc w:val="center"/>
              <w:rPr>
                <w:rFonts w:ascii="宋体" w:hAnsi="宋体" w:cs="宋体"/>
                <w:color w:val="000000"/>
                <w:kern w:val="0"/>
                <w:sz w:val="22"/>
                <w:szCs w:val="22"/>
              </w:rPr>
            </w:pPr>
            <w:r>
              <w:rPr>
                <w:rFonts w:hint="eastAsia" w:ascii="宋体" w:hAnsi="宋体" w:cs="宋体"/>
                <w:color w:val="000000"/>
                <w:kern w:val="0"/>
                <w:sz w:val="22"/>
                <w:szCs w:val="22"/>
                <w:lang w:val="en-US" w:eastAsia="zh-CN"/>
              </w:rPr>
              <w:t>安徽省</w:t>
            </w:r>
          </w:p>
        </w:tc>
        <w:tc>
          <w:tcPr>
            <w:tcW w:w="769" w:type="pct"/>
            <w:tcBorders>
              <w:top w:val="single" w:color="FFFFFF" w:sz="8" w:space="0"/>
              <w:left w:val="single" w:color="FFFFFF" w:sz="8" w:space="0"/>
              <w:bottom w:val="single" w:color="FFFFFF" w:sz="8" w:space="0"/>
              <w:right w:val="single" w:color="FFFFFF" w:sz="8" w:space="0"/>
            </w:tcBorders>
            <w:shd w:val="clear" w:color="auto" w:fill="E9EDF4"/>
            <w:noWrap w:val="0"/>
            <w:vAlign w:val="center"/>
          </w:tcPr>
          <w:p>
            <w:pPr>
              <w:widowControl/>
              <w:spacing w:line="360" w:lineRule="auto"/>
              <w:jc w:val="center"/>
              <w:rPr>
                <w:rFonts w:hint="default" w:ascii="宋体" w:hAnsi="宋体" w:eastAsia="宋体" w:cs="宋体"/>
                <w:color w:val="000000"/>
                <w:kern w:val="0"/>
                <w:sz w:val="22"/>
                <w:szCs w:val="22"/>
                <w:lang w:val="en-US" w:eastAsia="zh-CN"/>
              </w:rPr>
            </w:pPr>
            <w:r>
              <w:rPr>
                <w:rFonts w:hint="eastAsia" w:ascii="宋体" w:hAnsi="宋体" w:cs="宋体"/>
                <w:color w:val="000000"/>
                <w:kern w:val="0"/>
                <w:sz w:val="22"/>
                <w:szCs w:val="22"/>
                <w:lang w:val="en-US" w:eastAsia="zh-CN"/>
              </w:rPr>
              <w:t>28</w:t>
            </w:r>
          </w:p>
        </w:tc>
        <w:tc>
          <w:tcPr>
            <w:tcW w:w="481" w:type="pct"/>
            <w:tcBorders>
              <w:top w:val="single" w:color="FFFFFF" w:sz="8" w:space="0"/>
              <w:left w:val="single" w:color="FFFFFF" w:sz="8" w:space="0"/>
              <w:bottom w:val="single" w:color="FFFFFF" w:sz="8" w:space="0"/>
              <w:right w:val="single" w:color="FFFFFF" w:sz="8" w:space="0"/>
            </w:tcBorders>
            <w:shd w:val="clear" w:color="auto" w:fill="E9EDF4"/>
            <w:noWrap w:val="0"/>
            <w:vAlign w:val="center"/>
          </w:tcPr>
          <w:p>
            <w:pPr>
              <w:widowControl/>
              <w:spacing w:line="360" w:lineRule="auto"/>
              <w:jc w:val="center"/>
              <w:rPr>
                <w:rFonts w:hint="default" w:ascii="宋体" w:hAnsi="宋体" w:eastAsia="宋体" w:cs="宋体"/>
                <w:b/>
                <w:bCs/>
                <w:color w:val="000000"/>
                <w:kern w:val="0"/>
                <w:sz w:val="21"/>
                <w:szCs w:val="21"/>
                <w:lang w:val="en-US" w:eastAsia="zh-CN"/>
              </w:rPr>
            </w:pPr>
            <w:r>
              <w:rPr>
                <w:rFonts w:hint="eastAsia" w:ascii="宋体" w:hAnsi="宋体" w:eastAsia="宋体" w:cs="宋体"/>
                <w:b/>
                <w:bCs/>
                <w:color w:val="000000"/>
                <w:kern w:val="0"/>
                <w:sz w:val="21"/>
                <w:szCs w:val="21"/>
                <w:lang w:val="en-US" w:eastAsia="zh-CN"/>
              </w:rPr>
              <w:t>71.79%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5" w:hRule="atLeast"/>
        </w:trPr>
        <w:tc>
          <w:tcPr>
            <w:tcW w:w="787" w:type="pct"/>
            <w:tcBorders>
              <w:top w:val="single" w:color="FFFFFF" w:sz="8" w:space="0"/>
              <w:left w:val="single" w:color="FFFFFF" w:sz="8" w:space="0"/>
              <w:bottom w:val="single" w:color="FFFFFF" w:sz="8" w:space="0"/>
              <w:right w:val="single" w:color="FFFFFF" w:sz="8" w:space="0"/>
            </w:tcBorders>
            <w:shd w:val="clear" w:color="auto" w:fill="D0D8E8"/>
            <w:noWrap w:val="0"/>
            <w:vAlign w:val="center"/>
          </w:tcPr>
          <w:p>
            <w:pPr>
              <w:spacing w:line="360" w:lineRule="auto"/>
              <w:jc w:val="center"/>
              <w:rPr>
                <w:rFonts w:hint="eastAsia" w:ascii="宋体" w:hAnsi="宋体" w:cs="Arial"/>
                <w:color w:val="000000"/>
                <w:kern w:val="0"/>
                <w:sz w:val="24"/>
              </w:rPr>
            </w:pPr>
            <w:r>
              <w:rPr>
                <w:rFonts w:hint="eastAsia" w:ascii="宋体" w:hAnsi="宋体" w:cs="Arial"/>
                <w:color w:val="000000"/>
                <w:kern w:val="0"/>
                <w:sz w:val="24"/>
              </w:rPr>
              <w:t>工商管理</w:t>
            </w:r>
          </w:p>
        </w:tc>
        <w:tc>
          <w:tcPr>
            <w:tcW w:w="461" w:type="pct"/>
            <w:tcBorders>
              <w:top w:val="single" w:color="FFFFFF" w:sz="8" w:space="0"/>
              <w:left w:val="single" w:color="FFFFFF" w:sz="8" w:space="0"/>
              <w:bottom w:val="single" w:color="FFFFFF" w:sz="8" w:space="0"/>
              <w:right w:val="single" w:color="FFFFFF" w:sz="8" w:space="0"/>
            </w:tcBorders>
            <w:shd w:val="clear" w:color="auto" w:fill="D0D8E8"/>
            <w:noWrap w:val="0"/>
            <w:vAlign w:val="center"/>
          </w:tcPr>
          <w:p>
            <w:pPr>
              <w:spacing w:line="360" w:lineRule="auto"/>
              <w:jc w:val="center"/>
              <w:rPr>
                <w:rFonts w:hint="eastAsia" w:ascii="宋体" w:hAnsi="宋体" w:eastAsia="宋体" w:cs="Arial"/>
                <w:color w:val="000000"/>
                <w:kern w:val="0"/>
                <w:sz w:val="24"/>
                <w:lang w:val="en-US" w:eastAsia="zh-CN"/>
              </w:rPr>
            </w:pPr>
            <w:r>
              <w:rPr>
                <w:rFonts w:hint="eastAsia" w:ascii="宋体" w:hAnsi="宋体" w:eastAsia="宋体" w:cs="Arial"/>
                <w:color w:val="000000"/>
                <w:kern w:val="0"/>
                <w:sz w:val="24"/>
                <w:lang w:val="en-US" w:eastAsia="zh-CN"/>
              </w:rPr>
              <w:t>37</w:t>
            </w:r>
          </w:p>
        </w:tc>
        <w:tc>
          <w:tcPr>
            <w:tcW w:w="625" w:type="pct"/>
            <w:tcBorders>
              <w:top w:val="single" w:color="FFFFFF" w:sz="8" w:space="0"/>
              <w:left w:val="single" w:color="FFFFFF" w:sz="8" w:space="0"/>
              <w:bottom w:val="single" w:color="FFFFFF" w:sz="8" w:space="0"/>
              <w:right w:val="single" w:color="FFFFFF" w:sz="8" w:space="0"/>
            </w:tcBorders>
            <w:shd w:val="clear" w:color="auto" w:fill="D0D8E8"/>
            <w:noWrap w:val="0"/>
            <w:vAlign w:val="center"/>
          </w:tcPr>
          <w:p>
            <w:pPr>
              <w:spacing w:line="360" w:lineRule="auto"/>
              <w:jc w:val="center"/>
              <w:rPr>
                <w:rFonts w:hint="eastAsia" w:ascii="宋体" w:hAnsi="宋体" w:cs="宋体"/>
                <w:color w:val="000000"/>
                <w:sz w:val="24"/>
              </w:rPr>
            </w:pPr>
            <w:r>
              <w:rPr>
                <w:rFonts w:hint="eastAsia" w:ascii="宋体" w:hAnsi="宋体" w:cs="宋体"/>
                <w:color w:val="000000"/>
                <w:sz w:val="24"/>
              </w:rPr>
              <w:t>合肥市</w:t>
            </w:r>
          </w:p>
        </w:tc>
        <w:tc>
          <w:tcPr>
            <w:tcW w:w="773" w:type="pct"/>
            <w:tcBorders>
              <w:top w:val="single" w:color="FFFFFF" w:sz="8" w:space="0"/>
              <w:left w:val="single" w:color="FFFFFF" w:sz="8" w:space="0"/>
              <w:bottom w:val="single" w:color="FFFFFF" w:sz="8" w:space="0"/>
              <w:right w:val="single" w:color="FFFFFF" w:sz="8" w:space="0"/>
            </w:tcBorders>
            <w:shd w:val="clear" w:color="auto" w:fill="D0D8E8"/>
            <w:noWrap w:val="0"/>
            <w:vAlign w:val="center"/>
          </w:tcPr>
          <w:p>
            <w:pPr>
              <w:widowControl/>
              <w:spacing w:line="360" w:lineRule="auto"/>
              <w:jc w:val="center"/>
              <w:rPr>
                <w:rFonts w:hint="default" w:ascii="宋体" w:hAnsi="宋体" w:eastAsia="宋体" w:cs="宋体"/>
                <w:color w:val="000000"/>
                <w:kern w:val="0"/>
                <w:sz w:val="22"/>
                <w:szCs w:val="22"/>
                <w:lang w:val="en-US" w:eastAsia="zh-CN"/>
              </w:rPr>
            </w:pPr>
            <w:r>
              <w:rPr>
                <w:rFonts w:hint="eastAsia" w:ascii="宋体" w:hAnsi="宋体" w:cs="宋体"/>
                <w:color w:val="000000"/>
                <w:kern w:val="0"/>
                <w:sz w:val="22"/>
                <w:szCs w:val="22"/>
                <w:lang w:val="en-US" w:eastAsia="zh-CN"/>
              </w:rPr>
              <w:t>12</w:t>
            </w:r>
          </w:p>
        </w:tc>
        <w:tc>
          <w:tcPr>
            <w:tcW w:w="477" w:type="pct"/>
            <w:tcBorders>
              <w:top w:val="single" w:color="FFFFFF" w:sz="8" w:space="0"/>
              <w:left w:val="single" w:color="FFFFFF" w:sz="8" w:space="0"/>
              <w:bottom w:val="single" w:color="FFFFFF" w:sz="8" w:space="0"/>
              <w:right w:val="single" w:color="FFFFFF" w:sz="8" w:space="0"/>
            </w:tcBorders>
            <w:shd w:val="clear" w:color="auto" w:fill="D0D8E8"/>
            <w:noWrap w:val="0"/>
            <w:vAlign w:val="center"/>
          </w:tcPr>
          <w:p>
            <w:pPr>
              <w:widowControl/>
              <w:spacing w:line="360" w:lineRule="auto"/>
              <w:jc w:val="center"/>
              <w:rPr>
                <w:rFonts w:hint="default" w:ascii="宋体" w:hAnsi="宋体" w:eastAsia="宋体" w:cs="宋体"/>
                <w:color w:val="FF0000"/>
                <w:kern w:val="0"/>
                <w:sz w:val="21"/>
                <w:szCs w:val="21"/>
                <w:lang w:val="en-US" w:eastAsia="zh-CN"/>
              </w:rPr>
            </w:pPr>
            <w:r>
              <w:rPr>
                <w:rFonts w:hint="eastAsia" w:ascii="宋体" w:hAnsi="宋体" w:eastAsia="宋体" w:cs="宋体"/>
                <w:color w:val="FF0000"/>
                <w:kern w:val="0"/>
                <w:sz w:val="21"/>
                <w:szCs w:val="21"/>
                <w:lang w:val="en-US" w:eastAsia="zh-CN"/>
              </w:rPr>
              <w:t>32.43%</w:t>
            </w:r>
          </w:p>
        </w:tc>
        <w:tc>
          <w:tcPr>
            <w:tcW w:w="625" w:type="pct"/>
            <w:tcBorders>
              <w:top w:val="single" w:color="FFFFFF" w:sz="8" w:space="0"/>
              <w:left w:val="single" w:color="FFFFFF" w:sz="8" w:space="0"/>
              <w:bottom w:val="single" w:color="FFFFFF" w:sz="8" w:space="0"/>
              <w:right w:val="single" w:color="FFFFFF" w:sz="8" w:space="0"/>
            </w:tcBorders>
            <w:shd w:val="clear" w:color="auto" w:fill="D0D8E8"/>
            <w:noWrap w:val="0"/>
            <w:vAlign w:val="center"/>
          </w:tcPr>
          <w:p>
            <w:pPr>
              <w:widowControl/>
              <w:spacing w:line="360" w:lineRule="auto"/>
              <w:jc w:val="center"/>
              <w:rPr>
                <w:rFonts w:ascii="宋体" w:hAnsi="宋体" w:cs="宋体"/>
                <w:color w:val="000000"/>
                <w:kern w:val="0"/>
                <w:sz w:val="22"/>
                <w:szCs w:val="22"/>
              </w:rPr>
            </w:pPr>
            <w:r>
              <w:rPr>
                <w:rFonts w:hint="eastAsia" w:ascii="宋体" w:hAnsi="宋体" w:cs="宋体"/>
                <w:color w:val="000000"/>
                <w:kern w:val="0"/>
                <w:sz w:val="22"/>
                <w:szCs w:val="22"/>
                <w:lang w:val="en-US" w:eastAsia="zh-CN"/>
              </w:rPr>
              <w:t>安徽省</w:t>
            </w:r>
          </w:p>
        </w:tc>
        <w:tc>
          <w:tcPr>
            <w:tcW w:w="769" w:type="pct"/>
            <w:tcBorders>
              <w:top w:val="single" w:color="FFFFFF" w:sz="8" w:space="0"/>
              <w:left w:val="single" w:color="FFFFFF" w:sz="8" w:space="0"/>
              <w:bottom w:val="single" w:color="FFFFFF" w:sz="8" w:space="0"/>
              <w:right w:val="single" w:color="FFFFFF" w:sz="8" w:space="0"/>
            </w:tcBorders>
            <w:shd w:val="clear" w:color="auto" w:fill="D0D8E8"/>
            <w:noWrap w:val="0"/>
            <w:vAlign w:val="center"/>
          </w:tcPr>
          <w:p>
            <w:pPr>
              <w:widowControl/>
              <w:spacing w:line="360" w:lineRule="auto"/>
              <w:jc w:val="center"/>
              <w:rPr>
                <w:rFonts w:hint="default" w:ascii="宋体" w:hAnsi="宋体" w:eastAsia="宋体" w:cs="宋体"/>
                <w:color w:val="000000"/>
                <w:kern w:val="0"/>
                <w:sz w:val="22"/>
                <w:szCs w:val="22"/>
                <w:lang w:val="en-US" w:eastAsia="zh-CN"/>
              </w:rPr>
            </w:pPr>
            <w:r>
              <w:rPr>
                <w:rFonts w:hint="eastAsia" w:ascii="宋体" w:hAnsi="宋体" w:cs="宋体"/>
                <w:color w:val="000000"/>
                <w:kern w:val="0"/>
                <w:sz w:val="22"/>
                <w:szCs w:val="22"/>
                <w:lang w:val="en-US" w:eastAsia="zh-CN"/>
              </w:rPr>
              <w:t>20</w:t>
            </w:r>
          </w:p>
        </w:tc>
        <w:tc>
          <w:tcPr>
            <w:tcW w:w="481" w:type="pct"/>
            <w:tcBorders>
              <w:top w:val="single" w:color="FFFFFF" w:sz="8" w:space="0"/>
              <w:left w:val="single" w:color="FFFFFF" w:sz="8" w:space="0"/>
              <w:bottom w:val="single" w:color="FFFFFF" w:sz="8" w:space="0"/>
              <w:right w:val="single" w:color="FFFFFF" w:sz="8" w:space="0"/>
            </w:tcBorders>
            <w:shd w:val="clear" w:color="auto" w:fill="D0D8E8"/>
            <w:noWrap w:val="0"/>
            <w:vAlign w:val="center"/>
          </w:tcPr>
          <w:p>
            <w:pPr>
              <w:widowControl/>
              <w:spacing w:line="360" w:lineRule="auto"/>
              <w:jc w:val="center"/>
              <w:rPr>
                <w:rFonts w:hint="default" w:ascii="宋体" w:hAnsi="宋体" w:eastAsia="宋体" w:cs="宋体"/>
                <w:color w:val="FF0000"/>
                <w:kern w:val="0"/>
                <w:sz w:val="22"/>
                <w:szCs w:val="22"/>
                <w:lang w:val="en-US" w:eastAsia="zh-CN"/>
              </w:rPr>
            </w:pPr>
            <w:r>
              <w:rPr>
                <w:rFonts w:hint="eastAsia" w:ascii="宋体" w:hAnsi="宋体" w:eastAsia="宋体" w:cs="宋体"/>
                <w:color w:val="FF0000"/>
                <w:kern w:val="0"/>
                <w:sz w:val="22"/>
                <w:szCs w:val="22"/>
                <w:lang w:val="en-US" w:eastAsia="zh-CN"/>
              </w:rPr>
              <w:t>54.05%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trPr>
        <w:tc>
          <w:tcPr>
            <w:tcW w:w="787" w:type="pct"/>
            <w:tcBorders>
              <w:top w:val="single" w:color="FFFFFF" w:sz="8" w:space="0"/>
              <w:left w:val="single" w:color="FFFFFF" w:sz="8" w:space="0"/>
              <w:bottom w:val="single" w:color="FFFFFF" w:sz="8" w:space="0"/>
              <w:right w:val="single" w:color="FFFFFF" w:sz="8" w:space="0"/>
            </w:tcBorders>
            <w:shd w:val="clear" w:color="auto" w:fill="E9EDF4"/>
            <w:noWrap w:val="0"/>
            <w:vAlign w:val="center"/>
          </w:tcPr>
          <w:p>
            <w:pPr>
              <w:spacing w:line="360" w:lineRule="auto"/>
              <w:jc w:val="center"/>
              <w:rPr>
                <w:rFonts w:hint="eastAsia" w:ascii="宋体" w:hAnsi="宋体" w:cs="Arial"/>
                <w:color w:val="000000"/>
                <w:kern w:val="0"/>
                <w:sz w:val="24"/>
              </w:rPr>
            </w:pPr>
            <w:r>
              <w:rPr>
                <w:rFonts w:hint="eastAsia" w:ascii="宋体" w:hAnsi="宋体" w:cs="Arial"/>
                <w:color w:val="000000"/>
                <w:kern w:val="0"/>
                <w:sz w:val="24"/>
              </w:rPr>
              <w:t>会计学</w:t>
            </w:r>
          </w:p>
        </w:tc>
        <w:tc>
          <w:tcPr>
            <w:tcW w:w="461" w:type="pct"/>
            <w:tcBorders>
              <w:top w:val="single" w:color="FFFFFF" w:sz="8" w:space="0"/>
              <w:left w:val="single" w:color="FFFFFF" w:sz="8" w:space="0"/>
              <w:bottom w:val="single" w:color="FFFFFF" w:sz="8" w:space="0"/>
              <w:right w:val="single" w:color="FFFFFF" w:sz="8" w:space="0"/>
            </w:tcBorders>
            <w:shd w:val="clear" w:color="auto" w:fill="E9EDF4"/>
            <w:noWrap w:val="0"/>
            <w:vAlign w:val="center"/>
          </w:tcPr>
          <w:p>
            <w:pPr>
              <w:spacing w:line="360" w:lineRule="auto"/>
              <w:jc w:val="center"/>
              <w:rPr>
                <w:rFonts w:hint="eastAsia" w:ascii="宋体" w:hAnsi="宋体" w:eastAsia="宋体" w:cs="Arial"/>
                <w:color w:val="000000"/>
                <w:kern w:val="0"/>
                <w:sz w:val="24"/>
                <w:lang w:val="en-US" w:eastAsia="zh-CN"/>
              </w:rPr>
            </w:pPr>
            <w:r>
              <w:rPr>
                <w:rFonts w:hint="eastAsia" w:ascii="宋体" w:hAnsi="宋体" w:eastAsia="宋体" w:cs="Arial"/>
                <w:color w:val="000000"/>
                <w:kern w:val="0"/>
                <w:sz w:val="24"/>
                <w:lang w:val="en-US" w:eastAsia="zh-CN"/>
              </w:rPr>
              <w:t>73</w:t>
            </w:r>
          </w:p>
        </w:tc>
        <w:tc>
          <w:tcPr>
            <w:tcW w:w="625" w:type="pct"/>
            <w:tcBorders>
              <w:top w:val="single" w:color="FFFFFF" w:sz="8" w:space="0"/>
              <w:left w:val="single" w:color="FFFFFF" w:sz="8" w:space="0"/>
              <w:bottom w:val="single" w:color="FFFFFF" w:sz="8" w:space="0"/>
              <w:right w:val="single" w:color="FFFFFF" w:sz="8" w:space="0"/>
            </w:tcBorders>
            <w:shd w:val="clear" w:color="auto" w:fill="E9EDF4"/>
            <w:noWrap w:val="0"/>
            <w:vAlign w:val="center"/>
          </w:tcPr>
          <w:p>
            <w:pPr>
              <w:spacing w:line="360" w:lineRule="auto"/>
              <w:jc w:val="center"/>
              <w:rPr>
                <w:rFonts w:hint="eastAsia" w:ascii="宋体" w:hAnsi="宋体" w:cs="宋体"/>
                <w:color w:val="000000"/>
                <w:sz w:val="24"/>
              </w:rPr>
            </w:pPr>
            <w:r>
              <w:rPr>
                <w:rFonts w:hint="eastAsia" w:ascii="宋体" w:hAnsi="宋体" w:cs="宋体"/>
                <w:color w:val="000000"/>
                <w:sz w:val="24"/>
              </w:rPr>
              <w:t>合肥市</w:t>
            </w:r>
          </w:p>
        </w:tc>
        <w:tc>
          <w:tcPr>
            <w:tcW w:w="773" w:type="pct"/>
            <w:tcBorders>
              <w:top w:val="single" w:color="FFFFFF" w:sz="8" w:space="0"/>
              <w:left w:val="single" w:color="FFFFFF" w:sz="8" w:space="0"/>
              <w:bottom w:val="single" w:color="FFFFFF" w:sz="8" w:space="0"/>
              <w:right w:val="single" w:color="FFFFFF" w:sz="8" w:space="0"/>
            </w:tcBorders>
            <w:shd w:val="clear" w:color="auto" w:fill="E9EDF4"/>
            <w:noWrap w:val="0"/>
            <w:vAlign w:val="center"/>
          </w:tcPr>
          <w:p>
            <w:pPr>
              <w:widowControl/>
              <w:spacing w:line="360" w:lineRule="auto"/>
              <w:jc w:val="center"/>
              <w:rPr>
                <w:rFonts w:hint="default" w:ascii="宋体" w:hAnsi="宋体" w:eastAsia="宋体" w:cs="宋体"/>
                <w:color w:val="000000"/>
                <w:kern w:val="0"/>
                <w:sz w:val="22"/>
                <w:szCs w:val="22"/>
                <w:lang w:val="en-US" w:eastAsia="zh-CN"/>
              </w:rPr>
            </w:pPr>
            <w:r>
              <w:rPr>
                <w:rFonts w:hint="eastAsia" w:ascii="宋体" w:hAnsi="宋体" w:cs="宋体"/>
                <w:color w:val="000000"/>
                <w:kern w:val="0"/>
                <w:sz w:val="22"/>
                <w:szCs w:val="22"/>
                <w:lang w:val="en-US" w:eastAsia="zh-CN"/>
              </w:rPr>
              <w:t>34</w:t>
            </w:r>
          </w:p>
        </w:tc>
        <w:tc>
          <w:tcPr>
            <w:tcW w:w="477" w:type="pct"/>
            <w:tcBorders>
              <w:top w:val="single" w:color="FFFFFF" w:sz="8" w:space="0"/>
              <w:left w:val="single" w:color="FFFFFF" w:sz="8" w:space="0"/>
              <w:bottom w:val="single" w:color="FFFFFF" w:sz="8" w:space="0"/>
              <w:right w:val="single" w:color="FFFFFF" w:sz="8" w:space="0"/>
            </w:tcBorders>
            <w:shd w:val="clear" w:color="auto" w:fill="E9EDF4"/>
            <w:noWrap w:val="0"/>
            <w:vAlign w:val="center"/>
          </w:tcPr>
          <w:p>
            <w:pPr>
              <w:widowControl/>
              <w:spacing w:line="360" w:lineRule="auto"/>
              <w:jc w:val="center"/>
              <w:rPr>
                <w:rFonts w:hint="default" w:ascii="宋体" w:hAnsi="宋体" w:eastAsia="宋体" w:cs="宋体"/>
                <w:color w:val="FF0000"/>
                <w:kern w:val="0"/>
                <w:sz w:val="21"/>
                <w:szCs w:val="21"/>
                <w:lang w:val="en-US" w:eastAsia="zh-CN"/>
              </w:rPr>
            </w:pPr>
            <w:r>
              <w:rPr>
                <w:rFonts w:hint="eastAsia" w:ascii="宋体" w:hAnsi="宋体" w:eastAsia="宋体" w:cs="宋体"/>
                <w:color w:val="FF0000"/>
                <w:kern w:val="0"/>
                <w:sz w:val="21"/>
                <w:szCs w:val="21"/>
                <w:lang w:val="en-US" w:eastAsia="zh-CN"/>
              </w:rPr>
              <w:t>46.58%</w:t>
            </w:r>
          </w:p>
        </w:tc>
        <w:tc>
          <w:tcPr>
            <w:tcW w:w="625" w:type="pct"/>
            <w:tcBorders>
              <w:top w:val="single" w:color="FFFFFF" w:sz="8" w:space="0"/>
              <w:left w:val="single" w:color="FFFFFF" w:sz="8" w:space="0"/>
              <w:bottom w:val="single" w:color="FFFFFF" w:sz="8" w:space="0"/>
              <w:right w:val="single" w:color="FFFFFF" w:sz="8" w:space="0"/>
            </w:tcBorders>
            <w:shd w:val="clear" w:color="auto" w:fill="E9EDF4"/>
            <w:noWrap w:val="0"/>
            <w:vAlign w:val="center"/>
          </w:tcPr>
          <w:p>
            <w:pPr>
              <w:widowControl/>
              <w:spacing w:line="360" w:lineRule="auto"/>
              <w:jc w:val="center"/>
              <w:rPr>
                <w:rFonts w:ascii="宋体" w:hAnsi="宋体" w:cs="宋体"/>
                <w:color w:val="000000"/>
                <w:kern w:val="0"/>
                <w:sz w:val="22"/>
                <w:szCs w:val="22"/>
              </w:rPr>
            </w:pPr>
            <w:r>
              <w:rPr>
                <w:rFonts w:hint="eastAsia" w:ascii="宋体" w:hAnsi="宋体" w:cs="宋体"/>
                <w:color w:val="000000"/>
                <w:kern w:val="0"/>
                <w:sz w:val="22"/>
                <w:szCs w:val="22"/>
                <w:lang w:val="en-US" w:eastAsia="zh-CN"/>
              </w:rPr>
              <w:t>安徽省</w:t>
            </w:r>
          </w:p>
        </w:tc>
        <w:tc>
          <w:tcPr>
            <w:tcW w:w="769" w:type="pct"/>
            <w:tcBorders>
              <w:top w:val="single" w:color="FFFFFF" w:sz="8" w:space="0"/>
              <w:left w:val="single" w:color="FFFFFF" w:sz="8" w:space="0"/>
              <w:bottom w:val="single" w:color="FFFFFF" w:sz="8" w:space="0"/>
              <w:right w:val="single" w:color="FFFFFF" w:sz="8" w:space="0"/>
            </w:tcBorders>
            <w:shd w:val="clear" w:color="auto" w:fill="E9EDF4"/>
            <w:noWrap w:val="0"/>
            <w:vAlign w:val="center"/>
          </w:tcPr>
          <w:p>
            <w:pPr>
              <w:widowControl/>
              <w:spacing w:line="360" w:lineRule="auto"/>
              <w:jc w:val="center"/>
              <w:rPr>
                <w:rFonts w:hint="default" w:ascii="宋体" w:hAnsi="宋体" w:eastAsia="宋体" w:cs="宋体"/>
                <w:color w:val="000000"/>
                <w:kern w:val="0"/>
                <w:sz w:val="22"/>
                <w:szCs w:val="22"/>
                <w:lang w:val="en-US" w:eastAsia="zh-CN"/>
              </w:rPr>
            </w:pPr>
            <w:r>
              <w:rPr>
                <w:rFonts w:hint="eastAsia" w:ascii="宋体" w:hAnsi="宋体" w:cs="宋体"/>
                <w:color w:val="000000"/>
                <w:kern w:val="0"/>
                <w:sz w:val="22"/>
                <w:szCs w:val="22"/>
                <w:lang w:val="en-US" w:eastAsia="zh-CN"/>
              </w:rPr>
              <w:t>47</w:t>
            </w:r>
          </w:p>
        </w:tc>
        <w:tc>
          <w:tcPr>
            <w:tcW w:w="481" w:type="pct"/>
            <w:tcBorders>
              <w:top w:val="single" w:color="FFFFFF" w:sz="8" w:space="0"/>
              <w:left w:val="single" w:color="FFFFFF" w:sz="8" w:space="0"/>
              <w:bottom w:val="single" w:color="FFFFFF" w:sz="8" w:space="0"/>
              <w:right w:val="single" w:color="FFFFFF" w:sz="8" w:space="0"/>
            </w:tcBorders>
            <w:shd w:val="clear" w:color="auto" w:fill="E9EDF4"/>
            <w:noWrap w:val="0"/>
            <w:vAlign w:val="center"/>
          </w:tcPr>
          <w:p>
            <w:pPr>
              <w:widowControl/>
              <w:spacing w:line="360" w:lineRule="auto"/>
              <w:jc w:val="center"/>
              <w:rPr>
                <w:rFonts w:hint="default" w:ascii="宋体" w:hAnsi="宋体" w:eastAsia="宋体" w:cs="宋体"/>
                <w:color w:val="FF0000"/>
                <w:kern w:val="0"/>
                <w:sz w:val="22"/>
                <w:szCs w:val="22"/>
                <w:lang w:val="en-US" w:eastAsia="zh-CN"/>
              </w:rPr>
            </w:pPr>
            <w:r>
              <w:rPr>
                <w:rFonts w:hint="eastAsia" w:ascii="宋体" w:hAnsi="宋体" w:eastAsia="宋体" w:cs="宋体"/>
                <w:color w:val="FF0000"/>
                <w:kern w:val="0"/>
                <w:sz w:val="22"/>
                <w:szCs w:val="22"/>
                <w:lang w:val="en-US" w:eastAsia="zh-CN"/>
              </w:rPr>
              <w:t>64.38%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trPr>
        <w:tc>
          <w:tcPr>
            <w:tcW w:w="787" w:type="pct"/>
            <w:tcBorders>
              <w:top w:val="single" w:color="FFFFFF" w:sz="8" w:space="0"/>
              <w:left w:val="single" w:color="FFFFFF" w:sz="8" w:space="0"/>
              <w:bottom w:val="single" w:color="FFFFFF" w:sz="8" w:space="0"/>
              <w:right w:val="single" w:color="FFFFFF" w:sz="8" w:space="0"/>
            </w:tcBorders>
            <w:shd w:val="clear" w:color="auto" w:fill="D0D8E8"/>
            <w:noWrap w:val="0"/>
            <w:vAlign w:val="center"/>
          </w:tcPr>
          <w:p>
            <w:pPr>
              <w:spacing w:line="360" w:lineRule="auto"/>
              <w:jc w:val="center"/>
              <w:rPr>
                <w:rFonts w:hint="eastAsia" w:ascii="宋体" w:hAnsi="宋体" w:cs="Arial"/>
                <w:color w:val="000000"/>
                <w:kern w:val="0"/>
                <w:sz w:val="24"/>
              </w:rPr>
            </w:pPr>
            <w:r>
              <w:rPr>
                <w:rFonts w:hint="eastAsia" w:ascii="宋体" w:hAnsi="宋体" w:cs="Arial"/>
                <w:color w:val="000000"/>
                <w:kern w:val="0"/>
                <w:sz w:val="24"/>
              </w:rPr>
              <w:t>物流管理</w:t>
            </w:r>
          </w:p>
        </w:tc>
        <w:tc>
          <w:tcPr>
            <w:tcW w:w="461" w:type="pct"/>
            <w:tcBorders>
              <w:top w:val="single" w:color="FFFFFF" w:sz="8" w:space="0"/>
              <w:left w:val="single" w:color="FFFFFF" w:sz="8" w:space="0"/>
              <w:bottom w:val="single" w:color="FFFFFF" w:sz="8" w:space="0"/>
              <w:right w:val="single" w:color="FFFFFF" w:sz="8" w:space="0"/>
            </w:tcBorders>
            <w:shd w:val="clear" w:color="auto" w:fill="D0D8E8"/>
            <w:noWrap w:val="0"/>
            <w:vAlign w:val="center"/>
          </w:tcPr>
          <w:p>
            <w:pPr>
              <w:spacing w:line="360" w:lineRule="auto"/>
              <w:jc w:val="center"/>
              <w:rPr>
                <w:rFonts w:hint="eastAsia" w:ascii="宋体" w:hAnsi="宋体" w:eastAsia="宋体" w:cs="Arial"/>
                <w:color w:val="000000"/>
                <w:kern w:val="0"/>
                <w:sz w:val="24"/>
                <w:lang w:val="en-US" w:eastAsia="zh-CN"/>
              </w:rPr>
            </w:pPr>
            <w:r>
              <w:rPr>
                <w:rFonts w:hint="eastAsia" w:ascii="宋体" w:hAnsi="宋体" w:eastAsia="宋体" w:cs="Arial"/>
                <w:color w:val="000000"/>
                <w:kern w:val="0"/>
                <w:sz w:val="24"/>
                <w:lang w:val="en-US" w:eastAsia="zh-CN"/>
              </w:rPr>
              <w:t>67</w:t>
            </w:r>
          </w:p>
        </w:tc>
        <w:tc>
          <w:tcPr>
            <w:tcW w:w="625" w:type="pct"/>
            <w:tcBorders>
              <w:top w:val="single" w:color="FFFFFF" w:sz="8" w:space="0"/>
              <w:left w:val="single" w:color="FFFFFF" w:sz="8" w:space="0"/>
              <w:bottom w:val="single" w:color="FFFFFF" w:sz="8" w:space="0"/>
              <w:right w:val="single" w:color="FFFFFF" w:sz="8" w:space="0"/>
            </w:tcBorders>
            <w:shd w:val="clear" w:color="auto" w:fill="D0D8E8"/>
            <w:noWrap w:val="0"/>
            <w:vAlign w:val="center"/>
          </w:tcPr>
          <w:p>
            <w:pPr>
              <w:spacing w:line="360" w:lineRule="auto"/>
              <w:jc w:val="center"/>
              <w:rPr>
                <w:rFonts w:hint="eastAsia" w:ascii="宋体" w:hAnsi="宋体" w:cs="宋体"/>
                <w:color w:val="000000"/>
                <w:sz w:val="24"/>
              </w:rPr>
            </w:pPr>
            <w:r>
              <w:rPr>
                <w:rFonts w:hint="eastAsia" w:ascii="宋体" w:hAnsi="宋体" w:cs="宋体"/>
                <w:color w:val="000000"/>
                <w:sz w:val="24"/>
              </w:rPr>
              <w:t>合肥市</w:t>
            </w:r>
          </w:p>
        </w:tc>
        <w:tc>
          <w:tcPr>
            <w:tcW w:w="773" w:type="pct"/>
            <w:tcBorders>
              <w:top w:val="single" w:color="FFFFFF" w:sz="8" w:space="0"/>
              <w:left w:val="single" w:color="FFFFFF" w:sz="8" w:space="0"/>
              <w:bottom w:val="single" w:color="FFFFFF" w:sz="8" w:space="0"/>
              <w:right w:val="single" w:color="FFFFFF" w:sz="8" w:space="0"/>
            </w:tcBorders>
            <w:shd w:val="clear" w:color="auto" w:fill="D0D8E8"/>
            <w:noWrap w:val="0"/>
            <w:vAlign w:val="center"/>
          </w:tcPr>
          <w:p>
            <w:pPr>
              <w:widowControl/>
              <w:spacing w:line="360" w:lineRule="auto"/>
              <w:jc w:val="center"/>
              <w:rPr>
                <w:rFonts w:hint="default" w:ascii="宋体" w:hAnsi="宋体" w:eastAsia="宋体" w:cs="宋体"/>
                <w:color w:val="000000"/>
                <w:kern w:val="0"/>
                <w:sz w:val="22"/>
                <w:szCs w:val="22"/>
                <w:lang w:val="en-US" w:eastAsia="zh-CN"/>
              </w:rPr>
            </w:pPr>
            <w:r>
              <w:rPr>
                <w:rFonts w:hint="eastAsia" w:ascii="宋体" w:hAnsi="宋体" w:cs="宋体"/>
                <w:color w:val="000000"/>
                <w:kern w:val="0"/>
                <w:sz w:val="22"/>
                <w:szCs w:val="22"/>
                <w:lang w:val="en-US" w:eastAsia="zh-CN"/>
              </w:rPr>
              <w:t>29</w:t>
            </w:r>
          </w:p>
        </w:tc>
        <w:tc>
          <w:tcPr>
            <w:tcW w:w="477" w:type="pct"/>
            <w:tcBorders>
              <w:top w:val="single" w:color="FFFFFF" w:sz="8" w:space="0"/>
              <w:left w:val="single" w:color="FFFFFF" w:sz="8" w:space="0"/>
              <w:bottom w:val="single" w:color="FFFFFF" w:sz="8" w:space="0"/>
              <w:right w:val="single" w:color="FFFFFF" w:sz="8" w:space="0"/>
            </w:tcBorders>
            <w:shd w:val="clear" w:color="auto" w:fill="D0D8E8"/>
            <w:noWrap w:val="0"/>
            <w:vAlign w:val="center"/>
          </w:tcPr>
          <w:p>
            <w:pPr>
              <w:widowControl/>
              <w:spacing w:line="360" w:lineRule="auto"/>
              <w:jc w:val="center"/>
              <w:rPr>
                <w:rFonts w:hint="default" w:ascii="宋体" w:hAnsi="宋体" w:eastAsia="宋体" w:cs="宋体"/>
                <w:color w:val="FF0000"/>
                <w:kern w:val="0"/>
                <w:sz w:val="21"/>
                <w:szCs w:val="21"/>
                <w:lang w:val="en-US" w:eastAsia="zh-CN"/>
              </w:rPr>
            </w:pPr>
            <w:r>
              <w:rPr>
                <w:rFonts w:hint="eastAsia" w:ascii="宋体" w:hAnsi="宋体" w:eastAsia="宋体" w:cs="宋体"/>
                <w:color w:val="FF0000"/>
                <w:kern w:val="0"/>
                <w:sz w:val="21"/>
                <w:szCs w:val="21"/>
                <w:lang w:val="en-US" w:eastAsia="zh-CN"/>
              </w:rPr>
              <w:t>43.28%</w:t>
            </w:r>
          </w:p>
        </w:tc>
        <w:tc>
          <w:tcPr>
            <w:tcW w:w="625" w:type="pct"/>
            <w:tcBorders>
              <w:top w:val="single" w:color="FFFFFF" w:sz="8" w:space="0"/>
              <w:left w:val="single" w:color="FFFFFF" w:sz="8" w:space="0"/>
              <w:bottom w:val="single" w:color="FFFFFF" w:sz="8" w:space="0"/>
              <w:right w:val="single" w:color="FFFFFF" w:sz="8" w:space="0"/>
            </w:tcBorders>
            <w:shd w:val="clear" w:color="auto" w:fill="D0D8E8"/>
            <w:noWrap w:val="0"/>
            <w:vAlign w:val="center"/>
          </w:tcPr>
          <w:p>
            <w:pPr>
              <w:widowControl/>
              <w:spacing w:line="360" w:lineRule="auto"/>
              <w:jc w:val="center"/>
              <w:rPr>
                <w:rFonts w:ascii="宋体" w:hAnsi="宋体" w:cs="宋体"/>
                <w:color w:val="000000"/>
                <w:kern w:val="0"/>
                <w:sz w:val="22"/>
                <w:szCs w:val="22"/>
              </w:rPr>
            </w:pPr>
            <w:r>
              <w:rPr>
                <w:rFonts w:hint="eastAsia" w:ascii="宋体" w:hAnsi="宋体" w:cs="宋体"/>
                <w:color w:val="000000"/>
                <w:kern w:val="0"/>
                <w:sz w:val="22"/>
                <w:szCs w:val="22"/>
                <w:lang w:val="en-US" w:eastAsia="zh-CN"/>
              </w:rPr>
              <w:t>安徽省</w:t>
            </w:r>
          </w:p>
        </w:tc>
        <w:tc>
          <w:tcPr>
            <w:tcW w:w="769" w:type="pct"/>
            <w:tcBorders>
              <w:top w:val="single" w:color="FFFFFF" w:sz="8" w:space="0"/>
              <w:left w:val="single" w:color="FFFFFF" w:sz="8" w:space="0"/>
              <w:bottom w:val="single" w:color="FFFFFF" w:sz="8" w:space="0"/>
              <w:right w:val="single" w:color="FFFFFF" w:sz="8" w:space="0"/>
            </w:tcBorders>
            <w:shd w:val="clear" w:color="auto" w:fill="D0D8E8"/>
            <w:noWrap w:val="0"/>
            <w:vAlign w:val="center"/>
          </w:tcPr>
          <w:p>
            <w:pPr>
              <w:widowControl/>
              <w:spacing w:line="360" w:lineRule="auto"/>
              <w:jc w:val="center"/>
              <w:rPr>
                <w:rFonts w:hint="default" w:ascii="宋体" w:hAnsi="宋体" w:eastAsia="宋体" w:cs="宋体"/>
                <w:color w:val="000000"/>
                <w:kern w:val="0"/>
                <w:sz w:val="22"/>
                <w:szCs w:val="22"/>
                <w:lang w:val="en-US" w:eastAsia="zh-CN"/>
              </w:rPr>
            </w:pPr>
            <w:r>
              <w:rPr>
                <w:rFonts w:hint="eastAsia" w:ascii="宋体" w:hAnsi="宋体" w:cs="宋体"/>
                <w:color w:val="000000"/>
                <w:kern w:val="0"/>
                <w:sz w:val="22"/>
                <w:szCs w:val="22"/>
                <w:lang w:val="en-US" w:eastAsia="zh-CN"/>
              </w:rPr>
              <w:t>40</w:t>
            </w:r>
          </w:p>
        </w:tc>
        <w:tc>
          <w:tcPr>
            <w:tcW w:w="481" w:type="pct"/>
            <w:tcBorders>
              <w:top w:val="single" w:color="FFFFFF" w:sz="8" w:space="0"/>
              <w:left w:val="single" w:color="FFFFFF" w:sz="8" w:space="0"/>
              <w:bottom w:val="single" w:color="FFFFFF" w:sz="8" w:space="0"/>
              <w:right w:val="single" w:color="FFFFFF" w:sz="8" w:space="0"/>
            </w:tcBorders>
            <w:shd w:val="clear" w:color="auto" w:fill="D0D8E8"/>
            <w:noWrap w:val="0"/>
            <w:vAlign w:val="center"/>
          </w:tcPr>
          <w:p>
            <w:pPr>
              <w:widowControl/>
              <w:spacing w:line="360" w:lineRule="auto"/>
              <w:jc w:val="center"/>
              <w:rPr>
                <w:rFonts w:hint="default" w:ascii="宋体" w:hAnsi="宋体" w:eastAsia="宋体" w:cs="宋体"/>
                <w:color w:val="FF0000"/>
                <w:kern w:val="0"/>
                <w:sz w:val="22"/>
                <w:szCs w:val="22"/>
                <w:lang w:val="en-US" w:eastAsia="zh-CN"/>
              </w:rPr>
            </w:pPr>
            <w:r>
              <w:rPr>
                <w:rFonts w:hint="eastAsia" w:ascii="宋体" w:hAnsi="宋体" w:eastAsia="宋体" w:cs="宋体"/>
                <w:color w:val="FF0000"/>
                <w:kern w:val="0"/>
                <w:sz w:val="22"/>
                <w:szCs w:val="22"/>
                <w:lang w:val="en-US" w:eastAsia="zh-CN"/>
              </w:rPr>
              <w:t>59.70%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trPr>
        <w:tc>
          <w:tcPr>
            <w:tcW w:w="787" w:type="pct"/>
            <w:tcBorders>
              <w:top w:val="single" w:color="FFFFFF" w:sz="8" w:space="0"/>
              <w:left w:val="single" w:color="FFFFFF" w:sz="8" w:space="0"/>
              <w:bottom w:val="single" w:color="FFFFFF" w:sz="8" w:space="0"/>
              <w:right w:val="single" w:color="FFFFFF" w:sz="8" w:space="0"/>
            </w:tcBorders>
            <w:shd w:val="clear" w:color="auto" w:fill="E9EDF4"/>
            <w:noWrap w:val="0"/>
            <w:vAlign w:val="center"/>
          </w:tcPr>
          <w:p>
            <w:pPr>
              <w:spacing w:line="360" w:lineRule="auto"/>
              <w:jc w:val="center"/>
              <w:rPr>
                <w:rFonts w:hint="eastAsia" w:ascii="宋体" w:hAnsi="宋体" w:cs="Arial"/>
                <w:color w:val="000000"/>
                <w:kern w:val="0"/>
                <w:sz w:val="24"/>
              </w:rPr>
            </w:pPr>
            <w:r>
              <w:rPr>
                <w:rFonts w:hint="eastAsia" w:ascii="宋体" w:hAnsi="宋体" w:cs="Arial"/>
                <w:color w:val="000000"/>
                <w:kern w:val="0"/>
                <w:sz w:val="15"/>
                <w:szCs w:val="15"/>
              </w:rPr>
              <w:t>物流管理（中外）</w:t>
            </w:r>
          </w:p>
        </w:tc>
        <w:tc>
          <w:tcPr>
            <w:tcW w:w="461" w:type="pct"/>
            <w:tcBorders>
              <w:top w:val="single" w:color="FFFFFF" w:sz="8" w:space="0"/>
              <w:left w:val="single" w:color="FFFFFF" w:sz="8" w:space="0"/>
              <w:bottom w:val="single" w:color="FFFFFF" w:sz="8" w:space="0"/>
              <w:right w:val="single" w:color="FFFFFF" w:sz="8" w:space="0"/>
            </w:tcBorders>
            <w:shd w:val="clear" w:color="auto" w:fill="E9EDF4"/>
            <w:noWrap w:val="0"/>
            <w:vAlign w:val="center"/>
          </w:tcPr>
          <w:p>
            <w:pPr>
              <w:spacing w:line="360" w:lineRule="auto"/>
              <w:jc w:val="center"/>
              <w:rPr>
                <w:rFonts w:hint="eastAsia" w:ascii="宋体" w:hAnsi="宋体" w:eastAsia="宋体" w:cs="Arial"/>
                <w:color w:val="000000"/>
                <w:kern w:val="0"/>
                <w:sz w:val="24"/>
                <w:lang w:val="en-US" w:eastAsia="zh-CN"/>
              </w:rPr>
            </w:pPr>
            <w:r>
              <w:rPr>
                <w:rFonts w:hint="eastAsia" w:ascii="宋体" w:hAnsi="宋体" w:eastAsia="宋体" w:cs="Arial"/>
                <w:color w:val="000000"/>
                <w:kern w:val="0"/>
                <w:sz w:val="24"/>
                <w:lang w:val="en-US" w:eastAsia="zh-CN"/>
              </w:rPr>
              <w:t>53</w:t>
            </w:r>
          </w:p>
        </w:tc>
        <w:tc>
          <w:tcPr>
            <w:tcW w:w="625" w:type="pct"/>
            <w:tcBorders>
              <w:top w:val="single" w:color="FFFFFF" w:sz="8" w:space="0"/>
              <w:left w:val="single" w:color="FFFFFF" w:sz="8" w:space="0"/>
              <w:bottom w:val="single" w:color="FFFFFF" w:sz="8" w:space="0"/>
              <w:right w:val="single" w:color="FFFFFF" w:sz="8" w:space="0"/>
            </w:tcBorders>
            <w:shd w:val="clear" w:color="auto" w:fill="E9EDF4"/>
            <w:noWrap w:val="0"/>
            <w:vAlign w:val="center"/>
          </w:tcPr>
          <w:p>
            <w:pPr>
              <w:spacing w:line="360" w:lineRule="auto"/>
              <w:jc w:val="center"/>
              <w:rPr>
                <w:rFonts w:hint="eastAsia" w:ascii="宋体" w:hAnsi="宋体" w:cs="宋体"/>
                <w:color w:val="000000"/>
                <w:sz w:val="24"/>
              </w:rPr>
            </w:pPr>
            <w:r>
              <w:rPr>
                <w:rFonts w:hint="eastAsia" w:ascii="宋体" w:hAnsi="宋体" w:cs="宋体"/>
                <w:color w:val="000000"/>
                <w:sz w:val="24"/>
              </w:rPr>
              <w:t>合肥市</w:t>
            </w:r>
          </w:p>
        </w:tc>
        <w:tc>
          <w:tcPr>
            <w:tcW w:w="773" w:type="pct"/>
            <w:tcBorders>
              <w:top w:val="single" w:color="FFFFFF" w:sz="8" w:space="0"/>
              <w:left w:val="single" w:color="FFFFFF" w:sz="8" w:space="0"/>
              <w:bottom w:val="single" w:color="FFFFFF" w:sz="8" w:space="0"/>
              <w:right w:val="single" w:color="FFFFFF" w:sz="8" w:space="0"/>
            </w:tcBorders>
            <w:shd w:val="clear" w:color="auto" w:fill="E9EDF4"/>
            <w:noWrap w:val="0"/>
            <w:vAlign w:val="center"/>
          </w:tcPr>
          <w:p>
            <w:pPr>
              <w:widowControl/>
              <w:spacing w:line="360" w:lineRule="auto"/>
              <w:jc w:val="center"/>
              <w:rPr>
                <w:rFonts w:hint="default" w:ascii="宋体" w:hAnsi="宋体" w:eastAsia="宋体" w:cs="宋体"/>
                <w:color w:val="000000"/>
                <w:kern w:val="0"/>
                <w:sz w:val="22"/>
                <w:szCs w:val="22"/>
                <w:lang w:val="en-US" w:eastAsia="zh-CN"/>
              </w:rPr>
            </w:pPr>
            <w:r>
              <w:rPr>
                <w:rFonts w:hint="eastAsia" w:ascii="宋体" w:hAnsi="宋体" w:cs="宋体"/>
                <w:color w:val="000000"/>
                <w:kern w:val="0"/>
                <w:sz w:val="22"/>
                <w:szCs w:val="22"/>
                <w:lang w:val="en-US" w:eastAsia="zh-CN"/>
              </w:rPr>
              <w:t>21</w:t>
            </w:r>
          </w:p>
        </w:tc>
        <w:tc>
          <w:tcPr>
            <w:tcW w:w="477" w:type="pct"/>
            <w:tcBorders>
              <w:top w:val="single" w:color="FFFFFF" w:sz="8" w:space="0"/>
              <w:left w:val="single" w:color="FFFFFF" w:sz="8" w:space="0"/>
              <w:bottom w:val="single" w:color="FFFFFF" w:sz="8" w:space="0"/>
              <w:right w:val="single" w:color="FFFFFF" w:sz="8" w:space="0"/>
            </w:tcBorders>
            <w:shd w:val="clear" w:color="auto" w:fill="E9EDF4"/>
            <w:noWrap w:val="0"/>
            <w:vAlign w:val="center"/>
          </w:tcPr>
          <w:p>
            <w:pPr>
              <w:widowControl/>
              <w:spacing w:line="360" w:lineRule="auto"/>
              <w:jc w:val="center"/>
              <w:rPr>
                <w:rFonts w:hint="default" w:ascii="宋体" w:hAnsi="宋体" w:eastAsia="宋体" w:cs="宋体"/>
                <w:color w:val="000000"/>
                <w:kern w:val="0"/>
                <w:sz w:val="21"/>
                <w:szCs w:val="21"/>
                <w:lang w:val="en-US" w:eastAsia="zh-CN"/>
              </w:rPr>
            </w:pPr>
            <w:r>
              <w:rPr>
                <w:rFonts w:hint="eastAsia" w:ascii="宋体" w:hAnsi="宋体" w:eastAsia="宋体" w:cs="宋体"/>
                <w:b/>
                <w:bCs/>
                <w:color w:val="000000"/>
                <w:kern w:val="0"/>
                <w:sz w:val="20"/>
                <w:szCs w:val="20"/>
                <w:lang w:val="en-US" w:eastAsia="zh-CN"/>
              </w:rPr>
              <w:t>50.94%</w:t>
            </w:r>
          </w:p>
        </w:tc>
        <w:tc>
          <w:tcPr>
            <w:tcW w:w="625" w:type="pct"/>
            <w:tcBorders>
              <w:top w:val="single" w:color="FFFFFF" w:sz="8" w:space="0"/>
              <w:left w:val="single" w:color="FFFFFF" w:sz="8" w:space="0"/>
              <w:bottom w:val="single" w:color="FFFFFF" w:sz="8" w:space="0"/>
              <w:right w:val="single" w:color="FFFFFF" w:sz="8" w:space="0"/>
            </w:tcBorders>
            <w:shd w:val="clear" w:color="auto" w:fill="E9EDF4"/>
            <w:noWrap w:val="0"/>
            <w:vAlign w:val="center"/>
          </w:tcPr>
          <w:p>
            <w:pPr>
              <w:widowControl/>
              <w:spacing w:line="360" w:lineRule="auto"/>
              <w:jc w:val="center"/>
              <w:rPr>
                <w:rFonts w:ascii="宋体" w:hAnsi="宋体" w:cs="宋体"/>
                <w:color w:val="000000"/>
                <w:kern w:val="0"/>
                <w:sz w:val="22"/>
                <w:szCs w:val="22"/>
              </w:rPr>
            </w:pPr>
            <w:r>
              <w:rPr>
                <w:rFonts w:hint="eastAsia" w:ascii="宋体" w:hAnsi="宋体" w:cs="宋体"/>
                <w:color w:val="000000"/>
                <w:kern w:val="0"/>
                <w:sz w:val="22"/>
                <w:szCs w:val="22"/>
                <w:lang w:val="en-US" w:eastAsia="zh-CN"/>
              </w:rPr>
              <w:t>安徽省</w:t>
            </w:r>
          </w:p>
        </w:tc>
        <w:tc>
          <w:tcPr>
            <w:tcW w:w="769" w:type="pct"/>
            <w:tcBorders>
              <w:top w:val="single" w:color="FFFFFF" w:sz="8" w:space="0"/>
              <w:left w:val="single" w:color="FFFFFF" w:sz="8" w:space="0"/>
              <w:bottom w:val="single" w:color="FFFFFF" w:sz="8" w:space="0"/>
              <w:right w:val="single" w:color="FFFFFF" w:sz="8" w:space="0"/>
            </w:tcBorders>
            <w:shd w:val="clear" w:color="auto" w:fill="E9EDF4"/>
            <w:noWrap w:val="0"/>
            <w:vAlign w:val="center"/>
          </w:tcPr>
          <w:p>
            <w:pPr>
              <w:widowControl/>
              <w:spacing w:line="360" w:lineRule="auto"/>
              <w:jc w:val="center"/>
              <w:rPr>
                <w:rFonts w:hint="default" w:ascii="宋体" w:hAnsi="宋体" w:eastAsia="宋体" w:cs="宋体"/>
                <w:color w:val="000000"/>
                <w:kern w:val="0"/>
                <w:sz w:val="22"/>
                <w:szCs w:val="22"/>
                <w:lang w:val="en-US" w:eastAsia="zh-CN"/>
              </w:rPr>
            </w:pPr>
            <w:r>
              <w:rPr>
                <w:rFonts w:hint="eastAsia" w:ascii="宋体" w:hAnsi="宋体" w:cs="宋体"/>
                <w:color w:val="000000"/>
                <w:kern w:val="0"/>
                <w:sz w:val="22"/>
                <w:szCs w:val="22"/>
                <w:lang w:val="en-US" w:eastAsia="zh-CN"/>
              </w:rPr>
              <w:t>29</w:t>
            </w:r>
          </w:p>
        </w:tc>
        <w:tc>
          <w:tcPr>
            <w:tcW w:w="481" w:type="pct"/>
            <w:tcBorders>
              <w:top w:val="single" w:color="FFFFFF" w:sz="8" w:space="0"/>
              <w:left w:val="single" w:color="FFFFFF" w:sz="8" w:space="0"/>
              <w:bottom w:val="single" w:color="FFFFFF" w:sz="8" w:space="0"/>
              <w:right w:val="single" w:color="FFFFFF" w:sz="8" w:space="0"/>
            </w:tcBorders>
            <w:shd w:val="clear" w:color="auto" w:fill="E9EDF4"/>
            <w:noWrap w:val="0"/>
            <w:vAlign w:val="center"/>
          </w:tcPr>
          <w:p>
            <w:pPr>
              <w:widowControl/>
              <w:spacing w:line="360" w:lineRule="auto"/>
              <w:jc w:val="center"/>
              <w:rPr>
                <w:rFonts w:hint="default" w:ascii="宋体" w:hAnsi="宋体" w:eastAsia="宋体" w:cs="宋体"/>
                <w:color w:val="FF0000"/>
                <w:kern w:val="0"/>
                <w:sz w:val="22"/>
                <w:szCs w:val="22"/>
                <w:lang w:val="en-US" w:eastAsia="zh-CN"/>
              </w:rPr>
            </w:pPr>
            <w:r>
              <w:rPr>
                <w:rFonts w:hint="eastAsia" w:ascii="宋体" w:hAnsi="宋体" w:eastAsia="宋体" w:cs="宋体"/>
                <w:color w:val="FF0000"/>
                <w:kern w:val="0"/>
                <w:sz w:val="22"/>
                <w:szCs w:val="22"/>
                <w:lang w:val="en-US" w:eastAsia="zh-CN"/>
              </w:rPr>
              <w:t>54.72%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trPr>
        <w:tc>
          <w:tcPr>
            <w:tcW w:w="787" w:type="pct"/>
            <w:tcBorders>
              <w:top w:val="single" w:color="FFFFFF" w:sz="8" w:space="0"/>
              <w:left w:val="single" w:color="FFFFFF" w:sz="8" w:space="0"/>
              <w:bottom w:val="single" w:color="FFFFFF" w:sz="8" w:space="0"/>
              <w:right w:val="single" w:color="FFFFFF" w:sz="8" w:space="0"/>
            </w:tcBorders>
            <w:shd w:val="clear" w:color="auto" w:fill="D0D8E8"/>
            <w:noWrap w:val="0"/>
            <w:vAlign w:val="center"/>
          </w:tcPr>
          <w:p>
            <w:pPr>
              <w:spacing w:line="360" w:lineRule="auto"/>
              <w:jc w:val="center"/>
              <w:rPr>
                <w:rFonts w:hint="eastAsia" w:ascii="宋体" w:hAnsi="宋体" w:eastAsia="宋体" w:cs="Arial"/>
                <w:color w:val="000000"/>
                <w:kern w:val="0"/>
                <w:sz w:val="16"/>
                <w:szCs w:val="16"/>
                <w:lang w:val="en-US" w:eastAsia="zh-CN"/>
              </w:rPr>
            </w:pPr>
            <w:r>
              <w:rPr>
                <w:rFonts w:hint="eastAsia" w:ascii="宋体" w:hAnsi="宋体" w:eastAsia="宋体" w:cs="Arial"/>
                <w:color w:val="000000"/>
                <w:kern w:val="0"/>
                <w:sz w:val="24"/>
                <w:lang w:val="en-US" w:eastAsia="zh-CN"/>
              </w:rPr>
              <w:t>合计</w:t>
            </w:r>
          </w:p>
        </w:tc>
        <w:tc>
          <w:tcPr>
            <w:tcW w:w="461" w:type="pct"/>
            <w:tcBorders>
              <w:top w:val="single" w:color="FFFFFF" w:sz="8" w:space="0"/>
              <w:left w:val="single" w:color="FFFFFF" w:sz="8" w:space="0"/>
              <w:bottom w:val="single" w:color="FFFFFF" w:sz="8" w:space="0"/>
              <w:right w:val="single" w:color="FFFFFF" w:sz="8" w:space="0"/>
            </w:tcBorders>
            <w:shd w:val="clear" w:color="auto" w:fill="D0D8E8"/>
            <w:noWrap w:val="0"/>
            <w:vAlign w:val="center"/>
          </w:tcPr>
          <w:p>
            <w:pPr>
              <w:spacing w:line="360" w:lineRule="auto"/>
              <w:jc w:val="center"/>
              <w:rPr>
                <w:rFonts w:hint="default" w:ascii="宋体" w:hAnsi="宋体" w:eastAsia="宋体" w:cs="Arial"/>
                <w:color w:val="000000"/>
                <w:kern w:val="0"/>
                <w:sz w:val="24"/>
                <w:lang w:val="en-US" w:eastAsia="zh-CN"/>
              </w:rPr>
            </w:pPr>
            <w:r>
              <w:rPr>
                <w:rFonts w:hint="eastAsia" w:ascii="宋体" w:hAnsi="宋体" w:eastAsia="宋体" w:cs="Arial"/>
                <w:color w:val="000000"/>
                <w:kern w:val="0"/>
                <w:sz w:val="24"/>
                <w:lang w:val="en-US" w:eastAsia="zh-CN"/>
              </w:rPr>
              <w:t>556</w:t>
            </w:r>
          </w:p>
        </w:tc>
        <w:tc>
          <w:tcPr>
            <w:tcW w:w="625" w:type="pct"/>
            <w:tcBorders>
              <w:top w:val="single" w:color="FFFFFF" w:sz="8" w:space="0"/>
              <w:left w:val="single" w:color="FFFFFF" w:sz="8" w:space="0"/>
              <w:bottom w:val="single" w:color="FFFFFF" w:sz="8" w:space="0"/>
              <w:right w:val="single" w:color="FFFFFF" w:sz="8" w:space="0"/>
            </w:tcBorders>
            <w:shd w:val="clear" w:color="auto" w:fill="D0D8E8"/>
            <w:noWrap w:val="0"/>
            <w:vAlign w:val="center"/>
          </w:tcPr>
          <w:p>
            <w:pPr>
              <w:spacing w:line="360" w:lineRule="auto"/>
              <w:jc w:val="center"/>
              <w:rPr>
                <w:rFonts w:hint="default" w:ascii="宋体" w:hAnsi="宋体" w:eastAsia="宋体" w:cs="宋体"/>
                <w:color w:val="000000"/>
                <w:sz w:val="24"/>
                <w:lang w:val="en-US" w:eastAsia="zh-CN"/>
              </w:rPr>
            </w:pPr>
            <w:r>
              <w:rPr>
                <w:rFonts w:hint="eastAsia" w:ascii="宋体" w:hAnsi="宋体" w:cs="宋体"/>
                <w:color w:val="000000"/>
                <w:sz w:val="24"/>
                <w:lang w:val="en-US" w:eastAsia="zh-CN"/>
              </w:rPr>
              <w:t>合肥市</w:t>
            </w:r>
          </w:p>
        </w:tc>
        <w:tc>
          <w:tcPr>
            <w:tcW w:w="773" w:type="pct"/>
            <w:tcBorders>
              <w:top w:val="single" w:color="FFFFFF" w:sz="8" w:space="0"/>
              <w:left w:val="single" w:color="FFFFFF" w:sz="8" w:space="0"/>
              <w:bottom w:val="single" w:color="FFFFFF" w:sz="8" w:space="0"/>
              <w:right w:val="single" w:color="FFFFFF" w:sz="8" w:space="0"/>
            </w:tcBorders>
            <w:shd w:val="clear" w:color="auto" w:fill="D0D8E8"/>
            <w:noWrap w:val="0"/>
            <w:vAlign w:val="center"/>
          </w:tcPr>
          <w:p>
            <w:pPr>
              <w:widowControl/>
              <w:spacing w:line="360" w:lineRule="auto"/>
              <w:jc w:val="center"/>
              <w:rPr>
                <w:rFonts w:hint="default" w:ascii="宋体" w:hAnsi="宋体" w:eastAsia="宋体" w:cs="宋体"/>
                <w:color w:val="000000"/>
                <w:kern w:val="0"/>
                <w:sz w:val="22"/>
                <w:szCs w:val="22"/>
                <w:lang w:val="en-US" w:eastAsia="zh-CN"/>
              </w:rPr>
            </w:pPr>
            <w:r>
              <w:rPr>
                <w:rFonts w:hint="eastAsia" w:ascii="宋体" w:hAnsi="宋体" w:cs="宋体"/>
                <w:color w:val="000000"/>
                <w:kern w:val="0"/>
                <w:sz w:val="22"/>
                <w:szCs w:val="22"/>
                <w:lang w:val="en-US" w:eastAsia="zh-CN"/>
              </w:rPr>
              <w:t>246</w:t>
            </w:r>
          </w:p>
        </w:tc>
        <w:tc>
          <w:tcPr>
            <w:tcW w:w="477" w:type="pct"/>
            <w:tcBorders>
              <w:top w:val="single" w:color="FFFFFF" w:sz="8" w:space="0"/>
              <w:left w:val="single" w:color="FFFFFF" w:sz="8" w:space="0"/>
              <w:bottom w:val="single" w:color="FFFFFF" w:sz="8" w:space="0"/>
              <w:right w:val="single" w:color="FFFFFF" w:sz="8" w:space="0"/>
            </w:tcBorders>
            <w:shd w:val="clear" w:color="auto" w:fill="D0D8E8"/>
            <w:noWrap w:val="0"/>
            <w:vAlign w:val="center"/>
          </w:tcPr>
          <w:p>
            <w:pPr>
              <w:widowControl/>
              <w:spacing w:line="360" w:lineRule="auto"/>
              <w:jc w:val="center"/>
              <w:rPr>
                <w:rFonts w:hint="default" w:ascii="宋体" w:hAnsi="宋体" w:eastAsia="宋体" w:cs="宋体"/>
                <w:color w:val="000000"/>
                <w:kern w:val="0"/>
                <w:sz w:val="21"/>
                <w:szCs w:val="21"/>
                <w:lang w:val="en-US" w:eastAsia="zh-CN"/>
              </w:rPr>
            </w:pPr>
            <w:r>
              <w:rPr>
                <w:rFonts w:hint="eastAsia" w:ascii="宋体" w:hAnsi="宋体" w:eastAsia="宋体" w:cs="宋体"/>
                <w:color w:val="FF0000"/>
                <w:kern w:val="0"/>
                <w:sz w:val="21"/>
                <w:szCs w:val="21"/>
                <w:lang w:val="en-US" w:eastAsia="zh-CN"/>
              </w:rPr>
              <w:t>44.24%</w:t>
            </w:r>
          </w:p>
        </w:tc>
        <w:tc>
          <w:tcPr>
            <w:tcW w:w="625" w:type="pct"/>
            <w:tcBorders>
              <w:top w:val="single" w:color="FFFFFF" w:sz="8" w:space="0"/>
              <w:left w:val="single" w:color="FFFFFF" w:sz="8" w:space="0"/>
              <w:bottom w:val="single" w:color="FFFFFF" w:sz="8" w:space="0"/>
              <w:right w:val="single" w:color="FFFFFF" w:sz="8" w:space="0"/>
            </w:tcBorders>
            <w:shd w:val="clear" w:color="auto" w:fill="D0D8E8"/>
            <w:noWrap w:val="0"/>
            <w:vAlign w:val="center"/>
          </w:tcPr>
          <w:p>
            <w:pPr>
              <w:widowControl/>
              <w:spacing w:line="360" w:lineRule="auto"/>
              <w:jc w:val="center"/>
              <w:rPr>
                <w:rFonts w:hint="default" w:ascii="宋体" w:hAnsi="宋体" w:cs="宋体"/>
                <w:color w:val="000000"/>
                <w:kern w:val="0"/>
                <w:sz w:val="22"/>
                <w:szCs w:val="22"/>
                <w:lang w:val="en-US" w:eastAsia="zh-CN"/>
              </w:rPr>
            </w:pPr>
            <w:r>
              <w:rPr>
                <w:rFonts w:hint="eastAsia" w:ascii="宋体" w:hAnsi="宋体" w:cs="宋体"/>
                <w:color w:val="000000"/>
                <w:kern w:val="0"/>
                <w:sz w:val="22"/>
                <w:szCs w:val="22"/>
                <w:lang w:val="en-US" w:eastAsia="zh-CN"/>
              </w:rPr>
              <w:t>安徽省</w:t>
            </w:r>
          </w:p>
        </w:tc>
        <w:tc>
          <w:tcPr>
            <w:tcW w:w="769" w:type="pct"/>
            <w:tcBorders>
              <w:top w:val="single" w:color="FFFFFF" w:sz="8" w:space="0"/>
              <w:left w:val="single" w:color="FFFFFF" w:sz="8" w:space="0"/>
              <w:bottom w:val="single" w:color="FFFFFF" w:sz="8" w:space="0"/>
              <w:right w:val="single" w:color="FFFFFF" w:sz="8" w:space="0"/>
            </w:tcBorders>
            <w:shd w:val="clear" w:color="auto" w:fill="D0D8E8"/>
            <w:noWrap w:val="0"/>
            <w:vAlign w:val="center"/>
          </w:tcPr>
          <w:p>
            <w:pPr>
              <w:widowControl/>
              <w:spacing w:line="360" w:lineRule="auto"/>
              <w:jc w:val="center"/>
              <w:rPr>
                <w:rFonts w:hint="default" w:ascii="宋体" w:hAnsi="宋体" w:eastAsia="宋体" w:cs="宋体"/>
                <w:color w:val="000000"/>
                <w:kern w:val="0"/>
                <w:sz w:val="22"/>
                <w:szCs w:val="22"/>
                <w:lang w:val="en-US" w:eastAsia="zh-CN"/>
              </w:rPr>
            </w:pPr>
            <w:r>
              <w:rPr>
                <w:rFonts w:hint="eastAsia" w:ascii="宋体" w:hAnsi="宋体" w:cs="宋体"/>
                <w:color w:val="000000"/>
                <w:kern w:val="0"/>
                <w:sz w:val="22"/>
                <w:szCs w:val="22"/>
                <w:lang w:val="en-US" w:eastAsia="zh-CN"/>
              </w:rPr>
              <w:t>374</w:t>
            </w:r>
          </w:p>
        </w:tc>
        <w:tc>
          <w:tcPr>
            <w:tcW w:w="481" w:type="pct"/>
            <w:tcBorders>
              <w:top w:val="single" w:color="FFFFFF" w:sz="8" w:space="0"/>
              <w:left w:val="single" w:color="FFFFFF" w:sz="8" w:space="0"/>
              <w:bottom w:val="single" w:color="FFFFFF" w:sz="8" w:space="0"/>
              <w:right w:val="single" w:color="FFFFFF" w:sz="8" w:space="0"/>
            </w:tcBorders>
            <w:shd w:val="clear" w:color="auto" w:fill="D0D8E8"/>
            <w:noWrap w:val="0"/>
            <w:vAlign w:val="center"/>
          </w:tcPr>
          <w:p>
            <w:pPr>
              <w:widowControl/>
              <w:spacing w:line="360" w:lineRule="auto"/>
              <w:jc w:val="center"/>
              <w:rPr>
                <w:rFonts w:hint="default" w:ascii="宋体" w:hAnsi="宋体" w:eastAsia="宋体" w:cs="宋体"/>
                <w:color w:val="FF0000"/>
                <w:kern w:val="0"/>
                <w:sz w:val="22"/>
                <w:szCs w:val="22"/>
                <w:lang w:val="en-US" w:eastAsia="zh-CN"/>
              </w:rPr>
            </w:pPr>
            <w:r>
              <w:rPr>
                <w:rFonts w:hint="eastAsia" w:ascii="宋体" w:hAnsi="宋体" w:eastAsia="宋体" w:cs="宋体"/>
                <w:color w:val="FF0000"/>
                <w:kern w:val="0"/>
                <w:sz w:val="22"/>
                <w:szCs w:val="22"/>
                <w:lang w:val="en-US" w:eastAsia="zh-CN"/>
              </w:rPr>
              <w:t>67.27%</w:t>
            </w:r>
          </w:p>
        </w:tc>
      </w:tr>
    </w:tbl>
    <w:p>
      <w:pPr>
        <w:numPr>
          <w:ilvl w:val="0"/>
          <w:numId w:val="7"/>
        </w:numPr>
        <w:spacing w:line="360" w:lineRule="auto"/>
        <w:rPr>
          <w:rFonts w:hint="eastAsia" w:ascii="宋体" w:hAnsi="宋体"/>
          <w:b/>
          <w:sz w:val="24"/>
        </w:rPr>
      </w:pPr>
      <w:r>
        <w:rPr>
          <w:rFonts w:hint="eastAsia" w:ascii="宋体" w:hAnsi="宋体"/>
          <w:b/>
          <w:sz w:val="24"/>
        </w:rPr>
        <w:t>专业就业分析</w:t>
      </w:r>
    </w:p>
    <w:p>
      <w:pPr>
        <w:spacing w:line="360" w:lineRule="auto"/>
        <w:jc w:val="center"/>
        <w:rPr>
          <w:rFonts w:hint="eastAsia" w:ascii="宋体" w:hAnsi="宋体" w:eastAsia="宋体"/>
          <w:color w:val="000000"/>
          <w:sz w:val="24"/>
          <w:lang w:eastAsia="zh-CN"/>
        </w:rPr>
      </w:pPr>
      <w:r>
        <w:rPr>
          <w:rFonts w:hint="eastAsia" w:ascii="宋体" w:hAnsi="宋体" w:eastAsia="宋体"/>
          <w:color w:val="000000"/>
          <w:sz w:val="24"/>
          <w:lang w:eastAsia="zh-CN"/>
        </w:rPr>
        <w:drawing>
          <wp:inline distT="0" distB="0" distL="114300" distR="114300">
            <wp:extent cx="4824095" cy="2628265"/>
            <wp:effectExtent l="0" t="0" r="1905" b="635"/>
            <wp:docPr id="104" name="图片 41" descr="图片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41" descr="图片12"/>
                    <pic:cNvPicPr>
                      <a:picLocks noChangeAspect="1"/>
                    </pic:cNvPicPr>
                  </pic:nvPicPr>
                  <pic:blipFill>
                    <a:blip r:embed="rId71"/>
                    <a:stretch>
                      <a:fillRect/>
                    </a:stretch>
                  </pic:blipFill>
                  <pic:spPr>
                    <a:xfrm>
                      <a:off x="0" y="0"/>
                      <a:ext cx="4824095" cy="2628265"/>
                    </a:xfrm>
                    <a:prstGeom prst="rect">
                      <a:avLst/>
                    </a:prstGeom>
                    <a:noFill/>
                    <a:ln>
                      <a:noFill/>
                    </a:ln>
                  </pic:spPr>
                </pic:pic>
              </a:graphicData>
            </a:graphic>
          </wp:inline>
        </w:drawing>
      </w:r>
    </w:p>
    <w:p>
      <w:pPr>
        <w:adjustRightInd w:val="0"/>
        <w:snapToGrid w:val="0"/>
        <w:spacing w:line="360" w:lineRule="auto"/>
        <w:jc w:val="right"/>
        <w:rPr>
          <w:rFonts w:hint="eastAsia" w:ascii="仿宋_GB2312" w:hAnsi="宋体" w:eastAsia="仿宋_GB2312" w:cs="Times New Roman"/>
          <w:b/>
          <w:sz w:val="18"/>
          <w:szCs w:val="18"/>
          <w:lang w:eastAsia="zh-CN"/>
        </w:rPr>
      </w:pPr>
      <w:r>
        <w:rPr>
          <w:rFonts w:hint="eastAsia" w:ascii="仿宋_GB2312" w:hAnsi="宋体" w:eastAsia="仿宋_GB2312" w:cs="Times New Roman"/>
          <w:b/>
          <w:sz w:val="18"/>
          <w:szCs w:val="18"/>
        </w:rPr>
        <w:t>（数据</w:t>
      </w:r>
      <w:r>
        <w:rPr>
          <w:rFonts w:hint="eastAsia" w:ascii="仿宋_GB2312" w:hAnsi="宋体" w:eastAsia="仿宋_GB2312" w:cs="Times New Roman"/>
          <w:b/>
          <w:sz w:val="18"/>
          <w:szCs w:val="18"/>
          <w:lang w:val="en-US" w:eastAsia="zh-CN"/>
        </w:rPr>
        <w:t>来源：</w:t>
      </w:r>
      <w:r>
        <w:rPr>
          <w:rFonts w:hint="eastAsia" w:ascii="仿宋_GB2312" w:hAnsi="宋体" w:eastAsia="仿宋_GB2312" w:cs="Times New Roman"/>
          <w:b/>
          <w:sz w:val="18"/>
          <w:szCs w:val="18"/>
        </w:rPr>
        <w:t>2021年</w:t>
      </w:r>
      <w:r>
        <w:rPr>
          <w:rFonts w:hint="eastAsia" w:ascii="仿宋_GB2312" w:hAnsi="宋体" w:eastAsia="仿宋_GB2312" w:cs="Times New Roman"/>
          <w:b/>
          <w:sz w:val="18"/>
          <w:szCs w:val="18"/>
          <w:lang w:val="en-US" w:eastAsia="zh-CN"/>
        </w:rPr>
        <w:t>9</w:t>
      </w:r>
      <w:r>
        <w:rPr>
          <w:rFonts w:hint="eastAsia" w:ascii="仿宋_GB2312" w:hAnsi="宋体" w:eastAsia="仿宋_GB2312" w:cs="Times New Roman"/>
          <w:b/>
          <w:sz w:val="18"/>
          <w:szCs w:val="18"/>
        </w:rPr>
        <w:t>月</w:t>
      </w:r>
      <w:r>
        <w:rPr>
          <w:rFonts w:hint="eastAsia" w:ascii="仿宋_GB2312" w:hAnsi="宋体" w:eastAsia="仿宋_GB2312" w:cs="Times New Roman"/>
          <w:b/>
          <w:sz w:val="18"/>
          <w:szCs w:val="18"/>
          <w:lang w:val="en-US" w:eastAsia="zh-CN"/>
        </w:rPr>
        <w:t>统计的</w:t>
      </w:r>
      <w:r>
        <w:rPr>
          <w:rFonts w:hint="eastAsia" w:ascii="仿宋_GB2312" w:hAnsi="宋体" w:eastAsia="仿宋_GB2312" w:cs="Times New Roman"/>
          <w:b/>
          <w:sz w:val="18"/>
          <w:szCs w:val="18"/>
        </w:rPr>
        <w:t>合肥学院2022届毕业生就业意向问卷调查情况）</w:t>
      </w:r>
    </w:p>
    <w:p>
      <w:pPr>
        <w:spacing w:line="360" w:lineRule="auto"/>
        <w:ind w:firstLine="360" w:firstLineChars="150"/>
        <w:rPr>
          <w:rFonts w:hint="eastAsia" w:ascii="宋体" w:hAnsi="宋体"/>
          <w:color w:val="000000"/>
          <w:sz w:val="24"/>
        </w:rPr>
      </w:pPr>
      <w:r>
        <w:rPr>
          <w:rFonts w:hint="eastAsia" w:ascii="宋体" w:hAnsi="宋体"/>
          <w:color w:val="000000"/>
          <w:sz w:val="24"/>
        </w:rPr>
        <w:t>截至目前，我院就业率为</w:t>
      </w:r>
      <w:r>
        <w:rPr>
          <w:rFonts w:hint="eastAsia" w:ascii="宋体" w:hAnsi="宋体"/>
          <w:color w:val="000000"/>
          <w:sz w:val="24"/>
          <w:lang w:val="en-US" w:eastAsia="zh-CN"/>
        </w:rPr>
        <w:t>90.11</w:t>
      </w:r>
      <w:r>
        <w:rPr>
          <w:rFonts w:ascii="宋体" w:hAnsi="宋体"/>
          <w:color w:val="000000"/>
          <w:sz w:val="24"/>
        </w:rPr>
        <w:t>%</w:t>
      </w:r>
      <w:r>
        <w:rPr>
          <w:rFonts w:hint="eastAsia" w:ascii="宋体" w:hAnsi="宋体"/>
          <w:color w:val="000000"/>
          <w:sz w:val="24"/>
        </w:rPr>
        <w:t>，</w:t>
      </w:r>
      <w:r>
        <w:rPr>
          <w:rFonts w:hint="eastAsia" w:ascii="宋体" w:hAnsi="宋体"/>
          <w:color w:val="000000"/>
          <w:sz w:val="24"/>
          <w:lang w:val="en-US" w:eastAsia="zh-CN"/>
        </w:rPr>
        <w:t>略微低于</w:t>
      </w:r>
      <w:r>
        <w:rPr>
          <w:rFonts w:hint="eastAsia" w:ascii="宋体" w:hAnsi="宋体"/>
          <w:color w:val="000000"/>
          <w:sz w:val="24"/>
        </w:rPr>
        <w:t>去年同期水平。常态化疫情</w:t>
      </w:r>
      <w:r>
        <w:rPr>
          <w:rFonts w:hint="eastAsia" w:ascii="宋体" w:hAnsi="宋体"/>
          <w:color w:val="000000"/>
          <w:sz w:val="24"/>
          <w:lang w:val="en-US" w:eastAsia="zh-CN"/>
        </w:rPr>
        <w:t>防控</w:t>
      </w:r>
      <w:r>
        <w:rPr>
          <w:rFonts w:hint="eastAsia" w:ascii="宋体" w:hAnsi="宋体"/>
          <w:color w:val="000000"/>
          <w:sz w:val="24"/>
        </w:rPr>
        <w:t>下，毕业生就业仍受很大的影响。学生慢就业现象严重，以考代就业成为了更多毕业生的选择。经济与管理学院是考研大户，</w:t>
      </w:r>
      <w:r>
        <w:rPr>
          <w:rFonts w:hint="eastAsia" w:ascii="宋体" w:hAnsi="宋体"/>
          <w:color w:val="000000"/>
          <w:sz w:val="24"/>
          <w:lang w:val="en-US" w:eastAsia="zh-CN"/>
        </w:rPr>
        <w:t>也</w:t>
      </w:r>
      <w:r>
        <w:rPr>
          <w:rFonts w:hint="eastAsia" w:ascii="宋体" w:hAnsi="宋体"/>
          <w:color w:val="000000"/>
          <w:sz w:val="24"/>
        </w:rPr>
        <w:t>是考公大户。自2020年</w:t>
      </w:r>
      <w:r>
        <w:rPr>
          <w:rFonts w:hint="eastAsia" w:ascii="宋体" w:hAnsi="宋体"/>
          <w:color w:val="000000"/>
          <w:sz w:val="24"/>
          <w:lang w:val="en-US" w:eastAsia="zh-CN"/>
        </w:rPr>
        <w:t>新冠肺炎</w:t>
      </w:r>
      <w:r>
        <w:rPr>
          <w:rFonts w:hint="eastAsia" w:ascii="宋体" w:hAnsi="宋体"/>
          <w:color w:val="000000"/>
          <w:sz w:val="24"/>
        </w:rPr>
        <w:t>疫情爆发以来，因受疫情影响，学生备考公务员、事业单位，完成整个招录过程，不确定因素多，时间周期变长。很多学生坚定备战，迟迟不就业，不找工作，错过了最佳就业时机。相当一部分有考公意向的毕业生因担心签订协议书</w:t>
      </w:r>
      <w:r>
        <w:rPr>
          <w:rFonts w:hint="eastAsia" w:ascii="宋体" w:hAnsi="宋体"/>
          <w:color w:val="000000"/>
          <w:sz w:val="24"/>
          <w:lang w:val="en-US" w:eastAsia="zh-CN"/>
        </w:rPr>
        <w:t>影响</w:t>
      </w:r>
      <w:r>
        <w:rPr>
          <w:rFonts w:hint="eastAsia" w:ascii="宋体" w:hAnsi="宋体"/>
          <w:color w:val="000000"/>
          <w:sz w:val="24"/>
        </w:rPr>
        <w:t>其应届毕业生身份，</w:t>
      </w:r>
      <w:r>
        <w:rPr>
          <w:rFonts w:hint="eastAsia" w:ascii="宋体" w:hAnsi="宋体"/>
          <w:color w:val="000000"/>
          <w:sz w:val="24"/>
          <w:lang w:val="en-US" w:eastAsia="zh-CN"/>
        </w:rPr>
        <w:t>报考、</w:t>
      </w:r>
      <w:r>
        <w:rPr>
          <w:rFonts w:hint="eastAsia" w:ascii="宋体" w:hAnsi="宋体"/>
          <w:color w:val="000000"/>
          <w:sz w:val="24"/>
        </w:rPr>
        <w:t>招录</w:t>
      </w:r>
      <w:r>
        <w:rPr>
          <w:rFonts w:hint="eastAsia" w:ascii="宋体" w:hAnsi="宋体"/>
          <w:color w:val="000000"/>
          <w:sz w:val="24"/>
          <w:lang w:val="en-US" w:eastAsia="zh-CN"/>
        </w:rPr>
        <w:t>可能受阻</w:t>
      </w:r>
      <w:r>
        <w:rPr>
          <w:rFonts w:hint="eastAsia" w:ascii="宋体" w:hAnsi="宋体"/>
          <w:color w:val="000000"/>
          <w:sz w:val="24"/>
        </w:rPr>
        <w:t>，甚至坚定不就业。在院系领导老师、毕业班辅导员与该部分学生家长沟通中发现家庭对学生就业意向</w:t>
      </w:r>
      <w:r>
        <w:rPr>
          <w:rFonts w:hint="eastAsia" w:ascii="宋体" w:hAnsi="宋体"/>
          <w:color w:val="000000"/>
          <w:sz w:val="24"/>
          <w:lang w:val="en-US" w:eastAsia="zh-CN"/>
        </w:rPr>
        <w:t>影响较大</w:t>
      </w:r>
      <w:r>
        <w:rPr>
          <w:rFonts w:hint="eastAsia" w:ascii="宋体" w:hAnsi="宋体"/>
          <w:color w:val="000000"/>
          <w:sz w:val="24"/>
        </w:rPr>
        <w:t>，少部分家长坚定孩子考试不就业的选择。国家经济形势依然严峻，企业行业竞争不断加大，毕业生以</w:t>
      </w:r>
      <w:r>
        <w:rPr>
          <w:rFonts w:hint="eastAsia" w:ascii="宋体" w:hAnsi="宋体"/>
          <w:color w:val="000000"/>
          <w:sz w:val="24"/>
          <w:lang w:val="en-US" w:eastAsia="zh-CN"/>
        </w:rPr>
        <w:t>考试</w:t>
      </w:r>
      <w:r>
        <w:rPr>
          <w:rFonts w:hint="eastAsia" w:ascii="宋体" w:hAnsi="宋体"/>
          <w:color w:val="000000"/>
          <w:sz w:val="24"/>
        </w:rPr>
        <w:t>代</w:t>
      </w:r>
      <w:r>
        <w:rPr>
          <w:rFonts w:hint="eastAsia" w:ascii="宋体" w:hAnsi="宋体"/>
          <w:color w:val="000000"/>
          <w:sz w:val="24"/>
          <w:lang w:val="en-US" w:eastAsia="zh-CN"/>
        </w:rPr>
        <w:t>就业</w:t>
      </w:r>
      <w:r>
        <w:rPr>
          <w:rFonts w:hint="eastAsia" w:ascii="宋体" w:hAnsi="宋体"/>
          <w:color w:val="000000"/>
          <w:sz w:val="24"/>
        </w:rPr>
        <w:t>更加坚定。现就经济与管理学院各个专业特点，进行详细的专业就业分析。</w:t>
      </w:r>
    </w:p>
    <w:p>
      <w:pPr>
        <w:spacing w:line="360" w:lineRule="auto"/>
        <w:ind w:firstLine="482" w:firstLineChars="200"/>
        <w:rPr>
          <w:rFonts w:hint="eastAsia" w:ascii="宋体" w:hAnsi="宋体"/>
          <w:b/>
          <w:color w:val="000000"/>
          <w:sz w:val="24"/>
        </w:rPr>
      </w:pPr>
      <w:r>
        <w:rPr>
          <w:rFonts w:hint="eastAsia" w:ascii="宋体" w:hAnsi="宋体"/>
          <w:b/>
          <w:color w:val="000000"/>
          <w:sz w:val="24"/>
        </w:rPr>
        <w:t>（一）经济学、金融学专业</w:t>
      </w:r>
    </w:p>
    <w:p>
      <w:pPr>
        <w:spacing w:line="360" w:lineRule="auto"/>
        <w:ind w:firstLine="480" w:firstLineChars="200"/>
        <w:rPr>
          <w:rFonts w:hint="default" w:ascii="宋体" w:hAnsi="宋体" w:eastAsia="宋体"/>
          <w:color w:val="000000"/>
          <w:sz w:val="24"/>
          <w:lang w:val="en-US" w:eastAsia="zh-CN"/>
        </w:rPr>
      </w:pPr>
      <w:r>
        <w:rPr>
          <w:rFonts w:hint="eastAsia" w:ascii="宋体" w:hAnsi="宋体"/>
          <w:color w:val="000000"/>
          <w:sz w:val="24"/>
        </w:rPr>
        <w:t>经济学毕业生</w:t>
      </w:r>
      <w:r>
        <w:rPr>
          <w:rFonts w:hint="eastAsia" w:ascii="宋体" w:hAnsi="宋体"/>
          <w:color w:val="000000"/>
          <w:sz w:val="24"/>
          <w:lang w:val="en-US" w:eastAsia="zh-CN"/>
        </w:rPr>
        <w:t>65</w:t>
      </w:r>
      <w:r>
        <w:rPr>
          <w:rFonts w:hint="eastAsia" w:ascii="宋体" w:hAnsi="宋体"/>
          <w:color w:val="000000"/>
          <w:sz w:val="24"/>
        </w:rPr>
        <w:t>人，考研意向</w:t>
      </w:r>
      <w:r>
        <w:rPr>
          <w:rFonts w:hint="eastAsia" w:ascii="宋体" w:hAnsi="宋体"/>
          <w:color w:val="000000"/>
          <w:sz w:val="24"/>
          <w:lang w:val="en-US" w:eastAsia="zh-CN"/>
        </w:rPr>
        <w:t>40</w:t>
      </w:r>
      <w:r>
        <w:rPr>
          <w:rFonts w:hint="eastAsia" w:ascii="宋体" w:hAnsi="宋体"/>
          <w:color w:val="000000"/>
          <w:sz w:val="24"/>
        </w:rPr>
        <w:t>人，考公</w:t>
      </w:r>
      <w:r>
        <w:rPr>
          <w:rFonts w:hint="eastAsia" w:ascii="宋体" w:hAnsi="宋体"/>
          <w:color w:val="000000"/>
          <w:sz w:val="24"/>
          <w:lang w:eastAsia="zh-CN"/>
        </w:rPr>
        <w:t>、</w:t>
      </w:r>
      <w:r>
        <w:rPr>
          <w:rFonts w:hint="eastAsia" w:ascii="宋体" w:hAnsi="宋体"/>
          <w:color w:val="000000"/>
          <w:sz w:val="24"/>
          <w:lang w:val="en-US" w:eastAsia="zh-CN"/>
        </w:rPr>
        <w:t>考编</w:t>
      </w:r>
      <w:r>
        <w:rPr>
          <w:rFonts w:hint="eastAsia" w:ascii="宋体" w:hAnsi="宋体"/>
          <w:color w:val="000000"/>
          <w:sz w:val="24"/>
        </w:rPr>
        <w:t>意向</w:t>
      </w:r>
      <w:r>
        <w:rPr>
          <w:rFonts w:hint="eastAsia" w:ascii="宋体" w:hAnsi="宋体"/>
          <w:color w:val="000000"/>
          <w:sz w:val="24"/>
          <w:lang w:val="en-US" w:eastAsia="zh-CN"/>
        </w:rPr>
        <w:t>22</w:t>
      </w:r>
      <w:r>
        <w:rPr>
          <w:rFonts w:hint="eastAsia" w:ascii="宋体" w:hAnsi="宋体"/>
          <w:color w:val="000000"/>
          <w:sz w:val="24"/>
        </w:rPr>
        <w:t>人，企业就业意向</w:t>
      </w:r>
      <w:r>
        <w:rPr>
          <w:rFonts w:hint="eastAsia" w:ascii="宋体" w:hAnsi="宋体"/>
          <w:color w:val="000000"/>
          <w:sz w:val="24"/>
          <w:lang w:val="en-US" w:eastAsia="zh-CN"/>
        </w:rPr>
        <w:t>3</w:t>
      </w:r>
      <w:r>
        <w:rPr>
          <w:rFonts w:hint="eastAsia" w:ascii="宋体" w:hAnsi="宋体"/>
          <w:color w:val="000000"/>
          <w:sz w:val="24"/>
        </w:rPr>
        <w:t>人。经济学3+1</w:t>
      </w:r>
      <w:r>
        <w:rPr>
          <w:rFonts w:hint="eastAsia" w:ascii="宋体" w:hAnsi="宋体"/>
          <w:color w:val="000000"/>
          <w:sz w:val="24"/>
          <w:lang w:val="en-US" w:eastAsia="zh-CN"/>
        </w:rPr>
        <w:t>专业</w:t>
      </w:r>
      <w:r>
        <w:rPr>
          <w:rFonts w:hint="eastAsia" w:ascii="宋体" w:hAnsi="宋体"/>
          <w:color w:val="000000"/>
          <w:sz w:val="24"/>
        </w:rPr>
        <w:t>毕业生</w:t>
      </w:r>
      <w:r>
        <w:rPr>
          <w:rFonts w:hint="eastAsia" w:ascii="宋体" w:hAnsi="宋体"/>
          <w:color w:val="000000"/>
          <w:sz w:val="24"/>
          <w:lang w:val="en-US" w:eastAsia="zh-CN"/>
        </w:rPr>
        <w:t>32</w:t>
      </w:r>
      <w:r>
        <w:rPr>
          <w:rFonts w:hint="eastAsia" w:ascii="宋体" w:hAnsi="宋体"/>
          <w:color w:val="000000"/>
          <w:sz w:val="24"/>
        </w:rPr>
        <w:t>人，考研意向</w:t>
      </w:r>
      <w:r>
        <w:rPr>
          <w:rFonts w:hint="eastAsia" w:ascii="宋体" w:hAnsi="宋体"/>
          <w:color w:val="000000"/>
          <w:sz w:val="24"/>
          <w:lang w:val="en-US" w:eastAsia="zh-CN"/>
        </w:rPr>
        <w:t>25</w:t>
      </w:r>
      <w:r>
        <w:rPr>
          <w:rFonts w:hint="eastAsia" w:ascii="宋体" w:hAnsi="宋体"/>
          <w:color w:val="000000"/>
          <w:sz w:val="24"/>
        </w:rPr>
        <w:t>人，考公</w:t>
      </w:r>
      <w:r>
        <w:rPr>
          <w:rFonts w:hint="eastAsia" w:ascii="宋体" w:hAnsi="宋体"/>
          <w:color w:val="000000"/>
          <w:sz w:val="24"/>
          <w:lang w:eastAsia="zh-CN"/>
        </w:rPr>
        <w:t>、</w:t>
      </w:r>
      <w:r>
        <w:rPr>
          <w:rFonts w:hint="eastAsia" w:ascii="宋体" w:hAnsi="宋体"/>
          <w:color w:val="000000"/>
          <w:sz w:val="24"/>
          <w:lang w:val="en-US" w:eastAsia="zh-CN"/>
        </w:rPr>
        <w:t>考编</w:t>
      </w:r>
      <w:r>
        <w:rPr>
          <w:rFonts w:hint="eastAsia" w:ascii="宋体" w:hAnsi="宋体"/>
          <w:color w:val="000000"/>
          <w:sz w:val="24"/>
        </w:rPr>
        <w:t>意向</w:t>
      </w:r>
      <w:r>
        <w:rPr>
          <w:rFonts w:hint="eastAsia" w:ascii="宋体" w:hAnsi="宋体"/>
          <w:color w:val="000000"/>
          <w:sz w:val="24"/>
          <w:lang w:val="en-US" w:eastAsia="zh-CN"/>
        </w:rPr>
        <w:t>3</w:t>
      </w:r>
      <w:r>
        <w:rPr>
          <w:rFonts w:hint="eastAsia" w:ascii="宋体" w:hAnsi="宋体"/>
          <w:color w:val="000000"/>
          <w:sz w:val="24"/>
        </w:rPr>
        <w:t>人，企业就业意向3人。金融学毕业生1</w:t>
      </w:r>
      <w:r>
        <w:rPr>
          <w:rFonts w:hint="eastAsia" w:ascii="宋体" w:hAnsi="宋体"/>
          <w:color w:val="000000"/>
          <w:sz w:val="24"/>
          <w:lang w:val="en-US" w:eastAsia="zh-CN"/>
        </w:rPr>
        <w:t>23</w:t>
      </w:r>
      <w:r>
        <w:rPr>
          <w:rFonts w:hint="eastAsia" w:ascii="宋体" w:hAnsi="宋体"/>
          <w:color w:val="000000"/>
          <w:sz w:val="24"/>
        </w:rPr>
        <w:t>人，考研意向</w:t>
      </w:r>
      <w:r>
        <w:rPr>
          <w:rFonts w:hint="eastAsia" w:ascii="宋体" w:hAnsi="宋体"/>
          <w:color w:val="000000"/>
          <w:sz w:val="24"/>
          <w:lang w:val="en-US" w:eastAsia="zh-CN"/>
        </w:rPr>
        <w:t>77</w:t>
      </w:r>
      <w:r>
        <w:rPr>
          <w:rFonts w:hint="eastAsia" w:ascii="宋体" w:hAnsi="宋体"/>
          <w:color w:val="000000"/>
          <w:sz w:val="24"/>
        </w:rPr>
        <w:t>人，考公</w:t>
      </w:r>
      <w:r>
        <w:rPr>
          <w:rFonts w:hint="eastAsia" w:ascii="宋体" w:hAnsi="宋体"/>
          <w:color w:val="000000"/>
          <w:sz w:val="24"/>
          <w:lang w:eastAsia="zh-CN"/>
        </w:rPr>
        <w:t>、</w:t>
      </w:r>
      <w:r>
        <w:rPr>
          <w:rFonts w:hint="eastAsia" w:ascii="宋体" w:hAnsi="宋体"/>
          <w:color w:val="000000"/>
          <w:sz w:val="24"/>
          <w:lang w:val="en-US" w:eastAsia="zh-CN"/>
        </w:rPr>
        <w:t>考编</w:t>
      </w:r>
      <w:r>
        <w:rPr>
          <w:rFonts w:hint="eastAsia" w:ascii="宋体" w:hAnsi="宋体"/>
          <w:color w:val="000000"/>
          <w:sz w:val="24"/>
        </w:rPr>
        <w:t>意向</w:t>
      </w:r>
      <w:r>
        <w:rPr>
          <w:rFonts w:hint="eastAsia" w:ascii="宋体" w:hAnsi="宋体"/>
          <w:color w:val="000000"/>
          <w:sz w:val="24"/>
          <w:lang w:val="en-US" w:eastAsia="zh-CN"/>
        </w:rPr>
        <w:t>35</w:t>
      </w:r>
      <w:r>
        <w:rPr>
          <w:rFonts w:hint="eastAsia" w:ascii="宋体" w:hAnsi="宋体"/>
          <w:color w:val="000000"/>
          <w:sz w:val="24"/>
        </w:rPr>
        <w:t>人，企业就业意向</w:t>
      </w:r>
      <w:r>
        <w:rPr>
          <w:rFonts w:hint="eastAsia" w:ascii="宋体" w:hAnsi="宋体"/>
          <w:color w:val="000000"/>
          <w:sz w:val="24"/>
          <w:lang w:val="en-US" w:eastAsia="zh-CN"/>
        </w:rPr>
        <w:t>9</w:t>
      </w:r>
      <w:r>
        <w:rPr>
          <w:rFonts w:hint="eastAsia" w:ascii="宋体" w:hAnsi="宋体"/>
          <w:color w:val="000000"/>
          <w:sz w:val="24"/>
        </w:rPr>
        <w:t>人。</w:t>
      </w:r>
    </w:p>
    <w:p>
      <w:pPr>
        <w:spacing w:line="360" w:lineRule="auto"/>
        <w:ind w:firstLine="480" w:firstLineChars="200"/>
        <w:rPr>
          <w:rFonts w:ascii="宋体" w:hAnsi="宋体"/>
          <w:color w:val="000000"/>
          <w:sz w:val="24"/>
          <w:highlight w:val="yellow"/>
        </w:rPr>
      </w:pPr>
      <w:r>
        <w:rPr>
          <w:rFonts w:hint="eastAsia" w:ascii="宋体" w:hAnsi="宋体"/>
          <w:color w:val="000000"/>
          <w:sz w:val="24"/>
          <w:highlight w:val="none"/>
        </w:rPr>
        <w:t>经济学毕业生</w:t>
      </w:r>
      <w:r>
        <w:rPr>
          <w:rFonts w:hint="eastAsia" w:ascii="宋体" w:hAnsi="宋体"/>
          <w:color w:val="000000"/>
          <w:sz w:val="24"/>
          <w:highlight w:val="none"/>
          <w:lang w:val="en-US" w:eastAsia="zh-CN"/>
        </w:rPr>
        <w:t>44</w:t>
      </w:r>
      <w:r>
        <w:rPr>
          <w:rFonts w:hint="eastAsia" w:ascii="宋体" w:hAnsi="宋体"/>
          <w:color w:val="000000"/>
          <w:sz w:val="24"/>
          <w:highlight w:val="none"/>
        </w:rPr>
        <w:t>人企业就业，</w:t>
      </w:r>
      <w:r>
        <w:rPr>
          <w:rFonts w:hint="eastAsia" w:ascii="宋体" w:hAnsi="宋体"/>
          <w:color w:val="000000"/>
          <w:sz w:val="24"/>
          <w:highlight w:val="none"/>
          <w:lang w:val="en-US" w:eastAsia="zh-CN"/>
        </w:rPr>
        <w:t>4</w:t>
      </w:r>
      <w:r>
        <w:rPr>
          <w:rFonts w:hint="eastAsia" w:ascii="宋体" w:hAnsi="宋体"/>
          <w:color w:val="000000"/>
          <w:sz w:val="24"/>
          <w:highlight w:val="none"/>
        </w:rPr>
        <w:t>人银行就业（</w:t>
      </w:r>
      <w:r>
        <w:rPr>
          <w:rFonts w:hint="eastAsia" w:ascii="宋体" w:hAnsi="宋体"/>
          <w:color w:val="000000"/>
          <w:sz w:val="24"/>
          <w:highlight w:val="none"/>
          <w:lang w:val="en-US" w:eastAsia="zh-CN"/>
        </w:rPr>
        <w:t>5</w:t>
      </w:r>
      <w:r>
        <w:rPr>
          <w:rFonts w:hint="eastAsia" w:ascii="宋体" w:hAnsi="宋体"/>
          <w:color w:val="000000"/>
          <w:sz w:val="24"/>
          <w:highlight w:val="none"/>
        </w:rPr>
        <w:t>人金融行业就业）</w:t>
      </w:r>
      <w:r>
        <w:rPr>
          <w:rFonts w:hint="eastAsia" w:ascii="宋体" w:hAnsi="宋体"/>
          <w:color w:val="000000"/>
          <w:sz w:val="24"/>
          <w:highlight w:val="none"/>
          <w:lang w:eastAsia="zh-CN"/>
        </w:rPr>
        <w:t>，</w:t>
      </w:r>
      <w:r>
        <w:rPr>
          <w:rFonts w:hint="eastAsia" w:ascii="宋体" w:hAnsi="宋体"/>
          <w:color w:val="000000"/>
          <w:sz w:val="24"/>
          <w:highlight w:val="none"/>
          <w:lang w:val="en-US" w:eastAsia="zh-CN"/>
        </w:rPr>
        <w:t>14人从事专业对口工作</w:t>
      </w:r>
      <w:r>
        <w:rPr>
          <w:rFonts w:hint="eastAsia" w:ascii="宋体" w:hAnsi="宋体"/>
          <w:color w:val="000000"/>
          <w:sz w:val="24"/>
          <w:highlight w:val="none"/>
        </w:rPr>
        <w:t>。经济学（3+1）</w:t>
      </w:r>
      <w:r>
        <w:rPr>
          <w:rFonts w:hint="eastAsia" w:ascii="宋体" w:hAnsi="宋体"/>
          <w:color w:val="000000"/>
          <w:sz w:val="24"/>
          <w:highlight w:val="none"/>
          <w:lang w:val="en-US" w:eastAsia="zh-CN"/>
        </w:rPr>
        <w:t>专业20</w:t>
      </w:r>
      <w:r>
        <w:rPr>
          <w:rFonts w:hint="eastAsia" w:ascii="宋体" w:hAnsi="宋体"/>
          <w:color w:val="000000"/>
          <w:sz w:val="24"/>
          <w:highlight w:val="none"/>
        </w:rPr>
        <w:t>人企业就业，</w:t>
      </w:r>
      <w:r>
        <w:rPr>
          <w:rFonts w:hint="eastAsia" w:ascii="宋体" w:hAnsi="宋体"/>
          <w:color w:val="000000"/>
          <w:sz w:val="24"/>
          <w:highlight w:val="none"/>
          <w:lang w:val="en-US" w:eastAsia="zh-CN"/>
        </w:rPr>
        <w:t>4</w:t>
      </w:r>
      <w:r>
        <w:rPr>
          <w:rFonts w:hint="eastAsia" w:ascii="宋体" w:hAnsi="宋体"/>
          <w:color w:val="000000"/>
          <w:sz w:val="24"/>
          <w:highlight w:val="none"/>
        </w:rPr>
        <w:t>人金融行业就业。金融学毕业生</w:t>
      </w:r>
      <w:r>
        <w:rPr>
          <w:rFonts w:hint="eastAsia" w:ascii="宋体" w:hAnsi="宋体"/>
          <w:color w:val="000000"/>
          <w:sz w:val="24"/>
          <w:highlight w:val="none"/>
          <w:lang w:val="en-US" w:eastAsia="zh-CN"/>
        </w:rPr>
        <w:t>83</w:t>
      </w:r>
      <w:r>
        <w:rPr>
          <w:rFonts w:hint="eastAsia" w:ascii="宋体" w:hAnsi="宋体"/>
          <w:color w:val="000000"/>
          <w:sz w:val="24"/>
          <w:highlight w:val="none"/>
        </w:rPr>
        <w:t>人企业就业，</w:t>
      </w:r>
      <w:r>
        <w:rPr>
          <w:rFonts w:hint="eastAsia" w:ascii="宋体" w:hAnsi="宋体"/>
          <w:color w:val="000000"/>
          <w:sz w:val="24"/>
          <w:highlight w:val="none"/>
          <w:lang w:val="en-US" w:eastAsia="zh-CN"/>
        </w:rPr>
        <w:t>5</w:t>
      </w:r>
      <w:r>
        <w:rPr>
          <w:rFonts w:hint="eastAsia" w:ascii="宋体" w:hAnsi="宋体"/>
          <w:color w:val="000000"/>
          <w:sz w:val="24"/>
          <w:highlight w:val="none"/>
        </w:rPr>
        <w:t>人银行就业（</w:t>
      </w:r>
      <w:r>
        <w:rPr>
          <w:rFonts w:hint="eastAsia" w:ascii="宋体" w:hAnsi="宋体"/>
          <w:color w:val="000000"/>
          <w:sz w:val="24"/>
          <w:highlight w:val="none"/>
          <w:lang w:val="en-US" w:eastAsia="zh-CN"/>
        </w:rPr>
        <w:t>12</w:t>
      </w:r>
      <w:r>
        <w:rPr>
          <w:rFonts w:hint="eastAsia" w:ascii="宋体" w:hAnsi="宋体"/>
          <w:color w:val="000000"/>
          <w:sz w:val="24"/>
          <w:highlight w:val="none"/>
        </w:rPr>
        <w:t>人金融行业就业）</w:t>
      </w:r>
      <w:r>
        <w:rPr>
          <w:rFonts w:hint="eastAsia" w:ascii="宋体" w:hAnsi="宋体"/>
          <w:color w:val="000000"/>
          <w:sz w:val="24"/>
          <w:highlight w:val="none"/>
          <w:lang w:eastAsia="zh-CN"/>
        </w:rPr>
        <w:t>。</w:t>
      </w:r>
      <w:r>
        <w:rPr>
          <w:rFonts w:hint="eastAsia" w:ascii="宋体" w:hAnsi="宋体"/>
          <w:color w:val="000000"/>
          <w:sz w:val="24"/>
          <w:highlight w:val="none"/>
          <w:lang w:val="en-US" w:eastAsia="zh-CN"/>
        </w:rPr>
        <w:t>10人从事专业对口工作</w:t>
      </w:r>
      <w:r>
        <w:rPr>
          <w:rFonts w:hint="eastAsia" w:ascii="宋体" w:hAnsi="宋体"/>
          <w:color w:val="000000"/>
          <w:sz w:val="24"/>
          <w:highlight w:val="none"/>
        </w:rPr>
        <w:t>。</w:t>
      </w:r>
    </w:p>
    <w:p>
      <w:pPr>
        <w:spacing w:line="360" w:lineRule="auto"/>
        <w:ind w:firstLine="480" w:firstLineChars="200"/>
        <w:rPr>
          <w:rFonts w:hint="default" w:ascii="宋体" w:hAnsi="宋体" w:eastAsia="宋体"/>
          <w:color w:val="000000"/>
          <w:sz w:val="24"/>
          <w:highlight w:val="yellow"/>
          <w:lang w:val="en-US" w:eastAsia="zh-CN"/>
        </w:rPr>
      </w:pPr>
      <w:r>
        <w:rPr>
          <w:rFonts w:hint="eastAsia" w:ascii="宋体" w:hAnsi="宋体"/>
          <w:color w:val="000000"/>
          <w:sz w:val="24"/>
          <w:highlight w:val="none"/>
        </w:rPr>
        <w:t>经济学、金融学专业毕业生对口就业难度大，比例低</w:t>
      </w:r>
      <w:r>
        <w:rPr>
          <w:rFonts w:hint="eastAsia" w:ascii="宋体" w:hAnsi="宋体"/>
          <w:color w:val="000000"/>
          <w:sz w:val="24"/>
          <w:highlight w:val="none"/>
          <w:lang w:eastAsia="zh-CN"/>
        </w:rPr>
        <w:t>，</w:t>
      </w:r>
      <w:r>
        <w:rPr>
          <w:rFonts w:hint="eastAsia" w:ascii="宋体" w:hAnsi="宋体"/>
          <w:color w:val="000000"/>
          <w:sz w:val="24"/>
          <w:highlight w:val="none"/>
          <w:lang w:val="en-US" w:eastAsia="zh-CN"/>
        </w:rPr>
        <w:t>银行就业人数明显低于去年</w:t>
      </w:r>
      <w:r>
        <w:rPr>
          <w:rFonts w:hint="eastAsia" w:ascii="宋体" w:hAnsi="宋体"/>
          <w:color w:val="000000"/>
          <w:sz w:val="24"/>
          <w:highlight w:val="none"/>
        </w:rPr>
        <w:t>。经济学专业相比金融学专业，学生考研、考公意向更加明显，学生专业对口就业意向强烈，就业结构性矛盾突出。</w:t>
      </w:r>
      <w:r>
        <w:rPr>
          <w:rFonts w:hint="eastAsia" w:ascii="宋体" w:hAnsi="宋体"/>
          <w:color w:val="000000"/>
          <w:sz w:val="24"/>
          <w:highlight w:val="none"/>
          <w:lang w:val="en-US" w:eastAsia="zh-CN"/>
        </w:rPr>
        <w:t>经济学3+1专业出国、出境人数占比大，就业结构性矛盾较小。</w:t>
      </w:r>
    </w:p>
    <w:p>
      <w:pPr>
        <w:spacing w:line="360" w:lineRule="auto"/>
        <w:ind w:firstLine="482" w:firstLineChars="200"/>
        <w:rPr>
          <w:rFonts w:hint="eastAsia" w:ascii="宋体" w:hAnsi="宋体"/>
          <w:b/>
          <w:color w:val="000000"/>
          <w:sz w:val="24"/>
        </w:rPr>
      </w:pPr>
      <w:r>
        <w:rPr>
          <w:rFonts w:hint="eastAsia" w:ascii="宋体" w:hAnsi="宋体"/>
          <w:b/>
          <w:color w:val="000000"/>
          <w:sz w:val="24"/>
        </w:rPr>
        <w:t>（二）国际经济与贸易专业</w:t>
      </w:r>
    </w:p>
    <w:p>
      <w:pPr>
        <w:spacing w:line="360" w:lineRule="auto"/>
        <w:ind w:firstLine="480" w:firstLineChars="200"/>
        <w:rPr>
          <w:rFonts w:hint="default" w:ascii="宋体" w:hAnsi="宋体" w:eastAsia="宋体"/>
          <w:color w:val="000000"/>
          <w:sz w:val="24"/>
          <w:highlight w:val="yellow"/>
          <w:lang w:val="en-US" w:eastAsia="zh-CN"/>
        </w:rPr>
      </w:pPr>
      <w:r>
        <w:rPr>
          <w:rFonts w:hint="eastAsia" w:ascii="宋体" w:hAnsi="宋体"/>
          <w:color w:val="000000"/>
          <w:sz w:val="24"/>
        </w:rPr>
        <w:t>国际经济与贸易毕业生</w:t>
      </w:r>
      <w:r>
        <w:rPr>
          <w:rFonts w:hint="eastAsia" w:ascii="宋体" w:hAnsi="宋体"/>
          <w:color w:val="000000"/>
          <w:sz w:val="24"/>
          <w:lang w:val="en-US" w:eastAsia="zh-CN"/>
        </w:rPr>
        <w:t>71</w:t>
      </w:r>
      <w:r>
        <w:rPr>
          <w:rFonts w:hint="eastAsia" w:ascii="宋体" w:hAnsi="宋体"/>
          <w:color w:val="000000"/>
          <w:sz w:val="24"/>
        </w:rPr>
        <w:t>人，考研意向</w:t>
      </w:r>
      <w:r>
        <w:rPr>
          <w:rFonts w:hint="eastAsia" w:ascii="宋体" w:hAnsi="宋体"/>
          <w:color w:val="000000"/>
          <w:sz w:val="24"/>
          <w:lang w:val="en-US" w:eastAsia="zh-CN"/>
        </w:rPr>
        <w:t>28</w:t>
      </w:r>
      <w:r>
        <w:rPr>
          <w:rFonts w:hint="eastAsia" w:ascii="宋体" w:hAnsi="宋体"/>
          <w:color w:val="000000"/>
          <w:sz w:val="24"/>
        </w:rPr>
        <w:t>人，考公</w:t>
      </w:r>
      <w:r>
        <w:rPr>
          <w:rFonts w:hint="eastAsia" w:ascii="宋体" w:hAnsi="宋体"/>
          <w:color w:val="000000"/>
          <w:sz w:val="24"/>
          <w:lang w:eastAsia="zh-CN"/>
        </w:rPr>
        <w:t>、</w:t>
      </w:r>
      <w:r>
        <w:rPr>
          <w:rFonts w:hint="eastAsia" w:ascii="宋体" w:hAnsi="宋体"/>
          <w:color w:val="000000"/>
          <w:sz w:val="24"/>
          <w:lang w:val="en-US" w:eastAsia="zh-CN"/>
        </w:rPr>
        <w:t>考编</w:t>
      </w:r>
      <w:r>
        <w:rPr>
          <w:rFonts w:hint="eastAsia" w:ascii="宋体" w:hAnsi="宋体"/>
          <w:color w:val="000000"/>
          <w:sz w:val="24"/>
        </w:rPr>
        <w:t>意向</w:t>
      </w:r>
      <w:r>
        <w:rPr>
          <w:rFonts w:hint="eastAsia" w:ascii="宋体" w:hAnsi="宋体"/>
          <w:color w:val="000000"/>
          <w:sz w:val="24"/>
          <w:lang w:val="en-US" w:eastAsia="zh-CN"/>
        </w:rPr>
        <w:t>25</w:t>
      </w:r>
      <w:r>
        <w:rPr>
          <w:rFonts w:hint="eastAsia" w:ascii="宋体" w:hAnsi="宋体"/>
          <w:color w:val="000000"/>
          <w:sz w:val="24"/>
        </w:rPr>
        <w:t>人，企业就业意向</w:t>
      </w:r>
      <w:r>
        <w:rPr>
          <w:rFonts w:hint="eastAsia" w:ascii="宋体" w:hAnsi="宋体"/>
          <w:color w:val="000000"/>
          <w:sz w:val="24"/>
          <w:lang w:val="en-US" w:eastAsia="zh-CN"/>
        </w:rPr>
        <w:t>16</w:t>
      </w:r>
      <w:r>
        <w:rPr>
          <w:rFonts w:hint="eastAsia" w:ascii="宋体" w:hAnsi="宋体"/>
          <w:color w:val="000000"/>
          <w:sz w:val="24"/>
        </w:rPr>
        <w:t>人。</w:t>
      </w:r>
      <w:r>
        <w:rPr>
          <w:rFonts w:hint="eastAsia" w:ascii="宋体" w:hAnsi="宋体"/>
          <w:color w:val="000000"/>
          <w:sz w:val="24"/>
          <w:highlight w:val="none"/>
        </w:rPr>
        <w:t>国贸专业毕业生</w:t>
      </w:r>
      <w:r>
        <w:rPr>
          <w:rFonts w:hint="eastAsia" w:ascii="宋体" w:hAnsi="宋体"/>
          <w:color w:val="000000"/>
          <w:sz w:val="24"/>
          <w:highlight w:val="none"/>
          <w:lang w:val="en-US" w:eastAsia="zh-CN"/>
        </w:rPr>
        <w:t>57</w:t>
      </w:r>
      <w:r>
        <w:rPr>
          <w:rFonts w:hint="eastAsia" w:ascii="宋体" w:hAnsi="宋体"/>
          <w:color w:val="000000"/>
          <w:sz w:val="24"/>
          <w:highlight w:val="none"/>
        </w:rPr>
        <w:t>人企业就业，</w:t>
      </w:r>
      <w:r>
        <w:rPr>
          <w:rFonts w:hint="eastAsia" w:ascii="宋体" w:hAnsi="宋体"/>
          <w:color w:val="000000"/>
          <w:sz w:val="24"/>
          <w:highlight w:val="none"/>
          <w:lang w:val="en-US" w:eastAsia="zh-CN"/>
        </w:rPr>
        <w:t>1人银行就业（2</w:t>
      </w:r>
      <w:r>
        <w:rPr>
          <w:rFonts w:hint="eastAsia" w:ascii="宋体" w:hAnsi="宋体"/>
          <w:color w:val="000000"/>
          <w:sz w:val="24"/>
          <w:highlight w:val="none"/>
        </w:rPr>
        <w:t>人金融行业就业</w:t>
      </w:r>
      <w:r>
        <w:rPr>
          <w:rFonts w:hint="eastAsia" w:ascii="宋体" w:hAnsi="宋体"/>
          <w:color w:val="000000"/>
          <w:sz w:val="24"/>
          <w:highlight w:val="none"/>
          <w:lang w:eastAsia="zh-CN"/>
        </w:rPr>
        <w:t>）</w:t>
      </w:r>
      <w:r>
        <w:rPr>
          <w:rFonts w:hint="eastAsia" w:ascii="宋体" w:hAnsi="宋体"/>
          <w:color w:val="000000"/>
          <w:sz w:val="24"/>
          <w:highlight w:val="none"/>
        </w:rPr>
        <w:t>，</w:t>
      </w:r>
      <w:r>
        <w:rPr>
          <w:rFonts w:hint="eastAsia" w:ascii="宋体" w:hAnsi="宋体"/>
          <w:color w:val="000000"/>
          <w:sz w:val="24"/>
          <w:highlight w:val="none"/>
          <w:lang w:val="en-US" w:eastAsia="zh-CN"/>
        </w:rPr>
        <w:t>16</w:t>
      </w:r>
      <w:r>
        <w:rPr>
          <w:rFonts w:hint="eastAsia" w:ascii="宋体" w:hAnsi="宋体"/>
          <w:color w:val="000000"/>
          <w:sz w:val="24"/>
          <w:highlight w:val="none"/>
        </w:rPr>
        <w:t>人从事专业对口工作。学生考公意向强烈</w:t>
      </w:r>
      <w:r>
        <w:rPr>
          <w:rFonts w:hint="eastAsia" w:ascii="宋体" w:hAnsi="宋体"/>
          <w:color w:val="000000"/>
          <w:sz w:val="24"/>
          <w:highlight w:val="none"/>
          <w:lang w:eastAsia="zh-CN"/>
        </w:rPr>
        <w:t>，</w:t>
      </w:r>
      <w:r>
        <w:rPr>
          <w:rFonts w:hint="eastAsia" w:ascii="宋体" w:hAnsi="宋体"/>
          <w:color w:val="000000"/>
          <w:sz w:val="24"/>
          <w:highlight w:val="none"/>
          <w:lang w:val="en-US" w:eastAsia="zh-CN"/>
        </w:rPr>
        <w:t>就业意向较为明确</w:t>
      </w:r>
      <w:r>
        <w:rPr>
          <w:rFonts w:hint="eastAsia" w:ascii="宋体" w:hAnsi="宋体"/>
          <w:color w:val="000000"/>
          <w:sz w:val="24"/>
          <w:highlight w:val="none"/>
        </w:rPr>
        <w:t>。学生专业对口就业度较</w:t>
      </w:r>
      <w:r>
        <w:rPr>
          <w:rFonts w:hint="eastAsia" w:ascii="宋体" w:hAnsi="宋体"/>
          <w:color w:val="000000"/>
          <w:sz w:val="24"/>
          <w:highlight w:val="none"/>
          <w:lang w:val="en-US" w:eastAsia="zh-CN"/>
        </w:rPr>
        <w:t>低</w:t>
      </w:r>
      <w:r>
        <w:rPr>
          <w:rFonts w:hint="eastAsia" w:ascii="宋体" w:hAnsi="宋体"/>
          <w:color w:val="000000"/>
          <w:sz w:val="24"/>
          <w:highlight w:val="none"/>
        </w:rPr>
        <w:t>。部分企业岗位要求外派出国，女生占比较高的国际经济与贸易专业无论是个人意向度上还是岗位招聘倾向度上意向均较低，存在就业结构性矛盾。</w:t>
      </w:r>
      <w:r>
        <w:rPr>
          <w:rFonts w:hint="eastAsia" w:ascii="宋体" w:hAnsi="宋体"/>
          <w:color w:val="000000"/>
          <w:sz w:val="24"/>
          <w:highlight w:val="none"/>
          <w:lang w:eastAsia="zh-CN"/>
        </w:rPr>
        <w:t>（</w:t>
      </w:r>
      <w:r>
        <w:rPr>
          <w:rFonts w:hint="eastAsia" w:ascii="宋体" w:hAnsi="宋体"/>
          <w:color w:val="000000"/>
          <w:sz w:val="24"/>
          <w:highlight w:val="none"/>
          <w:lang w:val="en-US" w:eastAsia="zh-CN"/>
        </w:rPr>
        <w:t>全院毕业生617人，其中，女性406人，女性占比65.80%。国贸专业毕业生71人，其中，女性51人，女性占比71.89%</w:t>
      </w:r>
      <w:r>
        <w:rPr>
          <w:rFonts w:hint="eastAsia" w:ascii="宋体" w:hAnsi="宋体"/>
          <w:color w:val="000000"/>
          <w:sz w:val="24"/>
          <w:highlight w:val="none"/>
          <w:lang w:eastAsia="zh-CN"/>
        </w:rPr>
        <w:t>）</w:t>
      </w:r>
      <w:r>
        <w:rPr>
          <w:rFonts w:hint="eastAsia" w:ascii="宋体" w:hAnsi="宋体"/>
          <w:color w:val="000000"/>
          <w:sz w:val="24"/>
          <w:highlight w:val="none"/>
          <w:lang w:val="en-US" w:eastAsia="zh-CN"/>
        </w:rPr>
        <w:t>如：奇瑞汽车股份有限公司招录的5名毕业生（其中，国贸专业学生2名）均为男性。</w:t>
      </w:r>
    </w:p>
    <w:p>
      <w:pPr>
        <w:numPr>
          <w:ilvl w:val="0"/>
          <w:numId w:val="8"/>
        </w:numPr>
        <w:spacing w:line="360" w:lineRule="auto"/>
        <w:ind w:firstLine="482" w:firstLineChars="200"/>
        <w:rPr>
          <w:rFonts w:hint="eastAsia" w:ascii="宋体" w:hAnsi="宋体"/>
          <w:b/>
          <w:color w:val="000000"/>
          <w:sz w:val="24"/>
        </w:rPr>
      </w:pPr>
      <w:r>
        <w:rPr>
          <w:rFonts w:hint="eastAsia" w:ascii="宋体" w:hAnsi="宋体"/>
          <w:b/>
          <w:color w:val="000000"/>
          <w:sz w:val="24"/>
          <w:lang w:val="en-US" w:eastAsia="zh-CN"/>
        </w:rPr>
        <w:t>经济工程</w:t>
      </w:r>
      <w:r>
        <w:rPr>
          <w:rFonts w:hint="eastAsia" w:ascii="宋体" w:hAnsi="宋体"/>
          <w:b/>
          <w:color w:val="000000"/>
          <w:sz w:val="24"/>
        </w:rPr>
        <w:t>专业</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宋体" w:hAnsi="宋体"/>
          <w:b/>
          <w:color w:val="000000"/>
          <w:sz w:val="24"/>
          <w:lang w:val="en-US"/>
        </w:rPr>
      </w:pPr>
      <w:r>
        <w:rPr>
          <w:rFonts w:hint="eastAsia" w:ascii="宋体" w:hAnsi="宋体"/>
          <w:color w:val="000000"/>
          <w:sz w:val="24"/>
          <w:lang w:val="en-US" w:eastAsia="zh-CN"/>
        </w:rPr>
        <w:t>经济工程专业毕业生34人，考研意向16人，考公、考编意向14人，企业就业意向3人。经济工程专业毕业生25人企业就业，2人银行就业（3人金融行业就业），9人从事专业相关工作。2022届经济工程专业学生是该专业第一届毕业生，学生择业目标不明确。加之，专业面窄，就业市场不了解，导致专业方向、就业岗位难以匹配，就业专业对口度不高。</w:t>
      </w:r>
    </w:p>
    <w:p>
      <w:pPr>
        <w:spacing w:line="360" w:lineRule="auto"/>
        <w:ind w:firstLine="482" w:firstLineChars="200"/>
        <w:rPr>
          <w:rFonts w:hint="eastAsia" w:ascii="宋体" w:hAnsi="宋体"/>
          <w:b/>
          <w:color w:val="000000"/>
          <w:sz w:val="24"/>
        </w:rPr>
      </w:pPr>
      <w:r>
        <w:rPr>
          <w:rFonts w:hint="eastAsia" w:ascii="宋体" w:hAnsi="宋体"/>
          <w:b/>
          <w:color w:val="000000"/>
          <w:sz w:val="24"/>
        </w:rPr>
        <w:t>（</w:t>
      </w:r>
      <w:r>
        <w:rPr>
          <w:rFonts w:hint="eastAsia" w:ascii="宋体" w:hAnsi="宋体"/>
          <w:b/>
          <w:color w:val="000000"/>
          <w:sz w:val="24"/>
          <w:lang w:val="en-US" w:eastAsia="zh-CN"/>
        </w:rPr>
        <w:t>四</w:t>
      </w:r>
      <w:r>
        <w:rPr>
          <w:rFonts w:hint="eastAsia" w:ascii="宋体" w:hAnsi="宋体"/>
          <w:b/>
          <w:color w:val="000000"/>
          <w:sz w:val="24"/>
        </w:rPr>
        <w:t>）财务管理、会计学专业</w:t>
      </w:r>
    </w:p>
    <w:p>
      <w:pPr>
        <w:spacing w:line="360" w:lineRule="auto"/>
        <w:ind w:firstLine="480" w:firstLineChars="200"/>
        <w:rPr>
          <w:rFonts w:hint="eastAsia" w:ascii="宋体" w:hAnsi="宋体" w:eastAsia="宋体"/>
          <w:color w:val="000000"/>
          <w:sz w:val="24"/>
          <w:lang w:val="en-US" w:eastAsia="zh-CN"/>
        </w:rPr>
      </w:pPr>
      <w:r>
        <w:rPr>
          <w:rFonts w:hint="eastAsia" w:ascii="宋体" w:hAnsi="宋体"/>
          <w:color w:val="000000"/>
          <w:sz w:val="24"/>
        </w:rPr>
        <w:t>财务管理毕业生</w:t>
      </w:r>
      <w:r>
        <w:rPr>
          <w:rFonts w:hint="eastAsia" w:ascii="宋体" w:hAnsi="宋体"/>
          <w:color w:val="000000"/>
          <w:sz w:val="24"/>
          <w:lang w:val="en-US" w:eastAsia="zh-CN"/>
        </w:rPr>
        <w:t>41</w:t>
      </w:r>
      <w:r>
        <w:rPr>
          <w:rFonts w:hint="eastAsia" w:ascii="宋体" w:hAnsi="宋体"/>
          <w:color w:val="000000"/>
          <w:sz w:val="24"/>
        </w:rPr>
        <w:t>人，考研意向</w:t>
      </w:r>
      <w:r>
        <w:rPr>
          <w:rFonts w:hint="eastAsia" w:ascii="宋体" w:hAnsi="宋体"/>
          <w:color w:val="000000"/>
          <w:sz w:val="24"/>
          <w:lang w:val="en-US" w:eastAsia="zh-CN"/>
        </w:rPr>
        <w:t>26</w:t>
      </w:r>
      <w:r>
        <w:rPr>
          <w:rFonts w:hint="eastAsia" w:ascii="宋体" w:hAnsi="宋体"/>
          <w:color w:val="000000"/>
          <w:sz w:val="24"/>
        </w:rPr>
        <w:t>人，考公</w:t>
      </w:r>
      <w:r>
        <w:rPr>
          <w:rFonts w:hint="eastAsia" w:ascii="宋体" w:hAnsi="宋体"/>
          <w:color w:val="000000"/>
          <w:sz w:val="24"/>
          <w:lang w:eastAsia="zh-CN"/>
        </w:rPr>
        <w:t>、</w:t>
      </w:r>
      <w:r>
        <w:rPr>
          <w:rFonts w:hint="eastAsia" w:ascii="宋体" w:hAnsi="宋体"/>
          <w:color w:val="000000"/>
          <w:sz w:val="24"/>
          <w:lang w:val="en-US" w:eastAsia="zh-CN"/>
        </w:rPr>
        <w:t>考编</w:t>
      </w:r>
      <w:r>
        <w:rPr>
          <w:rFonts w:hint="eastAsia" w:ascii="宋体" w:hAnsi="宋体"/>
          <w:color w:val="000000"/>
          <w:sz w:val="24"/>
        </w:rPr>
        <w:t>意向</w:t>
      </w:r>
      <w:r>
        <w:rPr>
          <w:rFonts w:hint="eastAsia" w:ascii="宋体" w:hAnsi="宋体"/>
          <w:color w:val="000000"/>
          <w:sz w:val="24"/>
          <w:lang w:val="en-US" w:eastAsia="zh-CN"/>
        </w:rPr>
        <w:t>9</w:t>
      </w:r>
      <w:r>
        <w:rPr>
          <w:rFonts w:hint="eastAsia" w:ascii="宋体" w:hAnsi="宋体"/>
          <w:color w:val="000000"/>
          <w:sz w:val="24"/>
        </w:rPr>
        <w:t>人，企业就业意向</w:t>
      </w:r>
      <w:r>
        <w:rPr>
          <w:rFonts w:hint="eastAsia" w:ascii="宋体" w:hAnsi="宋体"/>
          <w:color w:val="000000"/>
          <w:sz w:val="24"/>
          <w:lang w:val="en-US" w:eastAsia="zh-CN"/>
        </w:rPr>
        <w:t>6</w:t>
      </w:r>
      <w:r>
        <w:rPr>
          <w:rFonts w:hint="eastAsia" w:ascii="宋体" w:hAnsi="宋体"/>
          <w:color w:val="000000"/>
          <w:sz w:val="24"/>
        </w:rPr>
        <w:t>人。会计学毕业生</w:t>
      </w:r>
      <w:r>
        <w:rPr>
          <w:rFonts w:hint="eastAsia" w:ascii="宋体" w:hAnsi="宋体"/>
          <w:color w:val="000000"/>
          <w:sz w:val="24"/>
          <w:lang w:val="en-US" w:eastAsia="zh-CN"/>
        </w:rPr>
        <w:t>89</w:t>
      </w:r>
      <w:r>
        <w:rPr>
          <w:rFonts w:hint="eastAsia" w:ascii="宋体" w:hAnsi="宋体"/>
          <w:color w:val="000000"/>
          <w:sz w:val="24"/>
        </w:rPr>
        <w:t>人，考研意向</w:t>
      </w:r>
      <w:r>
        <w:rPr>
          <w:rFonts w:hint="eastAsia" w:ascii="宋体" w:hAnsi="宋体"/>
          <w:color w:val="000000"/>
          <w:sz w:val="24"/>
          <w:lang w:val="en-US" w:eastAsia="zh-CN"/>
        </w:rPr>
        <w:t>43</w:t>
      </w:r>
      <w:r>
        <w:rPr>
          <w:rFonts w:hint="eastAsia" w:ascii="宋体" w:hAnsi="宋体"/>
          <w:color w:val="000000"/>
          <w:sz w:val="24"/>
        </w:rPr>
        <w:t>人，考公</w:t>
      </w:r>
      <w:r>
        <w:rPr>
          <w:rFonts w:hint="eastAsia" w:ascii="宋体" w:hAnsi="宋体"/>
          <w:color w:val="000000"/>
          <w:sz w:val="24"/>
          <w:lang w:eastAsia="zh-CN"/>
        </w:rPr>
        <w:t>、</w:t>
      </w:r>
      <w:r>
        <w:rPr>
          <w:rFonts w:hint="eastAsia" w:ascii="宋体" w:hAnsi="宋体"/>
          <w:color w:val="000000"/>
          <w:sz w:val="24"/>
          <w:lang w:val="en-US" w:eastAsia="zh-CN"/>
        </w:rPr>
        <w:t>考编</w:t>
      </w:r>
      <w:r>
        <w:rPr>
          <w:rFonts w:hint="eastAsia" w:ascii="宋体" w:hAnsi="宋体"/>
          <w:color w:val="000000"/>
          <w:sz w:val="24"/>
        </w:rPr>
        <w:t>意向</w:t>
      </w:r>
      <w:r>
        <w:rPr>
          <w:rFonts w:hint="eastAsia" w:ascii="宋体" w:hAnsi="宋体"/>
          <w:color w:val="000000"/>
          <w:sz w:val="24"/>
          <w:lang w:val="en-US" w:eastAsia="zh-CN"/>
        </w:rPr>
        <w:t>33</w:t>
      </w:r>
      <w:r>
        <w:rPr>
          <w:rFonts w:hint="eastAsia" w:ascii="宋体" w:hAnsi="宋体"/>
          <w:color w:val="000000"/>
          <w:sz w:val="24"/>
        </w:rPr>
        <w:t>人，企业就业意向</w:t>
      </w:r>
      <w:r>
        <w:rPr>
          <w:rFonts w:hint="eastAsia" w:ascii="宋体" w:hAnsi="宋体"/>
          <w:color w:val="000000"/>
          <w:sz w:val="24"/>
          <w:lang w:val="en-US" w:eastAsia="zh-CN"/>
        </w:rPr>
        <w:t>13</w:t>
      </w:r>
      <w:r>
        <w:rPr>
          <w:rFonts w:hint="eastAsia" w:ascii="宋体" w:hAnsi="宋体"/>
          <w:color w:val="000000"/>
          <w:sz w:val="24"/>
        </w:rPr>
        <w:t>人。</w:t>
      </w:r>
    </w:p>
    <w:p>
      <w:pPr>
        <w:spacing w:line="360" w:lineRule="auto"/>
        <w:ind w:firstLine="480" w:firstLineChars="200"/>
        <w:rPr>
          <w:rFonts w:hint="eastAsia" w:ascii="宋体" w:hAnsi="宋体"/>
          <w:color w:val="000000"/>
          <w:sz w:val="24"/>
          <w:highlight w:val="none"/>
        </w:rPr>
      </w:pPr>
      <w:r>
        <w:rPr>
          <w:rFonts w:hint="eastAsia" w:ascii="宋体" w:hAnsi="宋体"/>
          <w:color w:val="000000"/>
          <w:sz w:val="24"/>
          <w:highlight w:val="none"/>
        </w:rPr>
        <w:t>财务管理毕业生</w:t>
      </w:r>
      <w:r>
        <w:rPr>
          <w:rFonts w:hint="eastAsia" w:ascii="宋体" w:hAnsi="宋体"/>
          <w:color w:val="000000"/>
          <w:sz w:val="24"/>
          <w:highlight w:val="none"/>
          <w:lang w:val="en-US" w:eastAsia="zh-CN"/>
        </w:rPr>
        <w:t>33</w:t>
      </w:r>
      <w:r>
        <w:rPr>
          <w:rFonts w:hint="eastAsia" w:ascii="宋体" w:hAnsi="宋体"/>
          <w:color w:val="000000"/>
          <w:sz w:val="24"/>
          <w:highlight w:val="none"/>
        </w:rPr>
        <w:t>人企业就业，</w:t>
      </w:r>
      <w:r>
        <w:rPr>
          <w:rFonts w:hint="eastAsia" w:ascii="宋体" w:hAnsi="宋体"/>
          <w:color w:val="000000"/>
          <w:sz w:val="24"/>
          <w:highlight w:val="none"/>
          <w:lang w:val="en-US" w:eastAsia="zh-CN"/>
        </w:rPr>
        <w:t>3</w:t>
      </w:r>
      <w:r>
        <w:rPr>
          <w:rFonts w:hint="eastAsia" w:ascii="宋体" w:hAnsi="宋体"/>
          <w:color w:val="000000"/>
          <w:sz w:val="24"/>
          <w:highlight w:val="none"/>
        </w:rPr>
        <w:t>人银行就业，</w:t>
      </w:r>
      <w:r>
        <w:rPr>
          <w:rFonts w:hint="eastAsia" w:ascii="宋体" w:hAnsi="宋体"/>
          <w:color w:val="000000"/>
          <w:sz w:val="24"/>
          <w:highlight w:val="none"/>
          <w:lang w:val="en-US" w:eastAsia="zh-CN"/>
        </w:rPr>
        <w:t>3人会计师事务所就业，13</w:t>
      </w:r>
      <w:r>
        <w:rPr>
          <w:rFonts w:hint="eastAsia" w:ascii="宋体" w:hAnsi="宋体"/>
          <w:color w:val="000000"/>
          <w:sz w:val="24"/>
          <w:highlight w:val="none"/>
        </w:rPr>
        <w:t>人从事金融、经济业务岗。会计学毕业生</w:t>
      </w:r>
      <w:r>
        <w:rPr>
          <w:rFonts w:hint="eastAsia" w:ascii="宋体" w:hAnsi="宋体"/>
          <w:color w:val="000000"/>
          <w:sz w:val="24"/>
          <w:highlight w:val="none"/>
          <w:lang w:val="en-US" w:eastAsia="zh-CN"/>
        </w:rPr>
        <w:t>57</w:t>
      </w:r>
      <w:r>
        <w:rPr>
          <w:rFonts w:hint="eastAsia" w:ascii="宋体" w:hAnsi="宋体"/>
          <w:color w:val="000000"/>
          <w:sz w:val="24"/>
          <w:highlight w:val="none"/>
        </w:rPr>
        <w:t>人企业就业，2人银行就业，</w:t>
      </w:r>
      <w:r>
        <w:rPr>
          <w:rFonts w:hint="eastAsia" w:ascii="宋体" w:hAnsi="宋体"/>
          <w:color w:val="000000"/>
          <w:sz w:val="24"/>
          <w:highlight w:val="none"/>
          <w:lang w:val="en-US" w:eastAsia="zh-CN"/>
        </w:rPr>
        <w:t>11</w:t>
      </w:r>
      <w:r>
        <w:rPr>
          <w:rFonts w:hint="eastAsia" w:ascii="宋体" w:hAnsi="宋体"/>
          <w:color w:val="000000"/>
          <w:sz w:val="24"/>
          <w:highlight w:val="none"/>
        </w:rPr>
        <w:t>人会计</w:t>
      </w:r>
      <w:r>
        <w:rPr>
          <w:rFonts w:hint="eastAsia" w:ascii="宋体" w:hAnsi="宋体"/>
          <w:color w:val="000000"/>
          <w:sz w:val="24"/>
          <w:highlight w:val="none"/>
          <w:lang w:val="en-US" w:eastAsia="zh-CN"/>
        </w:rPr>
        <w:t>师</w:t>
      </w:r>
      <w:r>
        <w:rPr>
          <w:rFonts w:hint="eastAsia" w:ascii="宋体" w:hAnsi="宋体"/>
          <w:color w:val="000000"/>
          <w:sz w:val="24"/>
          <w:highlight w:val="none"/>
        </w:rPr>
        <w:t>事务所就业，</w:t>
      </w:r>
      <w:r>
        <w:rPr>
          <w:rFonts w:hint="eastAsia" w:ascii="宋体" w:hAnsi="宋体"/>
          <w:color w:val="000000"/>
          <w:sz w:val="24"/>
          <w:highlight w:val="none"/>
          <w:lang w:val="en-US" w:eastAsia="zh-CN"/>
        </w:rPr>
        <w:t>26</w:t>
      </w:r>
      <w:r>
        <w:rPr>
          <w:rFonts w:hint="eastAsia" w:ascii="宋体" w:hAnsi="宋体"/>
          <w:color w:val="000000"/>
          <w:sz w:val="24"/>
          <w:highlight w:val="none"/>
        </w:rPr>
        <w:t>人从事金融、经济业务岗。</w:t>
      </w:r>
    </w:p>
    <w:p>
      <w:pPr>
        <w:spacing w:line="360" w:lineRule="auto"/>
        <w:ind w:firstLine="480" w:firstLineChars="200"/>
        <w:rPr>
          <w:rFonts w:hint="eastAsia" w:ascii="宋体" w:hAnsi="宋体" w:eastAsia="宋体" w:cs="Times New Roman"/>
          <w:color w:val="000000"/>
          <w:sz w:val="24"/>
          <w:highlight w:val="none"/>
          <w:lang w:val="en-US" w:eastAsia="zh-CN"/>
        </w:rPr>
      </w:pPr>
      <w:r>
        <w:rPr>
          <w:rFonts w:hint="eastAsia" w:ascii="宋体" w:hAnsi="宋体"/>
          <w:color w:val="000000"/>
          <w:sz w:val="24"/>
          <w:highlight w:val="none"/>
          <w:lang w:val="en-US" w:eastAsia="zh-CN"/>
        </w:rPr>
        <w:t>财会专业毕业生就业意向坚定，分化明显。会计学毕业生较财务管理毕业生，更加坚定考研、考公。会</w:t>
      </w:r>
      <w:r>
        <w:rPr>
          <w:rFonts w:hint="eastAsia" w:ascii="宋体" w:hAnsi="宋体" w:eastAsia="宋体" w:cs="Times New Roman"/>
          <w:color w:val="000000"/>
          <w:sz w:val="24"/>
          <w:highlight w:val="none"/>
          <w:lang w:val="en-US" w:eastAsia="zh-CN"/>
        </w:rPr>
        <w:t>计学专业学生需在早期加强就业指导和帮扶工作。</w:t>
      </w:r>
    </w:p>
    <w:p>
      <w:pPr>
        <w:spacing w:line="360" w:lineRule="auto"/>
        <w:ind w:firstLine="495"/>
        <w:rPr>
          <w:rFonts w:hint="eastAsia" w:ascii="宋体" w:hAnsi="宋体"/>
          <w:b/>
          <w:color w:val="000000"/>
          <w:sz w:val="24"/>
        </w:rPr>
      </w:pPr>
      <w:r>
        <w:rPr>
          <w:rFonts w:hint="eastAsia" w:ascii="宋体" w:hAnsi="宋体"/>
          <w:b/>
          <w:color w:val="000000"/>
          <w:sz w:val="24"/>
        </w:rPr>
        <w:t>（</w:t>
      </w:r>
      <w:r>
        <w:rPr>
          <w:rFonts w:hint="eastAsia" w:ascii="宋体" w:hAnsi="宋体"/>
          <w:b/>
          <w:color w:val="000000"/>
          <w:sz w:val="24"/>
          <w:lang w:val="en-US" w:eastAsia="zh-CN"/>
        </w:rPr>
        <w:t>五</w:t>
      </w:r>
      <w:r>
        <w:rPr>
          <w:rFonts w:hint="eastAsia" w:ascii="宋体" w:hAnsi="宋体"/>
          <w:b/>
          <w:color w:val="000000"/>
          <w:sz w:val="24"/>
        </w:rPr>
        <w:t>）工商管理专业</w:t>
      </w:r>
    </w:p>
    <w:p>
      <w:pPr>
        <w:adjustRightInd w:val="0"/>
        <w:snapToGrid w:val="0"/>
        <w:spacing w:line="360" w:lineRule="auto"/>
        <w:ind w:firstLine="480" w:firstLineChars="200"/>
        <w:rPr>
          <w:rFonts w:hint="eastAsia" w:ascii="宋体" w:hAnsi="宋体"/>
          <w:color w:val="000000"/>
          <w:sz w:val="24"/>
        </w:rPr>
      </w:pPr>
      <w:r>
        <w:rPr>
          <w:rFonts w:hint="eastAsia" w:ascii="宋体" w:hAnsi="宋体"/>
          <w:color w:val="000000"/>
          <w:sz w:val="24"/>
        </w:rPr>
        <w:t>工商管理毕业生</w:t>
      </w:r>
      <w:r>
        <w:rPr>
          <w:rFonts w:hint="eastAsia" w:ascii="宋体" w:hAnsi="宋体"/>
          <w:color w:val="000000"/>
          <w:sz w:val="24"/>
          <w:lang w:val="en-US" w:eastAsia="zh-CN"/>
        </w:rPr>
        <w:t>40</w:t>
      </w:r>
      <w:r>
        <w:rPr>
          <w:rFonts w:hint="eastAsia" w:ascii="宋体" w:hAnsi="宋体"/>
          <w:color w:val="000000"/>
          <w:sz w:val="24"/>
        </w:rPr>
        <w:t>人，考研意向</w:t>
      </w:r>
      <w:r>
        <w:rPr>
          <w:rFonts w:hint="eastAsia" w:ascii="宋体" w:hAnsi="宋体"/>
          <w:color w:val="000000"/>
          <w:sz w:val="24"/>
          <w:lang w:val="en-US" w:eastAsia="zh-CN"/>
        </w:rPr>
        <w:t>22</w:t>
      </w:r>
      <w:r>
        <w:rPr>
          <w:rFonts w:hint="eastAsia" w:ascii="宋体" w:hAnsi="宋体"/>
          <w:color w:val="000000"/>
          <w:sz w:val="24"/>
        </w:rPr>
        <w:t>人，考公意向</w:t>
      </w:r>
      <w:r>
        <w:rPr>
          <w:rFonts w:hint="eastAsia" w:ascii="宋体" w:hAnsi="宋体"/>
          <w:color w:val="000000"/>
          <w:sz w:val="24"/>
          <w:lang w:val="en-US" w:eastAsia="zh-CN"/>
        </w:rPr>
        <w:t>9</w:t>
      </w:r>
      <w:r>
        <w:rPr>
          <w:rFonts w:hint="eastAsia" w:ascii="宋体" w:hAnsi="宋体"/>
          <w:color w:val="000000"/>
          <w:sz w:val="24"/>
        </w:rPr>
        <w:t>人，企业就业意向</w:t>
      </w:r>
      <w:r>
        <w:rPr>
          <w:rFonts w:hint="eastAsia" w:ascii="宋体" w:hAnsi="宋体"/>
          <w:color w:val="000000"/>
          <w:sz w:val="24"/>
          <w:lang w:val="en-US" w:eastAsia="zh-CN"/>
        </w:rPr>
        <w:t>8</w:t>
      </w:r>
      <w:r>
        <w:rPr>
          <w:rFonts w:hint="eastAsia" w:ascii="宋体" w:hAnsi="宋体"/>
          <w:color w:val="000000"/>
          <w:sz w:val="24"/>
        </w:rPr>
        <w:t>人。</w:t>
      </w:r>
      <w:r>
        <w:rPr>
          <w:rFonts w:hint="eastAsia" w:ascii="宋体" w:hAnsi="宋体"/>
          <w:color w:val="000000"/>
          <w:sz w:val="24"/>
          <w:highlight w:val="none"/>
        </w:rPr>
        <w:t>工商管理毕业生</w:t>
      </w:r>
      <w:r>
        <w:rPr>
          <w:rFonts w:hint="eastAsia" w:ascii="宋体" w:hAnsi="宋体"/>
          <w:color w:val="000000"/>
          <w:sz w:val="24"/>
          <w:highlight w:val="none"/>
          <w:lang w:val="en-US" w:eastAsia="zh-CN"/>
        </w:rPr>
        <w:t>28</w:t>
      </w:r>
      <w:r>
        <w:rPr>
          <w:rFonts w:hint="eastAsia" w:ascii="宋体" w:hAnsi="宋体"/>
          <w:color w:val="000000"/>
          <w:sz w:val="24"/>
          <w:highlight w:val="none"/>
        </w:rPr>
        <w:t>人企业就业，办事人员和有关人员、商业和服务人员为主要构成，有</w:t>
      </w:r>
      <w:r>
        <w:rPr>
          <w:rFonts w:hint="eastAsia" w:ascii="宋体" w:hAnsi="宋体"/>
          <w:color w:val="000000"/>
          <w:sz w:val="24"/>
          <w:highlight w:val="none"/>
          <w:lang w:val="en-US" w:eastAsia="zh-CN"/>
        </w:rPr>
        <w:t>20</w:t>
      </w:r>
      <w:r>
        <w:rPr>
          <w:rFonts w:hint="eastAsia" w:ascii="宋体" w:hAnsi="宋体"/>
          <w:color w:val="000000"/>
          <w:sz w:val="24"/>
          <w:highlight w:val="none"/>
        </w:rPr>
        <w:t>人。各行各业均有从业人员，行业分布广泛，与工商管理专业特性有很大关系。</w:t>
      </w:r>
    </w:p>
    <w:p>
      <w:pPr>
        <w:spacing w:line="360" w:lineRule="auto"/>
        <w:ind w:firstLine="482" w:firstLineChars="200"/>
        <w:rPr>
          <w:rFonts w:hint="eastAsia" w:ascii="宋体" w:hAnsi="宋体"/>
          <w:b/>
          <w:color w:val="000000"/>
          <w:sz w:val="24"/>
        </w:rPr>
      </w:pPr>
      <w:r>
        <w:rPr>
          <w:rFonts w:hint="eastAsia" w:ascii="宋体" w:hAnsi="宋体"/>
          <w:b/>
          <w:color w:val="000000"/>
          <w:sz w:val="24"/>
        </w:rPr>
        <w:t>（</w:t>
      </w:r>
      <w:r>
        <w:rPr>
          <w:rFonts w:hint="eastAsia" w:ascii="宋体" w:hAnsi="宋体"/>
          <w:b/>
          <w:color w:val="000000"/>
          <w:sz w:val="24"/>
          <w:lang w:val="en-US" w:eastAsia="zh-CN"/>
        </w:rPr>
        <w:t>六</w:t>
      </w:r>
      <w:r>
        <w:rPr>
          <w:rFonts w:hint="eastAsia" w:ascii="宋体" w:hAnsi="宋体"/>
          <w:b/>
          <w:color w:val="000000"/>
          <w:sz w:val="24"/>
        </w:rPr>
        <w:t>）物流管理专业</w:t>
      </w:r>
    </w:p>
    <w:p>
      <w:pPr>
        <w:spacing w:line="360" w:lineRule="auto"/>
        <w:ind w:firstLine="495"/>
        <w:rPr>
          <w:rFonts w:hint="eastAsia" w:ascii="宋体" w:hAnsi="宋体"/>
          <w:color w:val="000000"/>
          <w:sz w:val="24"/>
        </w:rPr>
      </w:pPr>
      <w:r>
        <w:rPr>
          <w:rFonts w:hint="eastAsia" w:ascii="宋体" w:hAnsi="宋体"/>
          <w:color w:val="000000"/>
          <w:sz w:val="24"/>
        </w:rPr>
        <w:t>物流管理毕业生</w:t>
      </w:r>
      <w:r>
        <w:rPr>
          <w:rFonts w:hint="eastAsia" w:ascii="宋体" w:hAnsi="宋体"/>
          <w:color w:val="000000"/>
          <w:sz w:val="24"/>
          <w:lang w:val="en-US" w:eastAsia="zh-CN"/>
        </w:rPr>
        <w:t>68</w:t>
      </w:r>
      <w:r>
        <w:rPr>
          <w:rFonts w:hint="eastAsia" w:ascii="宋体" w:hAnsi="宋体"/>
          <w:color w:val="000000"/>
          <w:sz w:val="24"/>
        </w:rPr>
        <w:t>人，考研意向</w:t>
      </w:r>
      <w:r>
        <w:rPr>
          <w:rFonts w:hint="eastAsia" w:ascii="宋体" w:hAnsi="宋体"/>
          <w:color w:val="000000"/>
          <w:sz w:val="24"/>
          <w:lang w:val="en-US" w:eastAsia="zh-CN"/>
        </w:rPr>
        <w:t>48</w:t>
      </w:r>
      <w:r>
        <w:rPr>
          <w:rFonts w:hint="eastAsia" w:ascii="宋体" w:hAnsi="宋体"/>
          <w:color w:val="000000"/>
          <w:sz w:val="24"/>
        </w:rPr>
        <w:t>人，考公意向</w:t>
      </w:r>
      <w:r>
        <w:rPr>
          <w:rFonts w:hint="eastAsia" w:ascii="宋体" w:hAnsi="宋体"/>
          <w:color w:val="000000"/>
          <w:sz w:val="24"/>
          <w:lang w:val="en-US" w:eastAsia="zh-CN"/>
        </w:rPr>
        <w:t>11</w:t>
      </w:r>
      <w:r>
        <w:rPr>
          <w:rFonts w:hint="eastAsia" w:ascii="宋体" w:hAnsi="宋体"/>
          <w:color w:val="000000"/>
          <w:sz w:val="24"/>
        </w:rPr>
        <w:t>人，企业就业意向</w:t>
      </w:r>
      <w:r>
        <w:rPr>
          <w:rFonts w:hint="eastAsia" w:ascii="宋体" w:hAnsi="宋体"/>
          <w:color w:val="000000"/>
          <w:sz w:val="24"/>
          <w:lang w:val="en-US" w:eastAsia="zh-CN"/>
        </w:rPr>
        <w:t>7</w:t>
      </w:r>
      <w:r>
        <w:rPr>
          <w:rFonts w:hint="eastAsia" w:ascii="宋体" w:hAnsi="宋体"/>
          <w:color w:val="000000"/>
          <w:sz w:val="24"/>
        </w:rPr>
        <w:t>人。物流管理（中外）毕业生</w:t>
      </w:r>
      <w:r>
        <w:rPr>
          <w:rFonts w:hint="eastAsia" w:ascii="宋体" w:hAnsi="宋体"/>
          <w:color w:val="000000"/>
          <w:sz w:val="24"/>
          <w:lang w:val="en-US" w:eastAsia="zh-CN"/>
        </w:rPr>
        <w:t>54</w:t>
      </w:r>
      <w:r>
        <w:rPr>
          <w:rFonts w:hint="eastAsia" w:ascii="宋体" w:hAnsi="宋体"/>
          <w:color w:val="000000"/>
          <w:sz w:val="24"/>
        </w:rPr>
        <w:t>人，考研意向</w:t>
      </w:r>
      <w:r>
        <w:rPr>
          <w:rFonts w:hint="eastAsia" w:ascii="宋体" w:hAnsi="宋体"/>
          <w:color w:val="000000"/>
          <w:sz w:val="24"/>
          <w:lang w:val="en-US" w:eastAsia="zh-CN"/>
        </w:rPr>
        <w:t>26</w:t>
      </w:r>
      <w:r>
        <w:rPr>
          <w:rFonts w:hint="eastAsia" w:ascii="宋体" w:hAnsi="宋体"/>
          <w:color w:val="000000"/>
          <w:sz w:val="24"/>
        </w:rPr>
        <w:t>人，考公意向</w:t>
      </w:r>
      <w:r>
        <w:rPr>
          <w:rFonts w:hint="eastAsia" w:ascii="宋体" w:hAnsi="宋体"/>
          <w:color w:val="000000"/>
          <w:sz w:val="24"/>
          <w:lang w:val="en-US" w:eastAsia="zh-CN"/>
        </w:rPr>
        <w:t>5</w:t>
      </w:r>
      <w:r>
        <w:rPr>
          <w:rFonts w:hint="eastAsia" w:ascii="宋体" w:hAnsi="宋体"/>
          <w:color w:val="000000"/>
          <w:sz w:val="24"/>
        </w:rPr>
        <w:t>人，企业就业意向</w:t>
      </w:r>
      <w:r>
        <w:rPr>
          <w:rFonts w:hint="eastAsia" w:ascii="宋体" w:hAnsi="宋体"/>
          <w:color w:val="000000"/>
          <w:sz w:val="24"/>
          <w:lang w:val="en-US" w:eastAsia="zh-CN"/>
        </w:rPr>
        <w:t>22</w:t>
      </w:r>
      <w:r>
        <w:rPr>
          <w:rFonts w:hint="eastAsia" w:ascii="宋体" w:hAnsi="宋体"/>
          <w:color w:val="000000"/>
          <w:sz w:val="24"/>
        </w:rPr>
        <w:t>人。</w:t>
      </w:r>
    </w:p>
    <w:p>
      <w:pPr>
        <w:spacing w:line="360" w:lineRule="auto"/>
        <w:ind w:firstLine="495"/>
        <w:rPr>
          <w:rFonts w:hint="eastAsia" w:ascii="宋体" w:hAnsi="宋体"/>
          <w:color w:val="000000"/>
          <w:sz w:val="24"/>
          <w:highlight w:val="none"/>
        </w:rPr>
      </w:pPr>
      <w:r>
        <w:rPr>
          <w:rFonts w:hint="eastAsia" w:ascii="宋体" w:hAnsi="宋体"/>
          <w:color w:val="000000"/>
          <w:sz w:val="24"/>
          <w:highlight w:val="none"/>
        </w:rPr>
        <w:t>物流管理毕业生</w:t>
      </w:r>
      <w:r>
        <w:rPr>
          <w:rFonts w:hint="eastAsia" w:ascii="宋体" w:hAnsi="宋体"/>
          <w:color w:val="000000"/>
          <w:sz w:val="24"/>
          <w:highlight w:val="none"/>
          <w:lang w:val="en-US" w:eastAsia="zh-CN"/>
        </w:rPr>
        <w:t>51</w:t>
      </w:r>
      <w:r>
        <w:rPr>
          <w:rFonts w:hint="eastAsia" w:ascii="宋体" w:hAnsi="宋体"/>
          <w:color w:val="000000"/>
          <w:sz w:val="24"/>
          <w:highlight w:val="none"/>
        </w:rPr>
        <w:t>人企业就业，交通运输、仓储和邮政业就业</w:t>
      </w:r>
      <w:r>
        <w:rPr>
          <w:rFonts w:hint="eastAsia" w:ascii="宋体" w:hAnsi="宋体"/>
          <w:color w:val="000000"/>
          <w:sz w:val="24"/>
          <w:highlight w:val="none"/>
          <w:lang w:val="en-US" w:eastAsia="zh-CN"/>
        </w:rPr>
        <w:t>15</w:t>
      </w:r>
      <w:r>
        <w:rPr>
          <w:rFonts w:hint="eastAsia" w:ascii="宋体" w:hAnsi="宋体"/>
          <w:color w:val="000000"/>
          <w:sz w:val="24"/>
          <w:highlight w:val="none"/>
        </w:rPr>
        <w:t>人，物流管理（中外）毕业生</w:t>
      </w:r>
      <w:r>
        <w:rPr>
          <w:rFonts w:hint="eastAsia" w:ascii="宋体" w:hAnsi="宋体"/>
          <w:color w:val="000000"/>
          <w:sz w:val="24"/>
          <w:highlight w:val="none"/>
          <w:lang w:val="en-US" w:eastAsia="zh-CN"/>
        </w:rPr>
        <w:t>48</w:t>
      </w:r>
      <w:r>
        <w:rPr>
          <w:rFonts w:hint="eastAsia" w:ascii="宋体" w:hAnsi="宋体"/>
          <w:color w:val="000000"/>
          <w:sz w:val="24"/>
          <w:highlight w:val="none"/>
        </w:rPr>
        <w:t>人企业就业，交通运输、仓储和邮政业就业</w:t>
      </w:r>
      <w:r>
        <w:rPr>
          <w:rFonts w:hint="eastAsia" w:ascii="宋体" w:hAnsi="宋体"/>
          <w:color w:val="000000"/>
          <w:sz w:val="24"/>
          <w:highlight w:val="none"/>
          <w:lang w:val="en-US" w:eastAsia="zh-CN"/>
        </w:rPr>
        <w:t>8</w:t>
      </w:r>
      <w:r>
        <w:rPr>
          <w:rFonts w:hint="eastAsia" w:ascii="宋体" w:hAnsi="宋体"/>
          <w:color w:val="000000"/>
          <w:sz w:val="24"/>
          <w:highlight w:val="none"/>
        </w:rPr>
        <w:t>人，银行就业2人，就业企业主要为各地的顺丰物流、京东物流及</w:t>
      </w:r>
      <w:r>
        <w:rPr>
          <w:rFonts w:hint="eastAsia" w:ascii="宋体" w:hAnsi="宋体"/>
          <w:color w:val="000000"/>
          <w:sz w:val="24"/>
          <w:highlight w:val="none"/>
          <w:lang w:val="en-US" w:eastAsia="zh-CN"/>
        </w:rPr>
        <w:t>以</w:t>
      </w:r>
      <w:r>
        <w:rPr>
          <w:rFonts w:hint="eastAsia" w:ascii="宋体" w:hAnsi="宋体"/>
          <w:color w:val="000000"/>
          <w:sz w:val="24"/>
          <w:highlight w:val="none"/>
        </w:rPr>
        <w:t>物流</w:t>
      </w:r>
      <w:r>
        <w:rPr>
          <w:rFonts w:hint="eastAsia" w:ascii="宋体" w:hAnsi="宋体"/>
          <w:color w:val="000000"/>
          <w:sz w:val="24"/>
          <w:highlight w:val="none"/>
          <w:lang w:val="en-US" w:eastAsia="zh-CN"/>
        </w:rPr>
        <w:t>为核心的配送</w:t>
      </w:r>
      <w:r>
        <w:rPr>
          <w:rFonts w:hint="eastAsia" w:ascii="宋体" w:hAnsi="宋体"/>
          <w:color w:val="000000"/>
          <w:sz w:val="24"/>
          <w:highlight w:val="none"/>
        </w:rPr>
        <w:t>企业。</w:t>
      </w:r>
      <w:r>
        <w:rPr>
          <w:rFonts w:hint="eastAsia" w:ascii="宋体" w:hAnsi="宋体"/>
          <w:color w:val="000000"/>
          <w:sz w:val="24"/>
          <w:highlight w:val="none"/>
          <w:lang w:val="en-US" w:eastAsia="zh-CN"/>
        </w:rPr>
        <w:t>其中，合肥中外运物流发展有限公司为访企拓岗促就业</w:t>
      </w:r>
      <w:r>
        <w:rPr>
          <w:rFonts w:ascii="宋体" w:hAnsi="宋体" w:eastAsia="宋体" w:cs="宋体"/>
          <w:sz w:val="24"/>
          <w:szCs w:val="24"/>
        </w:rPr>
        <w:t>专项行动</w:t>
      </w:r>
      <w:r>
        <w:rPr>
          <w:rFonts w:hint="eastAsia" w:ascii="宋体" w:hAnsi="宋体"/>
          <w:color w:val="000000"/>
          <w:sz w:val="24"/>
          <w:highlight w:val="none"/>
          <w:lang w:val="en-US" w:eastAsia="zh-CN"/>
        </w:rPr>
        <w:t>目标企业，实际就业4人，访企拓岗促就业成效显著。</w:t>
      </w:r>
    </w:p>
    <w:p>
      <w:pPr>
        <w:spacing w:line="360" w:lineRule="auto"/>
        <w:ind w:firstLine="495"/>
        <w:rPr>
          <w:rFonts w:ascii="宋体" w:hAnsi="宋体"/>
          <w:color w:val="000000"/>
          <w:sz w:val="24"/>
          <w:highlight w:val="none"/>
        </w:rPr>
      </w:pPr>
      <w:r>
        <w:rPr>
          <w:rFonts w:hint="eastAsia" w:ascii="宋体" w:hAnsi="宋体"/>
          <w:color w:val="000000"/>
          <w:sz w:val="24"/>
          <w:highlight w:val="none"/>
        </w:rPr>
        <w:t>物流专业就业市场较为平稳，市场缺口较大，学生对口就业难度较小。基于物流行业性质，该行业工作时长久，工作强度大，学生离职率高、前往就业意愿不强烈等情况逐渐显现。</w:t>
      </w:r>
    </w:p>
    <w:p>
      <w:pPr>
        <w:adjustRightInd w:val="0"/>
        <w:snapToGrid w:val="0"/>
        <w:spacing w:line="360" w:lineRule="auto"/>
        <w:ind w:left="420" w:leftChars="200"/>
        <w:rPr>
          <w:rFonts w:hint="eastAsia" w:ascii="宋体" w:hAnsi="宋体"/>
          <w:b/>
          <w:bCs/>
          <w:color w:val="000000"/>
          <w:sz w:val="24"/>
        </w:rPr>
      </w:pPr>
      <w:r>
        <w:rPr>
          <w:rFonts w:hint="eastAsia" w:ascii="宋体" w:hAnsi="宋体"/>
          <w:b/>
          <w:bCs/>
          <w:color w:val="000000"/>
          <w:sz w:val="24"/>
        </w:rPr>
        <w:t>第三部分：经济与管理学院各专业市场需求调查情况</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color w:val="000000"/>
          <w:sz w:val="24"/>
          <w:highlight w:val="none"/>
        </w:rPr>
      </w:pPr>
      <w:r>
        <w:rPr>
          <w:rFonts w:hint="eastAsia" w:ascii="宋体" w:hAnsi="宋体"/>
          <w:color w:val="000000"/>
          <w:sz w:val="24"/>
          <w:highlight w:val="none"/>
          <w:lang w:val="en-US" w:eastAsia="zh-CN"/>
        </w:rPr>
        <w:t>为</w:t>
      </w:r>
      <w:r>
        <w:rPr>
          <w:rFonts w:hint="eastAsia" w:ascii="宋体" w:hAnsi="宋体"/>
          <w:color w:val="000000"/>
          <w:sz w:val="24"/>
          <w:highlight w:val="none"/>
        </w:rPr>
        <w:t>实时</w:t>
      </w:r>
      <w:r>
        <w:rPr>
          <w:rFonts w:hint="eastAsia" w:ascii="宋体" w:hAnsi="宋体"/>
          <w:color w:val="000000"/>
          <w:sz w:val="24"/>
          <w:highlight w:val="none"/>
          <w:lang w:val="en-US" w:eastAsia="zh-CN"/>
        </w:rPr>
        <w:t>掌握</w:t>
      </w:r>
      <w:r>
        <w:rPr>
          <w:rFonts w:hint="eastAsia" w:ascii="宋体" w:hAnsi="宋体"/>
          <w:color w:val="000000"/>
          <w:sz w:val="24"/>
          <w:highlight w:val="none"/>
        </w:rPr>
        <w:t>经济与管理学院各专业就业市场的供需关系，进一步加强常态化疫情</w:t>
      </w:r>
      <w:r>
        <w:rPr>
          <w:rFonts w:hint="eastAsia" w:ascii="宋体" w:hAnsi="宋体"/>
          <w:color w:val="000000"/>
          <w:sz w:val="24"/>
          <w:highlight w:val="none"/>
          <w:lang w:val="en-US" w:eastAsia="zh-CN"/>
        </w:rPr>
        <w:t>防控</w:t>
      </w:r>
      <w:r>
        <w:rPr>
          <w:rFonts w:hint="eastAsia" w:ascii="宋体" w:hAnsi="宋体"/>
          <w:color w:val="000000"/>
          <w:sz w:val="24"/>
          <w:highlight w:val="none"/>
        </w:rPr>
        <w:t>下毕业生就业指导水平，转变毕业生就业观念，促使其积极就业，并为就业困难学生提供精准的就业指导服务和帮扶。经济与管理学院积极对接用人单位，走访用人单位，对就业市场进行深入调研,全面了解相关行业就业市场需求。对往届毕业生</w:t>
      </w:r>
      <w:r>
        <w:rPr>
          <w:rFonts w:hint="eastAsia" w:ascii="宋体" w:hAnsi="宋体"/>
          <w:color w:val="000000"/>
          <w:sz w:val="24"/>
          <w:highlight w:val="none"/>
          <w:lang w:val="en-US" w:eastAsia="zh-CN"/>
        </w:rPr>
        <w:t>职业</w:t>
      </w:r>
      <w:r>
        <w:rPr>
          <w:rFonts w:hint="eastAsia" w:ascii="宋体" w:hAnsi="宋体"/>
          <w:color w:val="000000"/>
          <w:sz w:val="24"/>
          <w:highlight w:val="none"/>
        </w:rPr>
        <w:t>发展持续跟踪、调研</w:t>
      </w:r>
      <w:r>
        <w:rPr>
          <w:rFonts w:hint="eastAsia" w:ascii="宋体" w:hAnsi="宋体"/>
          <w:color w:val="000000"/>
          <w:sz w:val="24"/>
          <w:highlight w:val="none"/>
          <w:lang w:eastAsia="zh-CN"/>
        </w:rPr>
        <w:t>。</w:t>
      </w:r>
      <w:r>
        <w:rPr>
          <w:rFonts w:hint="eastAsia" w:ascii="宋体" w:hAnsi="宋体"/>
          <w:color w:val="000000"/>
          <w:sz w:val="24"/>
          <w:highlight w:val="none"/>
          <w:lang w:val="en-US" w:eastAsia="zh-CN"/>
        </w:rPr>
        <w:t>综上，</w:t>
      </w:r>
      <w:r>
        <w:rPr>
          <w:rFonts w:hint="eastAsia" w:ascii="宋体" w:hAnsi="宋体"/>
          <w:color w:val="000000"/>
          <w:sz w:val="24"/>
          <w:highlight w:val="none"/>
        </w:rPr>
        <w:t>对202</w:t>
      </w:r>
      <w:r>
        <w:rPr>
          <w:rFonts w:hint="eastAsia" w:ascii="宋体" w:hAnsi="宋体"/>
          <w:color w:val="000000"/>
          <w:sz w:val="24"/>
          <w:highlight w:val="none"/>
          <w:lang w:val="en-US" w:eastAsia="zh-CN"/>
        </w:rPr>
        <w:t>2</w:t>
      </w:r>
      <w:r>
        <w:rPr>
          <w:rFonts w:hint="eastAsia" w:ascii="宋体" w:hAnsi="宋体"/>
          <w:color w:val="000000"/>
          <w:sz w:val="24"/>
          <w:highlight w:val="none"/>
        </w:rPr>
        <w:t>届毕业生就业市场需求作出分析，具体分析结果如下：</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Times New Roman"/>
          <w:color w:val="000000"/>
          <w:sz w:val="24"/>
          <w:highlight w:val="none"/>
        </w:rPr>
      </w:pPr>
      <w:r>
        <w:rPr>
          <w:rFonts w:hint="eastAsia" w:ascii="宋体" w:hAnsi="宋体"/>
          <w:color w:val="000000"/>
          <w:sz w:val="24"/>
          <w:highlight w:val="none"/>
        </w:rPr>
        <w:t>合肥市作为长三</w:t>
      </w:r>
      <w:r>
        <w:rPr>
          <w:rFonts w:hint="eastAsia" w:ascii="宋体" w:hAnsi="宋体" w:eastAsia="宋体" w:cs="Times New Roman"/>
          <w:color w:val="000000"/>
          <w:sz w:val="24"/>
          <w:highlight w:val="none"/>
        </w:rPr>
        <w:t>角副中心城市，为深入实施《长江三角洲区域一体化发展规划纲要》，全面落实《安徽省实施长江三角洲区域一体化发展规划纲要行动计划》，进一步发挥合肥比较优势，培育引进一批代表未来生物医药、高端装备等产业发展方向的重大项目，建立完善的全产业体系。</w:t>
      </w:r>
      <w:r>
        <w:rPr>
          <w:rFonts w:hint="eastAsia" w:ascii="宋体" w:hAnsi="宋体" w:eastAsia="宋体" w:cs="Times New Roman"/>
          <w:color w:val="000000"/>
          <w:sz w:val="24"/>
          <w:highlight w:val="none"/>
          <w:lang w:val="en-US" w:eastAsia="zh-CN"/>
        </w:rPr>
        <w:t>支持京东方、维信诺等龙头企业通过技术研发带动新型显示产品创新，积极参与国家集成电路制造业创新中心建设，推进海峡两岸集成电路产业合作试验区建设。加快推进寒武纪人工智能芯片研发中心及生产基地、华为合肥人工智能创新中心、新华三公共安全产品基地等重大项目建设。</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Times New Roman"/>
          <w:color w:val="000000"/>
          <w:sz w:val="24"/>
          <w:highlight w:val="none"/>
          <w:lang w:val="en-US" w:eastAsia="zh-CN"/>
        </w:rPr>
      </w:pPr>
      <w:r>
        <w:rPr>
          <w:rFonts w:hint="eastAsia" w:ascii="宋体" w:hAnsi="宋体" w:eastAsia="宋体" w:cs="Times New Roman"/>
          <w:color w:val="000000"/>
          <w:sz w:val="24"/>
          <w:highlight w:val="none"/>
        </w:rPr>
        <w:t>合肥实施技术改造力促产业转型升级，推动“合肥制造”向“合肥智造”加速跃升</w:t>
      </w:r>
      <w:r>
        <w:rPr>
          <w:rFonts w:hint="eastAsia" w:ascii="宋体" w:hAnsi="宋体" w:eastAsia="宋体" w:cs="Times New Roman"/>
          <w:color w:val="000000"/>
          <w:sz w:val="24"/>
          <w:highlight w:val="none"/>
          <w:lang w:eastAsia="zh-CN"/>
        </w:rPr>
        <w:t>。</w:t>
      </w:r>
      <w:r>
        <w:rPr>
          <w:rFonts w:hint="eastAsia" w:ascii="宋体" w:hAnsi="宋体" w:eastAsia="宋体" w:cs="Times New Roman"/>
          <w:color w:val="000000"/>
          <w:sz w:val="24"/>
          <w:highlight w:val="none"/>
        </w:rPr>
        <w:t>合肥围绕创新链布局产业链，打通“原始创新-技术创新-产业创新”关键环节，推动创新成果快速转化</w:t>
      </w:r>
      <w:r>
        <w:rPr>
          <w:rFonts w:hint="eastAsia" w:ascii="宋体" w:hAnsi="宋体" w:eastAsia="宋体" w:cs="Times New Roman"/>
          <w:color w:val="000000"/>
          <w:sz w:val="24"/>
          <w:highlight w:val="none"/>
          <w:lang w:eastAsia="zh-CN"/>
        </w:rPr>
        <w:t>，</w:t>
      </w:r>
      <w:r>
        <w:rPr>
          <w:rFonts w:hint="eastAsia" w:ascii="宋体" w:hAnsi="宋体" w:eastAsia="宋体" w:cs="Times New Roman"/>
          <w:color w:val="000000"/>
          <w:sz w:val="24"/>
          <w:highlight w:val="none"/>
        </w:rPr>
        <w:t>推深做实“链长制”。“芯屏汽合</w:t>
      </w:r>
      <w:r>
        <w:rPr>
          <w:rFonts w:hint="eastAsia" w:ascii="宋体" w:hAnsi="宋体" w:eastAsia="宋体" w:cs="Times New Roman"/>
          <w:color w:val="000000"/>
          <w:sz w:val="24"/>
          <w:highlight w:val="none"/>
          <w:lang w:eastAsia="zh-CN"/>
        </w:rPr>
        <w:t>、</w:t>
      </w:r>
      <w:r>
        <w:rPr>
          <w:rFonts w:hint="eastAsia" w:ascii="宋体" w:hAnsi="宋体" w:eastAsia="宋体" w:cs="Times New Roman"/>
          <w:color w:val="000000"/>
          <w:sz w:val="24"/>
          <w:highlight w:val="none"/>
        </w:rPr>
        <w:t>集终生智”成为产业新地标，全市现已拥有家电、智能语音、新型显示、新能源汽车等4个国家新型工业化产业示范基地，新型显示器件、集成电路、人工智能等3个产业入选首批国家战略性新兴产业集群，智能语音入选国家先进制造业集群，获批国家制造业创新中心。</w:t>
      </w:r>
      <w:r>
        <w:rPr>
          <w:rFonts w:hint="eastAsia" w:ascii="宋体" w:hAnsi="宋体" w:eastAsia="宋体" w:cs="Times New Roman"/>
          <w:color w:val="000000"/>
          <w:sz w:val="24"/>
          <w:highlight w:val="none"/>
          <w:lang w:val="en-US" w:eastAsia="zh-CN"/>
        </w:rPr>
        <w:t>2021年，</w:t>
      </w:r>
      <w:r>
        <w:rPr>
          <w:rFonts w:hint="eastAsia" w:ascii="宋体" w:hAnsi="宋体" w:eastAsia="宋体" w:cs="Times New Roman"/>
          <w:color w:val="000000"/>
          <w:sz w:val="24"/>
          <w:highlight w:val="none"/>
        </w:rPr>
        <w:t>欧菲光、沛顿封测点亮投产，新桥智能汽车千亿产业园全面启动</w:t>
      </w:r>
      <w:r>
        <w:rPr>
          <w:rFonts w:hint="eastAsia" w:ascii="宋体" w:hAnsi="宋体" w:eastAsia="宋体" w:cs="Times New Roman"/>
          <w:color w:val="000000"/>
          <w:sz w:val="24"/>
          <w:highlight w:val="none"/>
          <w:lang w:eastAsia="zh-CN"/>
        </w:rPr>
        <w:t>，</w:t>
      </w:r>
      <w:r>
        <w:rPr>
          <w:rFonts w:hint="eastAsia" w:ascii="宋体" w:hAnsi="宋体" w:eastAsia="宋体" w:cs="Times New Roman"/>
          <w:color w:val="000000"/>
          <w:sz w:val="24"/>
          <w:highlight w:val="none"/>
        </w:rPr>
        <w:t>京东嘉远实现百亿单体商贸企业零突破</w:t>
      </w:r>
      <w:r>
        <w:rPr>
          <w:rFonts w:hint="eastAsia" w:ascii="宋体" w:hAnsi="宋体" w:eastAsia="宋体" w:cs="Times New Roman"/>
          <w:color w:val="000000"/>
          <w:sz w:val="24"/>
          <w:highlight w:val="none"/>
          <w:lang w:val="en-US" w:eastAsia="zh-CN"/>
        </w:rPr>
        <w:t>等</w:t>
      </w:r>
      <w:r>
        <w:rPr>
          <w:rFonts w:hint="eastAsia" w:ascii="宋体" w:hAnsi="宋体" w:eastAsia="宋体" w:cs="Times New Roman"/>
          <w:color w:val="000000"/>
          <w:sz w:val="24"/>
          <w:highlight w:val="none"/>
        </w:rPr>
        <w:t>。</w:t>
      </w:r>
      <w:r>
        <w:rPr>
          <w:rFonts w:hint="eastAsia" w:ascii="宋体" w:hAnsi="宋体" w:eastAsia="宋体" w:cs="Times New Roman"/>
          <w:color w:val="000000"/>
          <w:sz w:val="24"/>
          <w:highlight w:val="none"/>
          <w:lang w:val="en-US" w:eastAsia="zh-CN"/>
        </w:rPr>
        <w:t>2022年，</w:t>
      </w:r>
      <w:r>
        <w:rPr>
          <w:rFonts w:hint="eastAsia" w:ascii="宋体" w:hAnsi="宋体" w:eastAsia="宋体" w:cs="Times New Roman"/>
          <w:color w:val="000000"/>
          <w:sz w:val="24"/>
          <w:highlight w:val="none"/>
        </w:rPr>
        <w:t>开工建设维信诺模组、讯飞人工智能小镇等项目，加快建设长鑫二期、晶合二期，建成投产比亚迪、中创新航、大众安徽等一批重大项目。围绕中科星图、航天宏图、银河航天等空天信息龙头企业，招引更多产业链项目落地，努力打造“中国星城”。</w:t>
      </w:r>
    </w:p>
    <w:p>
      <w:pPr>
        <w:adjustRightInd w:val="0"/>
        <w:snapToGrid w:val="0"/>
        <w:spacing w:line="360" w:lineRule="auto"/>
        <w:ind w:firstLine="480" w:firstLineChars="200"/>
        <w:rPr>
          <w:rFonts w:hint="default" w:ascii="宋体" w:hAnsi="宋体"/>
          <w:color w:val="000000"/>
          <w:sz w:val="24"/>
          <w:highlight w:val="yellow"/>
          <w:lang w:val="en-US" w:eastAsia="zh-CN"/>
        </w:rPr>
      </w:pPr>
      <w:r>
        <w:rPr>
          <w:rFonts w:hint="eastAsia" w:ascii="宋体" w:hAnsi="宋体" w:eastAsia="宋体" w:cs="Times New Roman"/>
          <w:color w:val="000000"/>
          <w:sz w:val="24"/>
          <w:highlight w:val="none"/>
        </w:rPr>
        <w:t>合肥学院紧跟长三角一体化进程，积极对接合肥市</w:t>
      </w:r>
      <w:r>
        <w:rPr>
          <w:rFonts w:hint="eastAsia" w:ascii="宋体" w:hAnsi="宋体" w:eastAsia="宋体" w:cs="Times New Roman"/>
          <w:color w:val="000000"/>
          <w:sz w:val="24"/>
          <w:highlight w:val="none"/>
          <w:lang w:val="en-US" w:eastAsia="zh-CN"/>
        </w:rPr>
        <w:t>高新区、新站区、经开区、长丰（双凤）经开区、蜀山区、巢湖市</w:t>
      </w:r>
      <w:r>
        <w:rPr>
          <w:rFonts w:hint="eastAsia" w:ascii="宋体" w:hAnsi="宋体" w:eastAsia="宋体" w:cs="Times New Roman"/>
          <w:color w:val="000000"/>
          <w:sz w:val="24"/>
          <w:highlight w:val="none"/>
        </w:rPr>
        <w:t>、肥东</w:t>
      </w:r>
      <w:r>
        <w:rPr>
          <w:rFonts w:hint="eastAsia" w:ascii="宋体" w:hAnsi="宋体" w:eastAsia="宋体" w:cs="Times New Roman"/>
          <w:color w:val="000000"/>
          <w:sz w:val="24"/>
          <w:highlight w:val="none"/>
          <w:lang w:val="en-US" w:eastAsia="zh-CN"/>
        </w:rPr>
        <w:t>县</w:t>
      </w:r>
      <w:r>
        <w:rPr>
          <w:rFonts w:hint="eastAsia" w:ascii="宋体" w:hAnsi="宋体" w:eastAsia="宋体" w:cs="Times New Roman"/>
          <w:color w:val="000000"/>
          <w:sz w:val="24"/>
          <w:highlight w:val="none"/>
        </w:rPr>
        <w:t>、庐江</w:t>
      </w:r>
      <w:r>
        <w:rPr>
          <w:rFonts w:hint="eastAsia" w:ascii="宋体" w:hAnsi="宋体" w:eastAsia="宋体" w:cs="Times New Roman"/>
          <w:color w:val="000000"/>
          <w:sz w:val="24"/>
          <w:highlight w:val="none"/>
          <w:lang w:val="en-US" w:eastAsia="zh-CN"/>
        </w:rPr>
        <w:t>县</w:t>
      </w:r>
      <w:r>
        <w:rPr>
          <w:rFonts w:hint="eastAsia" w:ascii="宋体" w:hAnsi="宋体" w:eastAsia="宋体" w:cs="Times New Roman"/>
          <w:color w:val="000000"/>
          <w:sz w:val="24"/>
          <w:highlight w:val="none"/>
          <w:lang w:eastAsia="zh-CN"/>
        </w:rPr>
        <w:t>、</w:t>
      </w:r>
      <w:r>
        <w:rPr>
          <w:rFonts w:hint="eastAsia" w:ascii="宋体" w:hAnsi="宋体" w:eastAsia="宋体" w:cs="Times New Roman"/>
          <w:color w:val="000000"/>
          <w:sz w:val="24"/>
          <w:highlight w:val="none"/>
        </w:rPr>
        <w:t>肥西</w:t>
      </w:r>
      <w:r>
        <w:rPr>
          <w:rFonts w:hint="eastAsia" w:ascii="宋体" w:hAnsi="宋体" w:eastAsia="宋体" w:cs="Times New Roman"/>
          <w:color w:val="000000"/>
          <w:sz w:val="24"/>
          <w:highlight w:val="none"/>
          <w:lang w:val="en-US" w:eastAsia="zh-CN"/>
        </w:rPr>
        <w:t>县</w:t>
      </w:r>
      <w:r>
        <w:rPr>
          <w:rFonts w:hint="eastAsia" w:ascii="宋体" w:hAnsi="宋体" w:eastAsia="宋体" w:cs="Times New Roman"/>
          <w:color w:val="000000"/>
          <w:sz w:val="24"/>
          <w:highlight w:val="none"/>
          <w:lang w:eastAsia="zh-CN"/>
        </w:rPr>
        <w:t>、</w:t>
      </w:r>
      <w:r>
        <w:rPr>
          <w:rFonts w:hint="eastAsia" w:ascii="宋体" w:hAnsi="宋体" w:eastAsia="宋体" w:cs="Times New Roman"/>
          <w:color w:val="000000"/>
          <w:sz w:val="24"/>
          <w:highlight w:val="none"/>
          <w:lang w:val="en-US" w:eastAsia="zh-CN"/>
        </w:rPr>
        <w:t>瑶海县人社局，</w:t>
      </w:r>
      <w:r>
        <w:rPr>
          <w:rFonts w:hint="eastAsia" w:ascii="宋体" w:hAnsi="宋体"/>
          <w:color w:val="000000"/>
          <w:sz w:val="24"/>
          <w:highlight w:val="none"/>
        </w:rPr>
        <w:t>举办相关政策宣讲和双选</w:t>
      </w:r>
      <w:r>
        <w:rPr>
          <w:rFonts w:hint="eastAsia" w:ascii="宋体" w:hAnsi="宋体" w:eastAsia="宋体" w:cs="Times New Roman"/>
          <w:color w:val="000000"/>
          <w:sz w:val="24"/>
          <w:highlight w:val="none"/>
          <w:lang w:val="en-US" w:eastAsia="zh-CN"/>
        </w:rPr>
        <w:t>会；积极对接合肥市工商联、上海市科协、“前程无忧”、协调企业举办双选会；积极对接芜湖市、铜陵市、天长市、泾县、南陵县人社局，组织当地企业举办双选会；</w:t>
      </w:r>
      <w:r>
        <w:rPr>
          <w:rFonts w:hint="eastAsia" w:ascii="宋体" w:hAnsi="宋体"/>
          <w:color w:val="000000"/>
          <w:sz w:val="24"/>
          <w:highlight w:val="none"/>
          <w:lang w:val="en-US" w:eastAsia="zh-CN"/>
        </w:rPr>
        <w:t>积极对接绍兴</w:t>
      </w:r>
      <w:r>
        <w:rPr>
          <w:rFonts w:hint="eastAsia" w:ascii="宋体" w:hAnsi="宋体" w:eastAsia="宋体" w:cs="Times New Roman"/>
          <w:color w:val="000000"/>
          <w:sz w:val="24"/>
          <w:highlight w:val="none"/>
          <w:lang w:val="en-US" w:eastAsia="zh-CN"/>
        </w:rPr>
        <w:t>上虞市、南京市浦口区、江宁区、台州市、滨州市、湖州市、长兴市、南昌市、昆山市人社局，组织当地企业举办双选会；</w:t>
      </w:r>
      <w:r>
        <w:rPr>
          <w:rFonts w:hint="eastAsia" w:ascii="宋体" w:hAnsi="宋体"/>
          <w:color w:val="000000"/>
          <w:sz w:val="24"/>
          <w:highlight w:val="none"/>
          <w:lang w:val="en-US" w:eastAsia="zh-CN"/>
        </w:rPr>
        <w:t>组织校友企业，开展座谈会及专场双选会；组织学生积极参加</w:t>
      </w:r>
      <w:r>
        <w:rPr>
          <w:rFonts w:hint="eastAsia" w:ascii="宋体" w:hAnsi="宋体" w:eastAsia="宋体" w:cs="Times New Roman"/>
          <w:color w:val="000000"/>
          <w:sz w:val="24"/>
          <w:highlight w:val="none"/>
          <w:lang w:val="en-US" w:eastAsia="zh-CN"/>
        </w:rPr>
        <w:t>“2021智汇合肥·全球云聘会”、2021年大中城市联合招聘高校毕业生秋季巡回网络招聘会、安徽省2022届高校毕业生国有企业专场招聘会、“才聚安徽，就在江淮</w:t>
      </w:r>
      <w:r>
        <w:rPr>
          <w:rFonts w:hint="default" w:ascii="宋体" w:hAnsi="宋体" w:eastAsia="宋体" w:cs="Times New Roman"/>
          <w:color w:val="000000"/>
          <w:sz w:val="24"/>
          <w:highlight w:val="none"/>
          <w:lang w:val="en-US" w:eastAsia="zh-CN"/>
        </w:rPr>
        <w:t>”</w:t>
      </w:r>
      <w:r>
        <w:rPr>
          <w:rFonts w:hint="eastAsia" w:ascii="宋体" w:hAnsi="宋体" w:eastAsia="宋体" w:cs="Times New Roman"/>
          <w:color w:val="000000"/>
          <w:sz w:val="24"/>
          <w:highlight w:val="none"/>
          <w:lang w:val="en-US" w:eastAsia="zh-CN"/>
        </w:rPr>
        <w:t>云招聘、高校毕业生就业服务行动暨“四送一服</w:t>
      </w:r>
      <w:r>
        <w:rPr>
          <w:rFonts w:hint="default" w:ascii="宋体" w:hAnsi="宋体" w:eastAsia="宋体" w:cs="Times New Roman"/>
          <w:color w:val="000000"/>
          <w:sz w:val="24"/>
          <w:highlight w:val="none"/>
          <w:lang w:val="en-US" w:eastAsia="zh-CN"/>
        </w:rPr>
        <w:t>”</w:t>
      </w:r>
      <w:r>
        <w:rPr>
          <w:rFonts w:hint="eastAsia" w:ascii="宋体" w:hAnsi="宋体" w:eastAsia="宋体" w:cs="Times New Roman"/>
          <w:color w:val="000000"/>
          <w:sz w:val="24"/>
          <w:highlight w:val="none"/>
          <w:lang w:val="en-US" w:eastAsia="zh-CN"/>
        </w:rPr>
        <w:t>线上招聘会、2022年省暨合肥市服务重点企业用工专场招聘会、合肥市“千企万岗进百校”—合肥学院2022届毕业生云聘会活动、</w:t>
      </w:r>
      <w:r>
        <w:rPr>
          <w:rFonts w:hint="eastAsia" w:ascii="宋体" w:hAnsi="宋体" w:eastAsia="宋体" w:cs="Times New Roman"/>
          <w:color w:val="000000"/>
          <w:sz w:val="24"/>
          <w:highlight w:val="none"/>
        </w:rPr>
        <w:t>合</w:t>
      </w:r>
      <w:r>
        <w:rPr>
          <w:rFonts w:hint="eastAsia" w:ascii="宋体" w:hAnsi="宋体" w:eastAsia="宋体" w:cs="Times New Roman"/>
          <w:color w:val="000000"/>
          <w:sz w:val="24"/>
          <w:highlight w:val="none"/>
          <w:lang w:val="en-US" w:eastAsia="zh-CN"/>
        </w:rPr>
        <w:t>肥学院2022届毕业生春季线上校园双选会等活动。</w:t>
      </w:r>
    </w:p>
    <w:p>
      <w:pPr>
        <w:adjustRightInd w:val="0"/>
        <w:snapToGrid w:val="0"/>
        <w:spacing w:line="360" w:lineRule="auto"/>
        <w:ind w:firstLine="480" w:firstLineChars="200"/>
        <w:rPr>
          <w:rFonts w:ascii="宋体" w:hAnsi="宋体"/>
          <w:color w:val="000000"/>
          <w:sz w:val="24"/>
          <w:highlight w:val="none"/>
        </w:rPr>
      </w:pPr>
      <w:r>
        <w:rPr>
          <w:rFonts w:hint="eastAsia" w:ascii="宋体" w:hAnsi="宋体"/>
          <w:color w:val="000000"/>
          <w:sz w:val="24"/>
          <w:highlight w:val="none"/>
        </w:rPr>
        <w:t>学院领导、老师、毕业班辅导员借助各种契机，积极对接企业，加强校企合作，不断探索合作新思路、新方法、新模式，深化产学研合作。学院也实地走访企业，深入了解就业市场实际，与实习生、毕业生进行深入交流，对学生就业实际情况、专业市场需求进行了深入调研。</w:t>
      </w:r>
    </w:p>
    <w:p>
      <w:pPr>
        <w:adjustRightInd w:val="0"/>
        <w:snapToGrid w:val="0"/>
        <w:spacing w:line="360" w:lineRule="auto"/>
        <w:ind w:firstLine="480" w:firstLineChars="200"/>
        <w:rPr>
          <w:rFonts w:ascii="宋体" w:hAnsi="宋体"/>
          <w:color w:val="000000"/>
          <w:sz w:val="24"/>
          <w:highlight w:val="none"/>
        </w:rPr>
      </w:pPr>
      <w:r>
        <w:rPr>
          <w:rFonts w:hint="eastAsia" w:ascii="宋体" w:hAnsi="宋体"/>
          <w:color w:val="000000"/>
          <w:sz w:val="24"/>
          <w:highlight w:val="none"/>
        </w:rPr>
        <w:t>根据来校宣讲企业招聘岗位需求、走访企业调研分析，涉及经管类专业招聘主要以运营管理类、</w:t>
      </w:r>
      <w:r>
        <w:rPr>
          <w:rFonts w:hint="eastAsia" w:ascii="宋体" w:hAnsi="宋体"/>
          <w:color w:val="000000"/>
          <w:sz w:val="24"/>
          <w:highlight w:val="none"/>
          <w:lang w:val="en-US" w:eastAsia="zh-CN"/>
        </w:rPr>
        <w:t>专业技能类</w:t>
      </w:r>
      <w:r>
        <w:rPr>
          <w:rFonts w:hint="eastAsia" w:ascii="宋体" w:hAnsi="宋体"/>
          <w:color w:val="000000"/>
          <w:sz w:val="24"/>
          <w:highlight w:val="none"/>
        </w:rPr>
        <w:t>、职能管理类岗位为主。其中，各类企业对运营管理类岗位均有招聘需求，该岗位招聘数量需求也为最多。</w:t>
      </w:r>
    </w:p>
    <w:p>
      <w:pPr>
        <w:adjustRightInd w:val="0"/>
        <w:snapToGrid w:val="0"/>
        <w:spacing w:line="360" w:lineRule="auto"/>
        <w:ind w:firstLine="480" w:firstLineChars="200"/>
        <w:rPr>
          <w:rFonts w:ascii="宋体" w:hAnsi="宋体"/>
          <w:color w:val="000000"/>
          <w:sz w:val="24"/>
          <w:highlight w:val="yellow"/>
        </w:rPr>
      </w:pPr>
      <w:r>
        <w:rPr>
          <w:rFonts w:hint="eastAsia" w:ascii="宋体" w:hAnsi="宋体"/>
          <w:color w:val="000000"/>
          <w:sz w:val="24"/>
          <w:highlight w:val="none"/>
        </w:rPr>
        <w:t>运营管理类岗位主要以是市场营销岗、门店管理岗等为主，市场营销岗位招聘需求最大。各行各业对市场营销岗均有所需求，对专业度要求不高，企业倾向于招聘经管类</w:t>
      </w:r>
      <w:r>
        <w:rPr>
          <w:rFonts w:hint="eastAsia" w:ascii="宋体" w:hAnsi="宋体"/>
          <w:color w:val="000000"/>
          <w:sz w:val="24"/>
          <w:highlight w:val="none"/>
          <w:lang w:val="en-US" w:eastAsia="zh-CN"/>
        </w:rPr>
        <w:t>专业</w:t>
      </w:r>
      <w:r>
        <w:rPr>
          <w:rFonts w:hint="eastAsia" w:ascii="宋体" w:hAnsi="宋体"/>
          <w:color w:val="000000"/>
          <w:sz w:val="24"/>
          <w:highlight w:val="none"/>
        </w:rPr>
        <w:t>学生从事相关工作，部分企业招聘对专业不设限。学生对从事市场营销岗位意向不强，</w:t>
      </w:r>
      <w:r>
        <w:rPr>
          <w:rFonts w:hint="eastAsia" w:ascii="宋体" w:hAnsi="宋体"/>
          <w:color w:val="000000"/>
          <w:sz w:val="24"/>
          <w:highlight w:val="none"/>
          <w:shd w:val="clear" w:color="auto" w:fill="auto"/>
        </w:rPr>
        <w:t>主要原因有：一、经济与管理学院女生多，202</w:t>
      </w:r>
      <w:r>
        <w:rPr>
          <w:rFonts w:hint="eastAsia" w:ascii="宋体" w:hAnsi="宋体"/>
          <w:color w:val="000000"/>
          <w:sz w:val="24"/>
          <w:highlight w:val="none"/>
          <w:shd w:val="clear" w:color="auto" w:fill="auto"/>
          <w:lang w:val="en-US" w:eastAsia="zh-CN"/>
        </w:rPr>
        <w:t>2</w:t>
      </w:r>
      <w:r>
        <w:rPr>
          <w:rFonts w:hint="eastAsia" w:ascii="宋体" w:hAnsi="宋体"/>
          <w:color w:val="000000"/>
          <w:sz w:val="24"/>
          <w:highlight w:val="none"/>
          <w:shd w:val="clear" w:color="auto" w:fill="auto"/>
        </w:rPr>
        <w:t>届毕业生6</w:t>
      </w:r>
      <w:r>
        <w:rPr>
          <w:rFonts w:hint="eastAsia" w:ascii="宋体" w:hAnsi="宋体"/>
          <w:color w:val="000000"/>
          <w:sz w:val="24"/>
          <w:highlight w:val="none"/>
          <w:shd w:val="clear" w:color="auto" w:fill="auto"/>
          <w:lang w:val="en-US" w:eastAsia="zh-CN"/>
        </w:rPr>
        <w:t>17</w:t>
      </w:r>
      <w:r>
        <w:rPr>
          <w:rFonts w:hint="eastAsia" w:ascii="宋体" w:hAnsi="宋体"/>
          <w:color w:val="000000"/>
          <w:sz w:val="24"/>
          <w:highlight w:val="none"/>
          <w:shd w:val="clear" w:color="auto" w:fill="auto"/>
        </w:rPr>
        <w:t>人，女生</w:t>
      </w:r>
      <w:r>
        <w:rPr>
          <w:rFonts w:hint="eastAsia" w:ascii="宋体" w:hAnsi="宋体"/>
          <w:color w:val="000000"/>
          <w:sz w:val="24"/>
          <w:highlight w:val="none"/>
          <w:shd w:val="clear" w:color="auto" w:fill="auto"/>
          <w:lang w:val="en-US" w:eastAsia="zh-CN"/>
        </w:rPr>
        <w:t>406</w:t>
      </w:r>
      <w:r>
        <w:rPr>
          <w:rFonts w:hint="eastAsia" w:ascii="宋体" w:hAnsi="宋体"/>
          <w:color w:val="000000"/>
          <w:sz w:val="24"/>
          <w:highlight w:val="none"/>
          <w:shd w:val="clear" w:color="auto" w:fill="auto"/>
        </w:rPr>
        <w:t>人，占比达到6</w:t>
      </w:r>
      <w:r>
        <w:rPr>
          <w:rFonts w:hint="eastAsia" w:ascii="宋体" w:hAnsi="宋体"/>
          <w:color w:val="000000"/>
          <w:sz w:val="24"/>
          <w:highlight w:val="none"/>
          <w:shd w:val="clear" w:color="auto" w:fill="auto"/>
          <w:lang w:val="en-US" w:eastAsia="zh-CN"/>
        </w:rPr>
        <w:t>5</w:t>
      </w:r>
      <w:r>
        <w:rPr>
          <w:rFonts w:hint="eastAsia" w:ascii="宋体" w:hAnsi="宋体"/>
          <w:color w:val="000000"/>
          <w:sz w:val="24"/>
          <w:highlight w:val="none"/>
          <w:shd w:val="clear" w:color="auto" w:fill="auto"/>
        </w:rPr>
        <w:t>.</w:t>
      </w:r>
      <w:r>
        <w:rPr>
          <w:rFonts w:hint="eastAsia" w:ascii="宋体" w:hAnsi="宋体"/>
          <w:color w:val="000000"/>
          <w:sz w:val="24"/>
          <w:highlight w:val="none"/>
          <w:shd w:val="clear" w:color="auto" w:fill="auto"/>
          <w:lang w:val="en-US" w:eastAsia="zh-CN"/>
        </w:rPr>
        <w:t>80</w:t>
      </w:r>
      <w:r>
        <w:rPr>
          <w:rFonts w:hint="eastAsia" w:ascii="宋体" w:hAnsi="宋体"/>
          <w:color w:val="000000"/>
          <w:sz w:val="24"/>
          <w:highlight w:val="none"/>
          <w:shd w:val="clear" w:color="auto" w:fill="auto"/>
        </w:rPr>
        <w:t>%，对市场营销岗工作强度大、工作时长久等工作特性难以接受</w:t>
      </w:r>
      <w:r>
        <w:rPr>
          <w:rFonts w:hint="eastAsia" w:ascii="宋体" w:hAnsi="宋体"/>
          <w:color w:val="000000"/>
          <w:sz w:val="24"/>
          <w:highlight w:val="none"/>
        </w:rPr>
        <w:t>；</w:t>
      </w:r>
      <w:r>
        <w:rPr>
          <w:rFonts w:hint="eastAsia" w:ascii="宋体" w:hAnsi="宋体"/>
          <w:color w:val="000000"/>
          <w:sz w:val="24"/>
          <w:highlight w:val="none"/>
          <w:shd w:val="clear" w:color="auto" w:fill="auto"/>
        </w:rPr>
        <w:t>二、相当部分学生简单</w:t>
      </w:r>
      <w:r>
        <w:rPr>
          <w:rFonts w:hint="eastAsia" w:ascii="宋体" w:hAnsi="宋体"/>
          <w:color w:val="000000"/>
          <w:sz w:val="24"/>
          <w:highlight w:val="none"/>
          <w:shd w:val="clear" w:color="auto" w:fill="auto"/>
          <w:lang w:val="en-US" w:eastAsia="zh-CN"/>
        </w:rPr>
        <w:t>地</w:t>
      </w:r>
      <w:r>
        <w:rPr>
          <w:rFonts w:hint="eastAsia" w:ascii="宋体" w:hAnsi="宋体"/>
          <w:color w:val="000000"/>
          <w:sz w:val="24"/>
          <w:highlight w:val="none"/>
          <w:shd w:val="clear" w:color="auto" w:fill="auto"/>
        </w:rPr>
        <w:t>将营销与销售挂钩</w:t>
      </w:r>
      <w:r>
        <w:rPr>
          <w:rFonts w:hint="eastAsia" w:ascii="宋体" w:hAnsi="宋体"/>
          <w:color w:val="000000"/>
          <w:sz w:val="24"/>
          <w:highlight w:val="none"/>
          <w:shd w:val="clear" w:color="auto" w:fill="auto"/>
          <w:lang w:eastAsia="zh-CN"/>
        </w:rPr>
        <w:t>，</w:t>
      </w:r>
      <w:r>
        <w:rPr>
          <w:rFonts w:hint="eastAsia" w:ascii="宋体" w:hAnsi="宋体"/>
          <w:color w:val="000000"/>
          <w:sz w:val="24"/>
          <w:highlight w:val="none"/>
          <w:shd w:val="clear" w:color="auto" w:fill="auto"/>
        </w:rPr>
        <w:t>对市场营销岗位工作性质存在</w:t>
      </w:r>
      <w:r>
        <w:rPr>
          <w:rFonts w:hint="eastAsia" w:ascii="宋体" w:hAnsi="宋体"/>
          <w:color w:val="000000"/>
          <w:sz w:val="24"/>
          <w:highlight w:val="none"/>
          <w:shd w:val="clear" w:color="auto" w:fill="auto"/>
          <w:lang w:val="en-US" w:eastAsia="zh-CN"/>
        </w:rPr>
        <w:t>偏见</w:t>
      </w:r>
      <w:r>
        <w:rPr>
          <w:rFonts w:hint="eastAsia" w:ascii="宋体" w:hAnsi="宋体"/>
          <w:color w:val="000000"/>
          <w:sz w:val="24"/>
          <w:highlight w:val="none"/>
          <w:shd w:val="clear" w:color="auto" w:fill="auto"/>
        </w:rPr>
        <w:t>，难以接受该类型工作；</w:t>
      </w:r>
      <w:r>
        <w:rPr>
          <w:rFonts w:hint="eastAsia" w:ascii="宋体" w:hAnsi="宋体"/>
          <w:color w:val="000000"/>
          <w:sz w:val="24"/>
          <w:highlight w:val="none"/>
        </w:rPr>
        <w:t>三、市场营销岗专业性不强，部分专业</w:t>
      </w:r>
      <w:r>
        <w:rPr>
          <w:rFonts w:hint="eastAsia" w:ascii="宋体" w:hAnsi="宋体"/>
          <w:color w:val="000000"/>
          <w:sz w:val="24"/>
          <w:highlight w:val="none"/>
          <w:lang w:val="en-US" w:eastAsia="zh-CN"/>
        </w:rPr>
        <w:t>性</w:t>
      </w:r>
      <w:r>
        <w:rPr>
          <w:rFonts w:hint="eastAsia" w:ascii="宋体" w:hAnsi="宋体"/>
          <w:color w:val="000000"/>
          <w:sz w:val="24"/>
          <w:highlight w:val="none"/>
        </w:rPr>
        <w:t>较强的学生，如：财务管理、会计、金融、物流管理专业学生不对该类型岗位作为首选。很多企业招聘不到人，学生找不到工作的现象</w:t>
      </w:r>
      <w:r>
        <w:rPr>
          <w:rFonts w:hint="eastAsia" w:ascii="宋体" w:hAnsi="宋体"/>
          <w:color w:val="000000"/>
          <w:sz w:val="24"/>
          <w:highlight w:val="none"/>
          <w:lang w:val="en-US" w:eastAsia="zh-CN"/>
        </w:rPr>
        <w:t>成为常态</w:t>
      </w:r>
      <w:r>
        <w:rPr>
          <w:rFonts w:hint="eastAsia" w:ascii="宋体" w:hAnsi="宋体"/>
          <w:color w:val="000000"/>
          <w:sz w:val="24"/>
          <w:highlight w:val="none"/>
        </w:rPr>
        <w:t>生，结构性的就业供需矛盾成为主要原因。随着市场营运模式的发展，门店管理岗也是市场发展过程中产生的新型岗位，以零售、生鲜、食品饮料、租赁、物流等行业为主，以社区门店为主要形势。零售</w:t>
      </w:r>
      <w:r>
        <w:rPr>
          <w:rFonts w:hint="eastAsia" w:ascii="宋体" w:hAnsi="宋体"/>
          <w:color w:val="000000"/>
          <w:sz w:val="24"/>
          <w:highlight w:val="none"/>
          <w:lang w:val="en-US" w:eastAsia="zh-CN"/>
        </w:rPr>
        <w:t>行</w:t>
      </w:r>
      <w:r>
        <w:rPr>
          <w:rFonts w:hint="eastAsia" w:ascii="宋体" w:hAnsi="宋体"/>
          <w:color w:val="000000"/>
          <w:sz w:val="24"/>
          <w:highlight w:val="none"/>
        </w:rPr>
        <w:t>业如：日罗森、邻几，生鲜</w:t>
      </w:r>
      <w:r>
        <w:rPr>
          <w:rFonts w:hint="eastAsia" w:ascii="宋体" w:hAnsi="宋体"/>
          <w:color w:val="000000"/>
          <w:sz w:val="24"/>
          <w:highlight w:val="none"/>
          <w:lang w:val="en-US" w:eastAsia="zh-CN"/>
        </w:rPr>
        <w:t>行业</w:t>
      </w:r>
      <w:r>
        <w:rPr>
          <w:rFonts w:hint="eastAsia" w:ascii="宋体" w:hAnsi="宋体"/>
          <w:color w:val="000000"/>
          <w:sz w:val="24"/>
          <w:highlight w:val="none"/>
        </w:rPr>
        <w:t>如：谊品生鲜、钱大妈；食品饮料行业如：三只松鼠；租赁行业如：链家、吉大；物流行业如：菜鸟驿站、顺丰物流网点，等。同样，门店管理岗对专业度要求不高，企业招聘倾向于招聘经管类</w:t>
      </w:r>
      <w:r>
        <w:rPr>
          <w:rFonts w:hint="eastAsia" w:ascii="宋体" w:hAnsi="宋体"/>
          <w:color w:val="000000"/>
          <w:sz w:val="24"/>
          <w:highlight w:val="none"/>
          <w:lang w:val="en-US" w:eastAsia="zh-CN"/>
        </w:rPr>
        <w:t>专业</w:t>
      </w:r>
      <w:r>
        <w:rPr>
          <w:rFonts w:hint="eastAsia" w:ascii="宋体" w:hAnsi="宋体"/>
          <w:color w:val="000000"/>
          <w:sz w:val="24"/>
          <w:highlight w:val="none"/>
        </w:rPr>
        <w:t>学生从事相关工作。学生对从事门店管理岗位意向不强。主要原因同</w:t>
      </w:r>
      <w:r>
        <w:rPr>
          <w:rFonts w:hint="eastAsia" w:ascii="宋体" w:hAnsi="宋体"/>
          <w:color w:val="000000"/>
          <w:sz w:val="24"/>
          <w:highlight w:val="none"/>
          <w:lang w:val="en-US" w:eastAsia="zh-CN"/>
        </w:rPr>
        <w:t>不愿从事</w:t>
      </w:r>
      <w:r>
        <w:rPr>
          <w:rFonts w:hint="eastAsia" w:ascii="宋体" w:hAnsi="宋体"/>
          <w:color w:val="000000"/>
          <w:sz w:val="24"/>
          <w:highlight w:val="none"/>
        </w:rPr>
        <w:t>市场营销岗位原因之外，还有：学生综合能力欠缺，主动意识不强，刚毕业的学生难以胜任安排</w:t>
      </w:r>
      <w:r>
        <w:rPr>
          <w:rFonts w:hint="eastAsia" w:ascii="宋体" w:hAnsi="宋体"/>
          <w:color w:val="000000"/>
          <w:sz w:val="24"/>
          <w:highlight w:val="none"/>
          <w:lang w:val="en-US" w:eastAsia="zh-CN"/>
        </w:rPr>
        <w:t>的</w:t>
      </w:r>
      <w:r>
        <w:rPr>
          <w:rFonts w:hint="eastAsia" w:ascii="宋体" w:hAnsi="宋体"/>
          <w:color w:val="000000"/>
          <w:sz w:val="24"/>
          <w:highlight w:val="none"/>
        </w:rPr>
        <w:t>岗位。</w:t>
      </w:r>
    </w:p>
    <w:p>
      <w:pPr>
        <w:adjustRightInd w:val="0"/>
        <w:snapToGrid w:val="0"/>
        <w:spacing w:line="360" w:lineRule="auto"/>
        <w:ind w:firstLine="480" w:firstLineChars="200"/>
        <w:rPr>
          <w:rFonts w:hint="eastAsia" w:ascii="宋体" w:hAnsi="宋体"/>
          <w:color w:val="000000"/>
          <w:sz w:val="24"/>
          <w:highlight w:val="none"/>
        </w:rPr>
      </w:pPr>
      <w:r>
        <w:rPr>
          <w:rFonts w:hint="eastAsia" w:ascii="宋体" w:hAnsi="宋体"/>
          <w:color w:val="000000"/>
          <w:sz w:val="24"/>
          <w:highlight w:val="none"/>
        </w:rPr>
        <w:t>相比运营管理类岗位，学生更加倾向选择专业性较强的</w:t>
      </w:r>
      <w:r>
        <w:rPr>
          <w:rFonts w:hint="eastAsia" w:ascii="宋体" w:hAnsi="宋体"/>
          <w:color w:val="000000"/>
          <w:sz w:val="24"/>
          <w:highlight w:val="none"/>
          <w:lang w:val="en-US" w:eastAsia="zh-CN"/>
        </w:rPr>
        <w:t>专业技能</w:t>
      </w:r>
      <w:r>
        <w:rPr>
          <w:rFonts w:hint="eastAsia" w:ascii="宋体" w:hAnsi="宋体"/>
          <w:color w:val="000000"/>
          <w:sz w:val="24"/>
          <w:highlight w:val="none"/>
        </w:rPr>
        <w:t>类岗位，对应的行业也是专业对口度高的金融行业。银行成为经济与管理学院毕业生主要选择的对象之一。202</w:t>
      </w:r>
      <w:r>
        <w:rPr>
          <w:rFonts w:hint="eastAsia" w:ascii="宋体" w:hAnsi="宋体"/>
          <w:color w:val="000000"/>
          <w:sz w:val="24"/>
          <w:highlight w:val="none"/>
          <w:lang w:val="en-US" w:eastAsia="zh-CN"/>
        </w:rPr>
        <w:t>2</w:t>
      </w:r>
      <w:r>
        <w:rPr>
          <w:rFonts w:hint="eastAsia" w:ascii="宋体" w:hAnsi="宋体"/>
          <w:color w:val="000000"/>
          <w:sz w:val="24"/>
          <w:highlight w:val="none"/>
        </w:rPr>
        <w:t>届毕业生</w:t>
      </w:r>
      <w:r>
        <w:rPr>
          <w:rFonts w:hint="eastAsia" w:ascii="宋体" w:hAnsi="宋体"/>
          <w:color w:val="000000"/>
          <w:sz w:val="24"/>
          <w:highlight w:val="none"/>
          <w:lang w:val="en-US" w:eastAsia="zh-CN"/>
        </w:rPr>
        <w:t>617</w:t>
      </w:r>
      <w:r>
        <w:rPr>
          <w:rFonts w:hint="eastAsia" w:ascii="宋体" w:hAnsi="宋体"/>
          <w:color w:val="000000"/>
          <w:sz w:val="24"/>
          <w:highlight w:val="none"/>
        </w:rPr>
        <w:t>人，前往银行就业</w:t>
      </w:r>
      <w:r>
        <w:rPr>
          <w:rFonts w:hint="eastAsia" w:ascii="宋体" w:hAnsi="宋体"/>
          <w:color w:val="000000"/>
          <w:sz w:val="24"/>
          <w:highlight w:val="none"/>
          <w:lang w:val="en-US" w:eastAsia="zh-CN"/>
        </w:rPr>
        <w:t>24</w:t>
      </w:r>
      <w:r>
        <w:rPr>
          <w:rFonts w:hint="eastAsia" w:ascii="宋体" w:hAnsi="宋体"/>
          <w:color w:val="000000"/>
          <w:sz w:val="24"/>
          <w:highlight w:val="none"/>
        </w:rPr>
        <w:t>人，占比</w:t>
      </w:r>
      <w:r>
        <w:rPr>
          <w:rFonts w:hint="eastAsia" w:ascii="宋体" w:hAnsi="宋体"/>
          <w:color w:val="000000"/>
          <w:sz w:val="24"/>
          <w:highlight w:val="none"/>
          <w:lang w:val="en-US" w:eastAsia="zh-CN"/>
        </w:rPr>
        <w:t>仅3.89</w:t>
      </w:r>
      <w:r>
        <w:rPr>
          <w:rFonts w:hint="eastAsia" w:ascii="宋体" w:hAnsi="宋体"/>
          <w:color w:val="000000"/>
          <w:sz w:val="24"/>
          <w:highlight w:val="none"/>
        </w:rPr>
        <w:t>%。具体到各个专业</w:t>
      </w:r>
      <w:r>
        <w:rPr>
          <w:rFonts w:hint="eastAsia" w:ascii="宋体" w:hAnsi="宋体"/>
          <w:color w:val="000000"/>
          <w:sz w:val="24"/>
          <w:highlight w:val="none"/>
          <w:lang w:val="en-US" w:eastAsia="zh-CN"/>
        </w:rPr>
        <w:t>技能</w:t>
      </w:r>
      <w:r>
        <w:rPr>
          <w:rFonts w:hint="eastAsia" w:ascii="宋体" w:hAnsi="宋体"/>
          <w:color w:val="000000"/>
          <w:sz w:val="24"/>
          <w:highlight w:val="none"/>
        </w:rPr>
        <w:t>岗主要就业去向有：经济</w:t>
      </w:r>
      <w:r>
        <w:rPr>
          <w:rFonts w:hint="eastAsia" w:ascii="宋体" w:hAnsi="宋体"/>
          <w:color w:val="000000"/>
          <w:sz w:val="24"/>
          <w:highlight w:val="none"/>
          <w:lang w:val="en-US" w:eastAsia="zh-CN"/>
        </w:rPr>
        <w:t>学</w:t>
      </w:r>
      <w:r>
        <w:rPr>
          <w:rFonts w:hint="eastAsia" w:ascii="宋体" w:hAnsi="宋体"/>
          <w:color w:val="000000"/>
          <w:sz w:val="24"/>
          <w:highlight w:val="none"/>
        </w:rPr>
        <w:t>、金融</w:t>
      </w:r>
      <w:r>
        <w:rPr>
          <w:rFonts w:hint="eastAsia" w:ascii="宋体" w:hAnsi="宋体"/>
          <w:color w:val="000000"/>
          <w:sz w:val="24"/>
          <w:highlight w:val="none"/>
          <w:lang w:val="en-US" w:eastAsia="zh-CN"/>
        </w:rPr>
        <w:t>学</w:t>
      </w:r>
      <w:r>
        <w:rPr>
          <w:rFonts w:hint="eastAsia" w:ascii="宋体" w:hAnsi="宋体"/>
          <w:color w:val="000000"/>
          <w:sz w:val="24"/>
          <w:highlight w:val="none"/>
        </w:rPr>
        <w:t>专业对应的银行，</w:t>
      </w:r>
      <w:r>
        <w:rPr>
          <w:rFonts w:hint="eastAsia" w:ascii="宋体" w:hAnsi="宋体"/>
          <w:color w:val="000000"/>
          <w:sz w:val="24"/>
          <w:highlight w:val="none"/>
          <w:lang w:val="en-US" w:eastAsia="zh-CN"/>
        </w:rPr>
        <w:t>财会</w:t>
      </w:r>
      <w:r>
        <w:rPr>
          <w:rFonts w:hint="eastAsia" w:ascii="宋体" w:hAnsi="宋体"/>
          <w:color w:val="000000"/>
          <w:sz w:val="24"/>
          <w:highlight w:val="none"/>
        </w:rPr>
        <w:t>专业对应的会计事务所、银行，物流专业对应的物流企业。经管类尤其经济</w:t>
      </w:r>
      <w:r>
        <w:rPr>
          <w:rFonts w:hint="eastAsia" w:ascii="宋体" w:hAnsi="宋体"/>
          <w:color w:val="000000"/>
          <w:sz w:val="24"/>
          <w:highlight w:val="none"/>
          <w:lang w:val="en-US" w:eastAsia="zh-CN"/>
        </w:rPr>
        <w:t>学</w:t>
      </w:r>
      <w:r>
        <w:rPr>
          <w:rFonts w:hint="eastAsia" w:ascii="宋体" w:hAnsi="宋体"/>
          <w:color w:val="000000"/>
          <w:sz w:val="24"/>
          <w:highlight w:val="none"/>
        </w:rPr>
        <w:t>、金融</w:t>
      </w:r>
      <w:r>
        <w:rPr>
          <w:rFonts w:hint="eastAsia" w:ascii="宋体" w:hAnsi="宋体"/>
          <w:color w:val="000000"/>
          <w:sz w:val="24"/>
          <w:highlight w:val="none"/>
          <w:lang w:val="en-US" w:eastAsia="zh-CN"/>
        </w:rPr>
        <w:t>学</w:t>
      </w:r>
      <w:r>
        <w:rPr>
          <w:rFonts w:hint="eastAsia" w:ascii="宋体" w:hAnsi="宋体"/>
          <w:color w:val="000000"/>
          <w:sz w:val="24"/>
          <w:highlight w:val="none"/>
        </w:rPr>
        <w:t>专业学生在证券行业就业</w:t>
      </w:r>
      <w:r>
        <w:rPr>
          <w:rFonts w:hint="eastAsia" w:ascii="宋体" w:hAnsi="宋体"/>
          <w:color w:val="000000"/>
          <w:sz w:val="24"/>
          <w:highlight w:val="none"/>
          <w:lang w:val="en-US" w:eastAsia="zh-CN"/>
        </w:rPr>
        <w:t>人数</w:t>
      </w:r>
      <w:r>
        <w:rPr>
          <w:rFonts w:hint="eastAsia" w:ascii="宋体" w:hAnsi="宋体"/>
          <w:color w:val="000000"/>
          <w:sz w:val="24"/>
          <w:highlight w:val="none"/>
        </w:rPr>
        <w:t>少与该行业市场需求</w:t>
      </w:r>
      <w:r>
        <w:rPr>
          <w:rFonts w:hint="eastAsia" w:ascii="宋体" w:hAnsi="宋体"/>
          <w:color w:val="000000"/>
          <w:sz w:val="24"/>
          <w:highlight w:val="none"/>
          <w:lang w:eastAsia="zh-CN"/>
        </w:rPr>
        <w:t>、</w:t>
      </w:r>
      <w:r>
        <w:rPr>
          <w:rFonts w:hint="eastAsia" w:ascii="宋体" w:hAnsi="宋体"/>
          <w:color w:val="000000"/>
          <w:sz w:val="24"/>
          <w:highlight w:val="none"/>
          <w:lang w:val="en-US" w:eastAsia="zh-CN"/>
        </w:rPr>
        <w:t>社会经济环境</w:t>
      </w:r>
      <w:r>
        <w:rPr>
          <w:rFonts w:hint="eastAsia" w:ascii="宋体" w:hAnsi="宋体"/>
          <w:color w:val="000000"/>
          <w:sz w:val="24"/>
          <w:highlight w:val="none"/>
        </w:rPr>
        <w:t>有</w:t>
      </w:r>
      <w:r>
        <w:rPr>
          <w:rFonts w:hint="eastAsia" w:ascii="宋体" w:hAnsi="宋体"/>
          <w:color w:val="000000"/>
          <w:sz w:val="24"/>
          <w:highlight w:val="none"/>
          <w:lang w:val="en-US" w:eastAsia="zh-CN"/>
        </w:rPr>
        <w:t>较大</w:t>
      </w:r>
      <w:r>
        <w:rPr>
          <w:rFonts w:hint="eastAsia" w:ascii="宋体" w:hAnsi="宋体"/>
          <w:color w:val="000000"/>
          <w:sz w:val="24"/>
          <w:highlight w:val="none"/>
        </w:rPr>
        <w:t>的关系：金融行业</w:t>
      </w:r>
      <w:r>
        <w:rPr>
          <w:rFonts w:hint="eastAsia" w:ascii="宋体" w:hAnsi="宋体"/>
          <w:color w:val="000000"/>
          <w:sz w:val="24"/>
          <w:highlight w:val="none"/>
          <w:lang w:val="en-US" w:eastAsia="zh-CN"/>
        </w:rPr>
        <w:t>专业技能</w:t>
      </w:r>
      <w:r>
        <w:rPr>
          <w:rFonts w:hint="eastAsia" w:ascii="宋体" w:hAnsi="宋体"/>
          <w:color w:val="000000"/>
          <w:sz w:val="24"/>
          <w:highlight w:val="none"/>
        </w:rPr>
        <w:t>类岗位对第一学历和最高学历均有很高的要求，学生难以获得相关工作机会；毕业生能够应聘的</w:t>
      </w:r>
      <w:r>
        <w:rPr>
          <w:rFonts w:hint="eastAsia" w:ascii="宋体" w:hAnsi="宋体"/>
          <w:color w:val="000000"/>
          <w:sz w:val="24"/>
          <w:highlight w:val="none"/>
          <w:lang w:val="en-US" w:eastAsia="zh-CN"/>
        </w:rPr>
        <w:t>仅限于</w:t>
      </w:r>
      <w:r>
        <w:rPr>
          <w:rFonts w:hint="eastAsia" w:ascii="宋体" w:hAnsi="宋体"/>
          <w:color w:val="000000"/>
          <w:sz w:val="24"/>
          <w:highlight w:val="none"/>
        </w:rPr>
        <w:t>证券行业营销类岗位，毕业生对该类型岗位意向不强，供需矛盾</w:t>
      </w:r>
      <w:r>
        <w:rPr>
          <w:rFonts w:hint="eastAsia" w:ascii="宋体" w:hAnsi="宋体"/>
          <w:color w:val="000000"/>
          <w:sz w:val="24"/>
          <w:highlight w:val="none"/>
          <w:lang w:val="en-US" w:eastAsia="zh-CN"/>
        </w:rPr>
        <w:t>明显</w:t>
      </w:r>
      <w:r>
        <w:rPr>
          <w:rFonts w:hint="eastAsia" w:ascii="宋体" w:hAnsi="宋体"/>
          <w:color w:val="000000"/>
          <w:sz w:val="24"/>
          <w:highlight w:val="none"/>
        </w:rPr>
        <w:t>。经济学、金融学考研考公意向人员占比高也是供需矛盾下学生选择解决矛盾的办法之一。202</w:t>
      </w:r>
      <w:r>
        <w:rPr>
          <w:rFonts w:hint="eastAsia" w:ascii="宋体" w:hAnsi="宋体"/>
          <w:color w:val="000000"/>
          <w:sz w:val="24"/>
          <w:highlight w:val="none"/>
          <w:lang w:val="en-US" w:eastAsia="zh-CN"/>
        </w:rPr>
        <w:t>2</w:t>
      </w:r>
      <w:r>
        <w:rPr>
          <w:rFonts w:hint="eastAsia" w:ascii="宋体" w:hAnsi="宋体"/>
          <w:color w:val="000000"/>
          <w:sz w:val="24"/>
          <w:highlight w:val="none"/>
        </w:rPr>
        <w:t>届毕业生各专业就业类型结构图可以看出，</w:t>
      </w:r>
      <w:r>
        <w:rPr>
          <w:rFonts w:hint="eastAsia" w:ascii="宋体" w:hAnsi="宋体"/>
          <w:color w:val="000000"/>
          <w:sz w:val="24"/>
          <w:highlight w:val="none"/>
          <w:lang w:val="en-US" w:eastAsia="zh-CN"/>
        </w:rPr>
        <w:t>经济学</w:t>
      </w:r>
      <w:r>
        <w:rPr>
          <w:rFonts w:hint="eastAsia" w:ascii="宋体" w:hAnsi="宋体"/>
          <w:color w:val="000000"/>
          <w:sz w:val="24"/>
          <w:highlight w:val="none"/>
        </w:rPr>
        <w:t>专业学生考研</w:t>
      </w:r>
      <w:r>
        <w:rPr>
          <w:rFonts w:hint="eastAsia" w:ascii="宋体" w:hAnsi="宋体"/>
          <w:color w:val="000000"/>
          <w:sz w:val="24"/>
          <w:highlight w:val="none"/>
          <w:lang w:val="en-US" w:eastAsia="zh-CN"/>
        </w:rPr>
        <w:t>占</w:t>
      </w:r>
      <w:r>
        <w:rPr>
          <w:rFonts w:hint="eastAsia" w:ascii="宋体" w:hAnsi="宋体"/>
          <w:color w:val="000000"/>
          <w:sz w:val="24"/>
          <w:highlight w:val="none"/>
        </w:rPr>
        <w:t>比低，</w:t>
      </w:r>
      <w:r>
        <w:rPr>
          <w:rFonts w:hint="eastAsia" w:ascii="宋体" w:hAnsi="宋体"/>
          <w:color w:val="000000"/>
          <w:sz w:val="24"/>
          <w:highlight w:val="none"/>
          <w:lang w:val="en-US" w:eastAsia="zh-CN"/>
        </w:rPr>
        <w:t>金融学专业学生基数大，</w:t>
      </w:r>
      <w:r>
        <w:rPr>
          <w:rFonts w:hint="eastAsia" w:ascii="宋体" w:hAnsi="宋体"/>
          <w:color w:val="000000"/>
          <w:sz w:val="24"/>
          <w:highlight w:val="none"/>
        </w:rPr>
        <w:t>就业结构矛盾、就业问题</w:t>
      </w:r>
      <w:r>
        <w:rPr>
          <w:rFonts w:hint="eastAsia" w:ascii="宋体" w:hAnsi="宋体"/>
          <w:color w:val="000000"/>
          <w:sz w:val="24"/>
          <w:highlight w:val="none"/>
          <w:lang w:val="en-US" w:eastAsia="zh-CN"/>
        </w:rPr>
        <w:t>持续</w:t>
      </w:r>
      <w:r>
        <w:rPr>
          <w:rFonts w:hint="eastAsia" w:ascii="宋体" w:hAnsi="宋体"/>
          <w:color w:val="000000"/>
          <w:sz w:val="24"/>
          <w:highlight w:val="none"/>
        </w:rPr>
        <w:t>存在。深层次的原因为经管类</w:t>
      </w:r>
      <w:r>
        <w:rPr>
          <w:rFonts w:hint="eastAsia" w:ascii="宋体" w:hAnsi="宋体"/>
          <w:color w:val="000000"/>
          <w:sz w:val="24"/>
          <w:highlight w:val="none"/>
          <w:lang w:val="en-US" w:eastAsia="zh-CN"/>
        </w:rPr>
        <w:t>专业</w:t>
      </w:r>
      <w:r>
        <w:rPr>
          <w:rFonts w:hint="eastAsia" w:ascii="宋体" w:hAnsi="宋体"/>
          <w:color w:val="000000"/>
          <w:sz w:val="24"/>
          <w:highlight w:val="none"/>
        </w:rPr>
        <w:t>考研升学难，考公成功率低。</w:t>
      </w:r>
      <w:r>
        <w:rPr>
          <w:rFonts w:hint="eastAsia" w:ascii="宋体" w:hAnsi="宋体"/>
          <w:color w:val="000000"/>
          <w:sz w:val="24"/>
          <w:highlight w:val="none"/>
          <w:lang w:val="en-US" w:eastAsia="zh-CN"/>
        </w:rPr>
        <w:t>会计专业学生依然如此，考研、考公学生与企业就业学生两极分化严重。</w:t>
      </w:r>
      <w:r>
        <w:rPr>
          <w:rFonts w:hint="eastAsia" w:ascii="宋体" w:hAnsi="宋体"/>
          <w:color w:val="000000"/>
          <w:sz w:val="24"/>
          <w:highlight w:val="none"/>
        </w:rPr>
        <w:t>认清就业形势，合理规划职业目标，确保自身充分就业是</w:t>
      </w:r>
      <w:r>
        <w:rPr>
          <w:rFonts w:hint="eastAsia" w:ascii="宋体" w:hAnsi="宋体"/>
          <w:color w:val="000000"/>
          <w:sz w:val="24"/>
          <w:highlight w:val="none"/>
          <w:lang w:val="en-US" w:eastAsia="zh-CN"/>
        </w:rPr>
        <w:t>解决</w:t>
      </w:r>
      <w:r>
        <w:rPr>
          <w:rFonts w:hint="eastAsia" w:ascii="宋体" w:hAnsi="宋体"/>
          <w:color w:val="000000"/>
          <w:sz w:val="24"/>
          <w:highlight w:val="none"/>
        </w:rPr>
        <w:t>就业困难的</w:t>
      </w:r>
      <w:r>
        <w:rPr>
          <w:rFonts w:hint="eastAsia" w:ascii="宋体" w:hAnsi="宋体"/>
          <w:color w:val="000000"/>
          <w:sz w:val="24"/>
          <w:highlight w:val="none"/>
          <w:lang w:val="en-US" w:eastAsia="zh-CN"/>
        </w:rPr>
        <w:t>根本</w:t>
      </w:r>
      <w:r>
        <w:rPr>
          <w:rFonts w:hint="eastAsia" w:ascii="宋体" w:hAnsi="宋体"/>
          <w:color w:val="000000"/>
          <w:sz w:val="24"/>
          <w:highlight w:val="none"/>
        </w:rPr>
        <w:t>途径。同样的，国际经济与贸易专业学生前往外贸企业从事</w:t>
      </w:r>
      <w:r>
        <w:rPr>
          <w:rFonts w:hint="eastAsia" w:ascii="宋体" w:hAnsi="宋体"/>
          <w:color w:val="000000"/>
          <w:sz w:val="24"/>
          <w:highlight w:val="none"/>
          <w:lang w:val="en-US" w:eastAsia="zh-CN"/>
        </w:rPr>
        <w:t>专业技能</w:t>
      </w:r>
      <w:r>
        <w:rPr>
          <w:rFonts w:hint="eastAsia" w:ascii="宋体" w:hAnsi="宋体"/>
          <w:color w:val="000000"/>
          <w:sz w:val="24"/>
          <w:highlight w:val="none"/>
        </w:rPr>
        <w:t>类岗位就业数人数少。常态化疫情下的国际政治形势严峻，贸易顺差不断收窄，对外贸行业造成一定的影响，但整体国内大体的加工制造业供应链完备，生产平稳，对外贸易货源充足，外贸行业处在平稳趋势。国际经济与贸易学生从事本专业行业业务类岗位意向度较低的原因有以下几点：一、外贸业务岗位作息不规律，学生较为排斥；二、部分企业外贸岗位有出国要求，女生意愿度不强；三、外贸业务岗位对英语水平有一定的要求，部分学生难以胜任。</w:t>
      </w:r>
    </w:p>
    <w:p>
      <w:pPr>
        <w:adjustRightInd w:val="0"/>
        <w:snapToGrid w:val="0"/>
        <w:spacing w:line="360" w:lineRule="auto"/>
        <w:ind w:firstLine="480" w:firstLineChars="200"/>
        <w:rPr>
          <w:rFonts w:hint="eastAsia" w:ascii="宋体" w:hAnsi="宋体"/>
          <w:color w:val="000000"/>
          <w:sz w:val="24"/>
          <w:highlight w:val="none"/>
        </w:rPr>
      </w:pPr>
      <w:r>
        <w:rPr>
          <w:rFonts w:hint="eastAsia" w:ascii="宋体" w:hAnsi="宋体"/>
          <w:color w:val="000000"/>
          <w:sz w:val="24"/>
          <w:highlight w:val="none"/>
        </w:rPr>
        <w:t>职能管理类岗位受到了经济与管理学院毕业生的追崇，如人力资源岗、行政管理岗、财务岗，主要基于岗位特性：一、工作稳定性强，出差少；二、工作作息规律，工作强度适中；三、专业相关度较高，工作性质较为适合女生。实际上，企业在招聘中，职能管理类岗位</w:t>
      </w:r>
      <w:r>
        <w:rPr>
          <w:rFonts w:hint="eastAsia" w:ascii="宋体" w:hAnsi="宋体"/>
          <w:color w:val="000000"/>
          <w:sz w:val="24"/>
          <w:highlight w:val="none"/>
          <w:lang w:val="en-US" w:eastAsia="zh-CN"/>
        </w:rPr>
        <w:t>需求</w:t>
      </w:r>
      <w:r>
        <w:rPr>
          <w:rFonts w:hint="eastAsia" w:ascii="宋体" w:hAnsi="宋体"/>
          <w:color w:val="000000"/>
          <w:sz w:val="24"/>
          <w:highlight w:val="none"/>
        </w:rPr>
        <w:t>较少，也是基于岗位特性</w:t>
      </w:r>
      <w:r>
        <w:rPr>
          <w:rFonts w:hint="eastAsia" w:ascii="宋体" w:hAnsi="宋体"/>
          <w:color w:val="000000"/>
          <w:sz w:val="24"/>
          <w:highlight w:val="none"/>
          <w:lang w:val="en-US" w:eastAsia="zh-CN"/>
        </w:rPr>
        <w:t>导致的</w:t>
      </w:r>
      <w:r>
        <w:rPr>
          <w:rFonts w:hint="eastAsia" w:ascii="宋体" w:hAnsi="宋体"/>
          <w:color w:val="000000"/>
          <w:sz w:val="24"/>
          <w:highlight w:val="none"/>
        </w:rPr>
        <w:t>：一、职能管理类岗位离职率低，缺口小；二、职能类岗位编制少，需求小。岗位供需矛盾一直存在。</w:t>
      </w:r>
    </w:p>
    <w:p>
      <w:pPr>
        <w:adjustRightInd w:val="0"/>
        <w:snapToGrid w:val="0"/>
        <w:spacing w:line="360" w:lineRule="auto"/>
        <w:ind w:firstLine="480" w:firstLineChars="200"/>
        <w:rPr>
          <w:rFonts w:ascii="宋体" w:hAnsi="宋体"/>
          <w:color w:val="000000"/>
          <w:sz w:val="24"/>
          <w:highlight w:val="none"/>
        </w:rPr>
      </w:pPr>
      <w:r>
        <w:rPr>
          <w:rFonts w:hint="eastAsia" w:ascii="宋体" w:hAnsi="宋体"/>
          <w:color w:val="000000"/>
          <w:sz w:val="24"/>
          <w:highlight w:val="none"/>
        </w:rPr>
        <w:t>经管类</w:t>
      </w:r>
      <w:r>
        <w:rPr>
          <w:rFonts w:hint="eastAsia" w:ascii="宋体" w:hAnsi="宋体"/>
          <w:color w:val="000000"/>
          <w:sz w:val="24"/>
          <w:highlight w:val="none"/>
          <w:lang w:val="en-US" w:eastAsia="zh-CN"/>
        </w:rPr>
        <w:t>专业</w:t>
      </w:r>
      <w:r>
        <w:rPr>
          <w:rFonts w:hint="eastAsia" w:ascii="宋体" w:hAnsi="宋体"/>
          <w:color w:val="000000"/>
          <w:sz w:val="24"/>
          <w:highlight w:val="none"/>
        </w:rPr>
        <w:t>毕业生就业</w:t>
      </w:r>
      <w:r>
        <w:rPr>
          <w:rFonts w:hint="eastAsia" w:ascii="宋体" w:hAnsi="宋体"/>
          <w:color w:val="000000"/>
          <w:sz w:val="24"/>
          <w:highlight w:val="none"/>
          <w:lang w:val="en-US" w:eastAsia="zh-CN"/>
        </w:rPr>
        <w:t>除上述</w:t>
      </w:r>
      <w:r>
        <w:rPr>
          <w:rFonts w:hint="eastAsia" w:ascii="宋体" w:hAnsi="宋体"/>
          <w:color w:val="000000"/>
          <w:sz w:val="24"/>
          <w:highlight w:val="none"/>
        </w:rPr>
        <w:t>问题外，就业困难主要</w:t>
      </w:r>
      <w:r>
        <w:rPr>
          <w:rFonts w:hint="eastAsia" w:ascii="宋体" w:hAnsi="宋体"/>
          <w:color w:val="000000"/>
          <w:sz w:val="24"/>
          <w:highlight w:val="none"/>
          <w:lang w:val="en-US" w:eastAsia="zh-CN"/>
        </w:rPr>
        <w:t>还</w:t>
      </w:r>
      <w:r>
        <w:rPr>
          <w:rFonts w:hint="eastAsia" w:ascii="宋体" w:hAnsi="宋体"/>
          <w:color w:val="000000"/>
          <w:sz w:val="24"/>
          <w:highlight w:val="none"/>
        </w:rPr>
        <w:t>有以下几点原因：</w:t>
      </w:r>
    </w:p>
    <w:p>
      <w:pPr>
        <w:adjustRightInd w:val="0"/>
        <w:snapToGrid w:val="0"/>
        <w:spacing w:line="360" w:lineRule="auto"/>
        <w:ind w:firstLine="480" w:firstLineChars="200"/>
        <w:rPr>
          <w:rFonts w:hint="eastAsia" w:ascii="宋体" w:hAnsi="宋体"/>
          <w:color w:val="000000"/>
          <w:sz w:val="24"/>
          <w:highlight w:val="none"/>
        </w:rPr>
      </w:pPr>
      <w:r>
        <w:rPr>
          <w:rFonts w:ascii="宋体" w:hAnsi="宋体"/>
          <w:color w:val="000000"/>
          <w:sz w:val="24"/>
          <w:highlight w:val="none"/>
        </w:rPr>
        <w:t>(1)</w:t>
      </w:r>
      <w:r>
        <w:rPr>
          <w:rFonts w:hint="eastAsia" w:ascii="宋体" w:hAnsi="宋体"/>
          <w:color w:val="000000"/>
          <w:sz w:val="24"/>
          <w:highlight w:val="none"/>
        </w:rPr>
        <w:t>受</w:t>
      </w:r>
      <w:r>
        <w:rPr>
          <w:rFonts w:hint="eastAsia" w:ascii="宋体" w:hAnsi="宋体"/>
          <w:color w:val="000000"/>
          <w:sz w:val="24"/>
          <w:highlight w:val="none"/>
          <w:lang w:val="en-US" w:eastAsia="zh-CN"/>
        </w:rPr>
        <w:t>常态化</w:t>
      </w:r>
      <w:r>
        <w:rPr>
          <w:rFonts w:hint="eastAsia" w:ascii="宋体" w:hAnsi="宋体"/>
          <w:color w:val="000000"/>
          <w:sz w:val="24"/>
          <w:highlight w:val="none"/>
        </w:rPr>
        <w:t>疫情影响，经济形势严峻，企业招聘需求减少。毕业生考研、考公作为</w:t>
      </w:r>
      <w:r>
        <w:rPr>
          <w:rFonts w:hint="eastAsia" w:ascii="宋体" w:hAnsi="宋体"/>
          <w:color w:val="000000"/>
          <w:sz w:val="24"/>
          <w:highlight w:val="none"/>
          <w:lang w:val="en-US" w:eastAsia="zh-CN"/>
        </w:rPr>
        <w:t>就业</w:t>
      </w:r>
      <w:r>
        <w:rPr>
          <w:rFonts w:hint="eastAsia" w:ascii="宋体" w:hAnsi="宋体"/>
          <w:color w:val="000000"/>
          <w:sz w:val="24"/>
          <w:highlight w:val="none"/>
        </w:rPr>
        <w:t>第一选择意向更加</w:t>
      </w:r>
      <w:r>
        <w:rPr>
          <w:rFonts w:hint="eastAsia" w:ascii="宋体" w:hAnsi="宋体"/>
          <w:color w:val="000000"/>
          <w:sz w:val="24"/>
          <w:highlight w:val="none"/>
          <w:lang w:val="en-US" w:eastAsia="zh-CN"/>
        </w:rPr>
        <w:t>明确</w:t>
      </w:r>
      <w:r>
        <w:rPr>
          <w:rFonts w:hint="eastAsia" w:ascii="宋体" w:hAnsi="宋体"/>
          <w:color w:val="000000"/>
          <w:sz w:val="24"/>
          <w:highlight w:val="none"/>
        </w:rPr>
        <w:t>。学生在备战考研、考公之际，没有充分参与企业招聘</w:t>
      </w:r>
      <w:r>
        <w:rPr>
          <w:rFonts w:hint="eastAsia" w:ascii="宋体" w:hAnsi="宋体"/>
          <w:color w:val="000000"/>
          <w:sz w:val="24"/>
          <w:highlight w:val="none"/>
          <w:lang w:val="en-US" w:eastAsia="zh-CN"/>
        </w:rPr>
        <w:t>活动</w:t>
      </w:r>
      <w:r>
        <w:rPr>
          <w:rFonts w:hint="eastAsia" w:ascii="宋体" w:hAnsi="宋体"/>
          <w:color w:val="000000"/>
          <w:sz w:val="24"/>
          <w:highlight w:val="none"/>
        </w:rPr>
        <w:t>，错失最佳就业</w:t>
      </w:r>
      <w:r>
        <w:rPr>
          <w:rFonts w:hint="eastAsia" w:ascii="宋体" w:hAnsi="宋体"/>
          <w:color w:val="000000"/>
          <w:sz w:val="24"/>
          <w:highlight w:val="none"/>
          <w:lang w:val="en-US" w:eastAsia="zh-CN"/>
        </w:rPr>
        <w:t>时期</w:t>
      </w:r>
      <w:r>
        <w:rPr>
          <w:rFonts w:hint="eastAsia" w:ascii="宋体" w:hAnsi="宋体"/>
          <w:color w:val="000000"/>
          <w:sz w:val="24"/>
          <w:highlight w:val="none"/>
        </w:rPr>
        <w:t>，后期就业难度</w:t>
      </w:r>
      <w:r>
        <w:rPr>
          <w:rFonts w:hint="eastAsia" w:ascii="宋体" w:hAnsi="宋体"/>
          <w:color w:val="000000"/>
          <w:sz w:val="24"/>
          <w:highlight w:val="none"/>
          <w:lang w:val="en-US" w:eastAsia="zh-CN"/>
        </w:rPr>
        <w:t>大大增加</w:t>
      </w:r>
      <w:r>
        <w:rPr>
          <w:rFonts w:hint="eastAsia" w:ascii="宋体" w:hAnsi="宋体"/>
          <w:color w:val="000000"/>
          <w:sz w:val="24"/>
          <w:highlight w:val="none"/>
        </w:rPr>
        <w:t>。学生再次考研、考公情况</w:t>
      </w:r>
      <w:r>
        <w:rPr>
          <w:rFonts w:hint="eastAsia" w:ascii="宋体" w:hAnsi="宋体"/>
          <w:color w:val="000000"/>
          <w:sz w:val="24"/>
          <w:highlight w:val="none"/>
          <w:lang w:val="en-US" w:eastAsia="zh-CN"/>
        </w:rPr>
        <w:t>显著增加</w:t>
      </w:r>
      <w:r>
        <w:rPr>
          <w:rFonts w:hint="eastAsia" w:ascii="宋体" w:hAnsi="宋体"/>
          <w:color w:val="000000"/>
          <w:sz w:val="24"/>
          <w:highlight w:val="none"/>
        </w:rPr>
        <w:t>。</w:t>
      </w:r>
    </w:p>
    <w:p>
      <w:pPr>
        <w:adjustRightInd w:val="0"/>
        <w:snapToGrid w:val="0"/>
        <w:spacing w:line="360" w:lineRule="auto"/>
        <w:ind w:firstLine="480" w:firstLineChars="200"/>
        <w:rPr>
          <w:rFonts w:hint="eastAsia" w:ascii="宋体" w:hAnsi="宋体"/>
          <w:color w:val="000000"/>
          <w:sz w:val="24"/>
          <w:highlight w:val="none"/>
        </w:rPr>
      </w:pPr>
      <w:r>
        <w:rPr>
          <w:rFonts w:hint="eastAsia" w:ascii="宋体" w:hAnsi="宋体"/>
          <w:color w:val="000000"/>
          <w:sz w:val="24"/>
          <w:highlight w:val="none"/>
        </w:rPr>
        <w:t>（2）应届毕业生数量年年攀登，202</w:t>
      </w:r>
      <w:r>
        <w:rPr>
          <w:rFonts w:hint="eastAsia" w:ascii="宋体" w:hAnsi="宋体"/>
          <w:color w:val="000000"/>
          <w:sz w:val="24"/>
          <w:highlight w:val="none"/>
          <w:lang w:val="en-US" w:eastAsia="zh-CN"/>
        </w:rPr>
        <w:t>2</w:t>
      </w:r>
      <w:r>
        <w:rPr>
          <w:rFonts w:hint="eastAsia" w:ascii="宋体" w:hAnsi="宋体"/>
          <w:color w:val="000000"/>
          <w:sz w:val="24"/>
          <w:highlight w:val="none"/>
        </w:rPr>
        <w:t>届毕业生数量再创新高，达</w:t>
      </w:r>
      <w:r>
        <w:rPr>
          <w:rFonts w:hint="eastAsia" w:ascii="宋体" w:hAnsi="宋体"/>
          <w:color w:val="000000"/>
          <w:sz w:val="24"/>
          <w:highlight w:val="none"/>
          <w:lang w:val="en-US" w:eastAsia="zh-CN"/>
        </w:rPr>
        <w:t>1076</w:t>
      </w:r>
      <w:r>
        <w:rPr>
          <w:rFonts w:hint="eastAsia" w:ascii="宋体" w:hAnsi="宋体"/>
          <w:color w:val="000000"/>
          <w:sz w:val="24"/>
          <w:highlight w:val="none"/>
        </w:rPr>
        <w:t>万，就业难度和竞争不断增加。疫情期间，重点高校毕业生就业难度加大，就业期望值降低，挤占其他普通高等院校就业空间；出国留学生回国就业数量不断增加，进一步挤国内高校毕业生就业空间。</w:t>
      </w:r>
    </w:p>
    <w:p>
      <w:pPr>
        <w:adjustRightInd w:val="0"/>
        <w:snapToGrid w:val="0"/>
        <w:spacing w:line="360" w:lineRule="auto"/>
        <w:ind w:firstLine="480" w:firstLineChars="200"/>
        <w:rPr>
          <w:rFonts w:hint="eastAsia" w:ascii="宋体" w:hAnsi="宋体"/>
          <w:color w:val="000000"/>
          <w:sz w:val="24"/>
          <w:highlight w:val="none"/>
        </w:rPr>
      </w:pPr>
      <w:r>
        <w:rPr>
          <w:rFonts w:hint="eastAsia" w:ascii="宋体" w:hAnsi="宋体"/>
          <w:color w:val="000000"/>
          <w:sz w:val="24"/>
          <w:highlight w:val="none"/>
        </w:rPr>
        <w:t>（3）学生选择工作区域</w:t>
      </w:r>
      <w:r>
        <w:rPr>
          <w:rFonts w:hint="eastAsia" w:ascii="宋体" w:hAnsi="宋体"/>
          <w:color w:val="000000"/>
          <w:sz w:val="24"/>
          <w:highlight w:val="none"/>
          <w:lang w:val="en-US" w:eastAsia="zh-CN"/>
        </w:rPr>
        <w:t>重点关注北上广深等一线城市、周边省会城市（含合肥）和新一线城市</w:t>
      </w:r>
      <w:r>
        <w:rPr>
          <w:rFonts w:hint="eastAsia" w:ascii="宋体" w:hAnsi="宋体"/>
          <w:color w:val="000000"/>
          <w:sz w:val="24"/>
          <w:highlight w:val="none"/>
        </w:rPr>
        <w:t>。就业</w:t>
      </w:r>
      <w:r>
        <w:rPr>
          <w:rFonts w:hint="eastAsia" w:ascii="宋体" w:hAnsi="宋体"/>
          <w:color w:val="000000"/>
          <w:sz w:val="24"/>
          <w:highlight w:val="none"/>
          <w:lang w:val="en-US" w:eastAsia="zh-CN"/>
        </w:rPr>
        <w:t>竞争激烈</w:t>
      </w:r>
      <w:r>
        <w:rPr>
          <w:rFonts w:hint="eastAsia" w:ascii="宋体" w:hAnsi="宋体"/>
          <w:color w:val="000000"/>
          <w:sz w:val="24"/>
          <w:highlight w:val="none"/>
        </w:rPr>
        <w:t>，就业难度大。</w:t>
      </w:r>
    </w:p>
    <w:p>
      <w:pPr>
        <w:adjustRightInd w:val="0"/>
        <w:snapToGrid w:val="0"/>
        <w:spacing w:line="360" w:lineRule="auto"/>
        <w:ind w:firstLine="480" w:firstLineChars="200"/>
        <w:rPr>
          <w:rFonts w:hint="default" w:ascii="宋体" w:hAnsi="宋体" w:eastAsia="宋体" w:cs="Times New Roman"/>
          <w:color w:val="000000"/>
          <w:sz w:val="24"/>
          <w:highlight w:val="none"/>
          <w:lang w:val="en-US" w:eastAsia="zh-CN"/>
        </w:rPr>
      </w:pPr>
      <w:r>
        <w:rPr>
          <w:rFonts w:hint="eastAsia" w:ascii="宋体" w:hAnsi="宋体"/>
          <w:color w:val="000000"/>
          <w:sz w:val="24"/>
          <w:highlight w:val="none"/>
          <w:lang w:eastAsia="zh-CN"/>
        </w:rPr>
        <w:t>（</w:t>
      </w:r>
      <w:r>
        <w:rPr>
          <w:rFonts w:hint="eastAsia" w:ascii="宋体" w:hAnsi="宋体"/>
          <w:color w:val="000000"/>
          <w:sz w:val="24"/>
          <w:highlight w:val="none"/>
          <w:lang w:val="en-US" w:eastAsia="zh-CN"/>
        </w:rPr>
        <w:t>4</w:t>
      </w:r>
      <w:r>
        <w:rPr>
          <w:rFonts w:hint="eastAsia" w:ascii="宋体" w:hAnsi="宋体"/>
          <w:color w:val="000000"/>
          <w:sz w:val="24"/>
          <w:highlight w:val="none"/>
          <w:lang w:eastAsia="zh-CN"/>
        </w:rPr>
        <w:t>）</w:t>
      </w:r>
      <w:r>
        <w:rPr>
          <w:rFonts w:hint="eastAsia" w:ascii="宋体" w:hAnsi="宋体"/>
          <w:color w:val="000000"/>
          <w:sz w:val="24"/>
          <w:highlight w:val="none"/>
          <w:lang w:val="en-US" w:eastAsia="zh-CN"/>
        </w:rPr>
        <w:t>2021年，经管学院</w:t>
      </w:r>
      <w:r>
        <w:rPr>
          <w:rFonts w:hint="eastAsia" w:ascii="宋体" w:hAnsi="宋体" w:eastAsia="宋体" w:cs="Times New Roman"/>
          <w:color w:val="000000"/>
          <w:sz w:val="24"/>
          <w:highlight w:val="none"/>
          <w:lang w:val="en-US" w:eastAsia="zh-CN"/>
        </w:rPr>
        <w:t>辅导员队伍人事变动较大，直接牵涉到9个毕业班，共计347名22届毕业生，对22届毕业生就业工作造成直接影响。辅导员配备匮乏，人均带生人数远超负荷，达300多人，个别辅导员带生数高达400人，学生管理难度大；个别老师毕业生带生人数近200人，加之就业工作经验不足，就业服务工作难以精细化。</w:t>
      </w:r>
    </w:p>
    <w:p>
      <w:pPr>
        <w:adjustRightInd w:val="0"/>
        <w:snapToGrid w:val="0"/>
        <w:spacing w:line="360" w:lineRule="auto"/>
        <w:ind w:firstLine="480" w:firstLineChars="200"/>
        <w:rPr>
          <w:rFonts w:hint="eastAsia" w:ascii="宋体" w:hAnsi="宋体"/>
          <w:color w:val="000000"/>
          <w:sz w:val="24"/>
          <w:highlight w:val="none"/>
        </w:rPr>
      </w:pPr>
      <w:r>
        <w:rPr>
          <w:rFonts w:hint="eastAsia" w:ascii="宋体" w:hAnsi="宋体"/>
          <w:color w:val="000000"/>
          <w:sz w:val="24"/>
          <w:highlight w:val="none"/>
        </w:rPr>
        <w:t>鉴于目前经济与管理学院毕业生就业现状，引导毕业生尽早认清就业形势，明确个人职业定位，端正就业态度已成为当务之急。基于疫情常态化下的今天，如何高效地开展就业工作，提升毕业生就业</w:t>
      </w:r>
      <w:r>
        <w:rPr>
          <w:rFonts w:hint="eastAsia" w:ascii="宋体" w:hAnsi="宋体"/>
          <w:color w:val="000000"/>
          <w:sz w:val="24"/>
          <w:highlight w:val="none"/>
          <w:lang w:val="en-US" w:eastAsia="zh-CN"/>
        </w:rPr>
        <w:t>主动性、</w:t>
      </w:r>
      <w:r>
        <w:rPr>
          <w:rFonts w:hint="eastAsia" w:ascii="宋体" w:hAnsi="宋体"/>
          <w:color w:val="000000"/>
          <w:sz w:val="24"/>
          <w:highlight w:val="none"/>
        </w:rPr>
        <w:t>积极性，促使毕业生充分就业尤为重要。经济与管理学院采取了以下措施，缓解毕业生就业压力：</w:t>
      </w:r>
    </w:p>
    <w:p>
      <w:pPr>
        <w:numPr>
          <w:ilvl w:val="0"/>
          <w:numId w:val="9"/>
        </w:numPr>
        <w:adjustRightInd w:val="0"/>
        <w:snapToGrid w:val="0"/>
        <w:spacing w:line="360" w:lineRule="auto"/>
        <w:ind w:firstLine="480" w:firstLineChars="200"/>
        <w:rPr>
          <w:rFonts w:hint="eastAsia" w:ascii="宋体" w:hAnsi="宋体"/>
          <w:color w:val="000000"/>
          <w:sz w:val="24"/>
          <w:highlight w:val="none"/>
        </w:rPr>
      </w:pPr>
      <w:r>
        <w:rPr>
          <w:rFonts w:hint="eastAsia" w:ascii="宋体" w:hAnsi="宋体"/>
          <w:color w:val="000000"/>
          <w:sz w:val="24"/>
          <w:highlight w:val="none"/>
        </w:rPr>
        <w:t>转变传统就业招聘形式</w:t>
      </w:r>
      <w:r>
        <w:rPr>
          <w:rFonts w:hint="eastAsia" w:ascii="宋体" w:hAnsi="宋体"/>
          <w:color w:val="000000"/>
          <w:sz w:val="24"/>
          <w:highlight w:val="none"/>
          <w:lang w:eastAsia="zh-CN"/>
        </w:rPr>
        <w:t>，</w:t>
      </w:r>
      <w:r>
        <w:rPr>
          <w:rFonts w:hint="eastAsia" w:ascii="宋体" w:hAnsi="宋体"/>
          <w:color w:val="000000"/>
          <w:sz w:val="24"/>
          <w:highlight w:val="none"/>
          <w:lang w:val="en-US" w:eastAsia="zh-CN"/>
        </w:rPr>
        <w:t>开展访企拓岗专项行动</w:t>
      </w:r>
      <w:r>
        <w:rPr>
          <w:rFonts w:hint="eastAsia" w:ascii="宋体" w:hAnsi="宋体"/>
          <w:color w:val="000000"/>
          <w:sz w:val="24"/>
          <w:highlight w:val="none"/>
        </w:rPr>
        <w:t>。</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Times New Roman"/>
          <w:color w:val="000000"/>
          <w:sz w:val="24"/>
          <w:highlight w:val="none"/>
          <w:lang w:val="en-US" w:eastAsia="zh-CN"/>
        </w:rPr>
      </w:pPr>
      <w:r>
        <w:rPr>
          <w:rFonts w:hint="eastAsia" w:ascii="宋体" w:hAnsi="宋体" w:eastAsia="宋体" w:cs="Times New Roman"/>
          <w:color w:val="000000"/>
          <w:sz w:val="24"/>
          <w:highlight w:val="none"/>
        </w:rPr>
        <w:t>为进一步贯彻党中央、国务院关于高校毕业生就业工作的决策部署，落实教育部和</w:t>
      </w:r>
      <w:r>
        <w:rPr>
          <w:rFonts w:hint="eastAsia" w:ascii="宋体" w:hAnsi="宋体" w:eastAsia="宋体" w:cs="Times New Roman"/>
          <w:color w:val="000000"/>
          <w:sz w:val="24"/>
          <w:highlight w:val="none"/>
          <w:lang w:val="en-US" w:eastAsia="zh-CN"/>
        </w:rPr>
        <w:t>安徽省</w:t>
      </w:r>
      <w:r>
        <w:rPr>
          <w:rFonts w:hint="eastAsia" w:ascii="宋体" w:hAnsi="宋体" w:eastAsia="宋体" w:cs="Times New Roman"/>
          <w:color w:val="000000"/>
          <w:sz w:val="24"/>
          <w:highlight w:val="none"/>
        </w:rPr>
        <w:t>教育厅“访企拓岗促就业”专项行动通知要求，</w:t>
      </w:r>
      <w:r>
        <w:rPr>
          <w:rFonts w:hint="eastAsia" w:ascii="宋体" w:hAnsi="宋体" w:eastAsia="宋体" w:cs="Times New Roman"/>
          <w:color w:val="000000"/>
          <w:sz w:val="24"/>
          <w:highlight w:val="none"/>
          <w:lang w:val="en-US" w:eastAsia="zh-CN"/>
        </w:rPr>
        <w:t>我院积极组织，</w:t>
      </w:r>
      <w:r>
        <w:rPr>
          <w:rFonts w:hint="eastAsia" w:ascii="宋体" w:hAnsi="宋体" w:eastAsia="宋体" w:cs="Times New Roman"/>
          <w:color w:val="000000"/>
          <w:sz w:val="24"/>
          <w:highlight w:val="none"/>
        </w:rPr>
        <w:t>多方调研走访用人单位，千方百计拓岗位，精准对接促就业，多措并举助力毕业生高质量就业。</w:t>
      </w:r>
      <w:r>
        <w:rPr>
          <w:rFonts w:hint="eastAsia" w:ascii="宋体" w:hAnsi="宋体" w:eastAsia="宋体" w:cs="Times New Roman"/>
          <w:color w:val="000000"/>
          <w:sz w:val="24"/>
          <w:highlight w:val="none"/>
          <w:lang w:val="en-US" w:eastAsia="zh-CN"/>
        </w:rPr>
        <w:t>截至8月31日，我院</w:t>
      </w:r>
      <w:r>
        <w:rPr>
          <w:rFonts w:hint="eastAsia" w:ascii="宋体" w:hAnsi="宋体" w:eastAsia="宋体" w:cs="Times New Roman"/>
          <w:color w:val="000000"/>
          <w:sz w:val="24"/>
          <w:highlight w:val="none"/>
        </w:rPr>
        <w:t>走访企业11家，参加学生数45人次，落实就业人数10人</w:t>
      </w:r>
      <w:r>
        <w:rPr>
          <w:rFonts w:hint="eastAsia" w:ascii="宋体" w:hAnsi="宋体" w:eastAsia="宋体" w:cs="Times New Roman"/>
          <w:color w:val="000000"/>
          <w:sz w:val="24"/>
          <w:highlight w:val="none"/>
          <w:lang w:eastAsia="zh-CN"/>
        </w:rPr>
        <w:t>。</w:t>
      </w:r>
    </w:p>
    <w:p>
      <w:pPr>
        <w:numPr>
          <w:ilvl w:val="0"/>
          <w:numId w:val="9"/>
        </w:numPr>
        <w:adjustRightInd w:val="0"/>
        <w:snapToGrid w:val="0"/>
        <w:spacing w:line="360" w:lineRule="auto"/>
        <w:ind w:left="0" w:leftChars="0" w:firstLine="480" w:firstLineChars="200"/>
        <w:rPr>
          <w:rFonts w:hint="eastAsia" w:ascii="宋体" w:hAnsi="宋体"/>
          <w:color w:val="000000"/>
          <w:sz w:val="24"/>
          <w:highlight w:val="none"/>
        </w:rPr>
      </w:pPr>
      <w:r>
        <w:rPr>
          <w:rFonts w:hint="eastAsia" w:ascii="宋体" w:hAnsi="宋体"/>
          <w:color w:val="000000"/>
          <w:sz w:val="24"/>
          <w:highlight w:val="none"/>
        </w:rPr>
        <w:t>提高就业服务水平，提供专业化指导帮扶工作。建立健全一生一策表格，对不同就业意向学生提供分类指导，分阶段指导，个性化指导帮扶工作。学院定期召开就业工作例会，对</w:t>
      </w:r>
      <w:r>
        <w:rPr>
          <w:rFonts w:hint="eastAsia" w:ascii="宋体" w:hAnsi="宋体"/>
          <w:color w:val="000000"/>
          <w:sz w:val="24"/>
          <w:highlight w:val="none"/>
          <w:lang w:val="en-US" w:eastAsia="zh-CN"/>
        </w:rPr>
        <w:t>各</w:t>
      </w:r>
      <w:r>
        <w:rPr>
          <w:rFonts w:hint="eastAsia" w:ascii="宋体" w:hAnsi="宋体"/>
          <w:color w:val="000000"/>
          <w:sz w:val="24"/>
          <w:highlight w:val="none"/>
        </w:rPr>
        <w:t>阶段学生就业</w:t>
      </w:r>
      <w:r>
        <w:rPr>
          <w:rFonts w:hint="eastAsia" w:ascii="宋体" w:hAnsi="宋体"/>
          <w:color w:val="000000"/>
          <w:sz w:val="24"/>
          <w:highlight w:val="none"/>
          <w:lang w:val="en-US" w:eastAsia="zh-CN"/>
        </w:rPr>
        <w:t>重难点</w:t>
      </w:r>
      <w:r>
        <w:rPr>
          <w:rFonts w:hint="eastAsia" w:ascii="宋体" w:hAnsi="宋体"/>
          <w:color w:val="000000"/>
          <w:sz w:val="24"/>
          <w:highlight w:val="none"/>
        </w:rPr>
        <w:t>进行</w:t>
      </w:r>
      <w:r>
        <w:rPr>
          <w:rFonts w:hint="eastAsia" w:ascii="宋体" w:hAnsi="宋体"/>
          <w:color w:val="000000"/>
          <w:sz w:val="24"/>
          <w:highlight w:val="none"/>
          <w:lang w:val="en-US" w:eastAsia="zh-CN"/>
        </w:rPr>
        <w:t>梳理和</w:t>
      </w:r>
      <w:r>
        <w:rPr>
          <w:rFonts w:hint="eastAsia" w:ascii="宋体" w:hAnsi="宋体"/>
          <w:color w:val="000000"/>
          <w:sz w:val="24"/>
          <w:highlight w:val="none"/>
        </w:rPr>
        <w:t>部署，并实时跟进。各班级老师对班级就业情况深刻剖析，抓住问题</w:t>
      </w:r>
      <w:r>
        <w:rPr>
          <w:rFonts w:hint="eastAsia" w:ascii="宋体" w:hAnsi="宋体"/>
          <w:color w:val="000000"/>
          <w:sz w:val="24"/>
          <w:highlight w:val="none"/>
          <w:lang w:val="en-US" w:eastAsia="zh-CN"/>
        </w:rPr>
        <w:t>关键</w:t>
      </w:r>
      <w:r>
        <w:rPr>
          <w:rFonts w:hint="eastAsia" w:ascii="宋体" w:hAnsi="宋体"/>
          <w:color w:val="000000"/>
          <w:sz w:val="24"/>
          <w:highlight w:val="none"/>
        </w:rPr>
        <w:t>，解决阶段性重点问题，确保</w:t>
      </w:r>
      <w:r>
        <w:rPr>
          <w:rFonts w:hint="eastAsia" w:ascii="宋体" w:hAnsi="宋体"/>
          <w:color w:val="000000"/>
          <w:sz w:val="24"/>
          <w:highlight w:val="none"/>
          <w:lang w:val="en-US" w:eastAsia="zh-CN"/>
        </w:rPr>
        <w:t>学</w:t>
      </w:r>
      <w:r>
        <w:rPr>
          <w:rFonts w:hint="eastAsia" w:ascii="宋体" w:hAnsi="宋体"/>
          <w:color w:val="000000"/>
          <w:sz w:val="24"/>
          <w:highlight w:val="none"/>
        </w:rPr>
        <w:t>生在毕业前充分就业。对就业困难学生</w:t>
      </w:r>
      <w:r>
        <w:rPr>
          <w:rFonts w:hint="eastAsia" w:ascii="宋体" w:hAnsi="宋体"/>
          <w:color w:val="000000"/>
          <w:sz w:val="24"/>
          <w:highlight w:val="none"/>
          <w:lang w:val="en-US" w:eastAsia="zh-CN"/>
        </w:rPr>
        <w:t>进行</w:t>
      </w:r>
      <w:r>
        <w:rPr>
          <w:rFonts w:hint="eastAsia" w:ascii="宋体" w:hAnsi="宋体"/>
          <w:color w:val="000000"/>
          <w:sz w:val="24"/>
          <w:highlight w:val="none"/>
        </w:rPr>
        <w:t>重点关注，</w:t>
      </w:r>
      <w:r>
        <w:rPr>
          <w:rFonts w:hint="eastAsia" w:ascii="宋体" w:hAnsi="宋体"/>
          <w:color w:val="000000"/>
          <w:sz w:val="24"/>
          <w:highlight w:val="none"/>
          <w:lang w:val="en-US" w:eastAsia="zh-CN"/>
        </w:rPr>
        <w:t>把就业</w:t>
      </w:r>
      <w:r>
        <w:rPr>
          <w:rFonts w:hint="eastAsia" w:ascii="宋体" w:hAnsi="宋体"/>
          <w:color w:val="000000"/>
          <w:sz w:val="24"/>
          <w:highlight w:val="none"/>
        </w:rPr>
        <w:t>帮扶工作做在前面，</w:t>
      </w:r>
      <w:r>
        <w:rPr>
          <w:rFonts w:hint="eastAsia" w:ascii="宋体" w:hAnsi="宋体"/>
          <w:color w:val="000000"/>
          <w:sz w:val="24"/>
          <w:highlight w:val="none"/>
          <w:lang w:val="en-US" w:eastAsia="zh-CN"/>
        </w:rPr>
        <w:t>协助</w:t>
      </w:r>
      <w:r>
        <w:rPr>
          <w:rFonts w:hint="eastAsia" w:ascii="宋体" w:hAnsi="宋体"/>
          <w:color w:val="000000"/>
          <w:sz w:val="24"/>
          <w:highlight w:val="none"/>
        </w:rPr>
        <w:t>学生</w:t>
      </w:r>
      <w:r>
        <w:rPr>
          <w:rFonts w:hint="eastAsia" w:ascii="宋体" w:hAnsi="宋体"/>
          <w:color w:val="000000"/>
          <w:sz w:val="24"/>
          <w:highlight w:val="none"/>
          <w:lang w:val="en-US" w:eastAsia="zh-CN"/>
        </w:rPr>
        <w:t>及时把握</w:t>
      </w:r>
      <w:r>
        <w:rPr>
          <w:rFonts w:hint="eastAsia" w:ascii="宋体" w:hAnsi="宋体"/>
          <w:color w:val="000000"/>
          <w:sz w:val="24"/>
          <w:highlight w:val="none"/>
        </w:rPr>
        <w:t>就业机会。</w:t>
      </w:r>
    </w:p>
    <w:p>
      <w:pPr>
        <w:numPr>
          <w:ilvl w:val="0"/>
          <w:numId w:val="9"/>
        </w:numPr>
        <w:adjustRightInd w:val="0"/>
        <w:snapToGrid w:val="0"/>
        <w:spacing w:line="360" w:lineRule="auto"/>
        <w:ind w:left="0" w:leftChars="0" w:firstLine="480" w:firstLineChars="200"/>
        <w:rPr>
          <w:rFonts w:hint="eastAsia" w:ascii="宋体" w:hAnsi="宋体" w:eastAsia="宋体" w:cs="Times New Roman"/>
          <w:color w:val="000000"/>
          <w:sz w:val="24"/>
          <w:highlight w:val="none"/>
        </w:rPr>
      </w:pPr>
      <w:r>
        <w:rPr>
          <w:rFonts w:hint="eastAsia" w:ascii="宋体" w:hAnsi="宋体" w:eastAsia="宋体" w:cs="Times New Roman"/>
          <w:color w:val="000000"/>
          <w:sz w:val="24"/>
          <w:highlight w:val="none"/>
          <w:lang w:val="en-US" w:eastAsia="zh-CN"/>
        </w:rPr>
        <w:t>暑期期间，持续做好未就业毕业生就业服务工作。建立未就业毕业生台账，根据未就业毕业生情况进行分类，剖析其未就业原因、就业困难、就业需求，分层指导，</w:t>
      </w:r>
      <w:r>
        <w:rPr>
          <w:rFonts w:ascii="宋体" w:hAnsi="宋体" w:eastAsia="宋体" w:cs="宋体"/>
          <w:sz w:val="24"/>
          <w:szCs w:val="24"/>
          <w:highlight w:val="none"/>
        </w:rPr>
        <w:t>毕业班辅导员</w:t>
      </w:r>
      <w:r>
        <w:rPr>
          <w:rFonts w:hint="eastAsia" w:ascii="宋体" w:hAnsi="宋体" w:eastAsia="宋体" w:cs="宋体"/>
          <w:sz w:val="24"/>
          <w:szCs w:val="24"/>
          <w:highlight w:val="none"/>
          <w:lang w:eastAsia="zh-CN"/>
        </w:rPr>
        <w:t>、</w:t>
      </w:r>
      <w:r>
        <w:rPr>
          <w:rFonts w:ascii="宋体" w:hAnsi="宋体" w:eastAsia="宋体" w:cs="宋体"/>
          <w:sz w:val="24"/>
          <w:szCs w:val="24"/>
          <w:highlight w:val="none"/>
        </w:rPr>
        <w:t>党支部书记、教研室主任</w:t>
      </w:r>
      <w:r>
        <w:rPr>
          <w:rFonts w:hint="eastAsia" w:ascii="宋体" w:hAnsi="宋体" w:eastAsia="宋体" w:cs="宋体"/>
          <w:sz w:val="24"/>
          <w:szCs w:val="24"/>
          <w:highlight w:val="none"/>
          <w:lang w:val="en-US" w:eastAsia="zh-CN"/>
        </w:rPr>
        <w:t>协同合作，循序渐进</w:t>
      </w:r>
      <w:r>
        <w:rPr>
          <w:rFonts w:ascii="宋体" w:hAnsi="宋体" w:eastAsia="宋体" w:cs="宋体"/>
          <w:sz w:val="24"/>
          <w:szCs w:val="24"/>
          <w:highlight w:val="none"/>
        </w:rPr>
        <w:t>推进</w:t>
      </w:r>
      <w:r>
        <w:rPr>
          <w:rFonts w:hint="eastAsia" w:ascii="宋体" w:hAnsi="宋体" w:eastAsia="宋体" w:cs="宋体"/>
          <w:sz w:val="24"/>
          <w:szCs w:val="24"/>
          <w:highlight w:val="none"/>
          <w:lang w:val="en-US" w:eastAsia="zh-CN"/>
        </w:rPr>
        <w:t>22届毕业生</w:t>
      </w:r>
      <w:r>
        <w:rPr>
          <w:rFonts w:ascii="宋体" w:hAnsi="宋体" w:eastAsia="宋体" w:cs="宋体"/>
          <w:sz w:val="24"/>
          <w:szCs w:val="24"/>
          <w:highlight w:val="none"/>
        </w:rPr>
        <w:t>就业工作</w:t>
      </w:r>
      <w:r>
        <w:rPr>
          <w:rFonts w:hint="eastAsia" w:ascii="宋体" w:hAnsi="宋体" w:eastAsia="宋体" w:cs="宋体"/>
          <w:sz w:val="24"/>
          <w:szCs w:val="24"/>
          <w:highlight w:val="none"/>
          <w:lang w:eastAsia="zh-CN"/>
        </w:rPr>
        <w:t>，</w:t>
      </w:r>
      <w:r>
        <w:rPr>
          <w:rFonts w:hint="eastAsia" w:ascii="宋体" w:hAnsi="宋体" w:eastAsia="宋体" w:cs="宋体"/>
          <w:sz w:val="24"/>
          <w:szCs w:val="24"/>
          <w:highlight w:val="none"/>
          <w:lang w:val="en-US" w:eastAsia="zh-CN"/>
        </w:rPr>
        <w:t>并取得了良好成效</w:t>
      </w:r>
      <w:r>
        <w:rPr>
          <w:rFonts w:hint="eastAsia" w:ascii="宋体" w:hAnsi="宋体" w:eastAsia="宋体" w:cs="宋体"/>
          <w:sz w:val="24"/>
          <w:szCs w:val="24"/>
          <w:highlight w:val="none"/>
          <w:lang w:eastAsia="zh-CN"/>
        </w:rPr>
        <w:t>。</w:t>
      </w:r>
    </w:p>
    <w:p>
      <w:pPr>
        <w:adjustRightInd w:val="0"/>
        <w:snapToGrid w:val="0"/>
        <w:spacing w:line="360" w:lineRule="auto"/>
        <w:ind w:left="420" w:leftChars="200"/>
        <w:rPr>
          <w:rFonts w:hint="eastAsia" w:ascii="宋体" w:hAnsi="宋体"/>
          <w:b/>
          <w:bCs/>
          <w:color w:val="000000"/>
          <w:sz w:val="24"/>
        </w:rPr>
      </w:pPr>
      <w:r>
        <w:rPr>
          <w:rFonts w:hint="eastAsia" w:ascii="宋体" w:hAnsi="宋体"/>
          <w:b/>
          <w:bCs/>
          <w:color w:val="000000"/>
          <w:sz w:val="24"/>
        </w:rPr>
        <w:t>第四部分：经济与管理学院就业工作的重点与亮点</w:t>
      </w:r>
    </w:p>
    <w:p>
      <w:pPr>
        <w:adjustRightInd w:val="0"/>
        <w:snapToGrid w:val="0"/>
        <w:spacing w:line="360" w:lineRule="auto"/>
        <w:ind w:firstLine="480" w:firstLineChars="200"/>
        <w:rPr>
          <w:rFonts w:hint="eastAsia" w:ascii="宋体" w:hAnsi="宋体"/>
          <w:color w:val="000000"/>
          <w:sz w:val="24"/>
          <w:highlight w:val="none"/>
        </w:rPr>
      </w:pPr>
      <w:r>
        <w:rPr>
          <w:rFonts w:hint="eastAsia" w:ascii="宋体" w:hAnsi="宋体"/>
          <w:color w:val="000000"/>
          <w:sz w:val="24"/>
          <w:highlight w:val="none"/>
        </w:rPr>
        <w:t>常态化疫情</w:t>
      </w:r>
      <w:r>
        <w:rPr>
          <w:rFonts w:hint="eastAsia" w:ascii="宋体" w:hAnsi="宋体"/>
          <w:color w:val="000000"/>
          <w:sz w:val="24"/>
          <w:highlight w:val="none"/>
          <w:lang w:val="en-US" w:eastAsia="zh-CN"/>
        </w:rPr>
        <w:t>防控</w:t>
      </w:r>
      <w:r>
        <w:rPr>
          <w:rFonts w:hint="eastAsia" w:ascii="宋体" w:hAnsi="宋体"/>
          <w:color w:val="000000"/>
          <w:sz w:val="24"/>
          <w:highlight w:val="none"/>
        </w:rPr>
        <w:t>下，经济管理学院严格落实各级文件精神和要求，持续开展就业工作，引导毕业生积极就业。现将经济与管理学院202</w:t>
      </w:r>
      <w:r>
        <w:rPr>
          <w:rFonts w:hint="eastAsia" w:ascii="宋体" w:hAnsi="宋体"/>
          <w:color w:val="000000"/>
          <w:sz w:val="24"/>
          <w:highlight w:val="none"/>
          <w:lang w:val="en-US" w:eastAsia="zh-CN"/>
        </w:rPr>
        <w:t>2</w:t>
      </w:r>
      <w:r>
        <w:rPr>
          <w:rFonts w:hint="eastAsia" w:ascii="宋体" w:hAnsi="宋体"/>
          <w:color w:val="000000"/>
          <w:sz w:val="24"/>
          <w:highlight w:val="none"/>
        </w:rPr>
        <w:t>年就业工作的重点和亮点，总结如下：</w:t>
      </w:r>
    </w:p>
    <w:p>
      <w:pPr>
        <w:adjustRightInd w:val="0"/>
        <w:snapToGrid w:val="0"/>
        <w:spacing w:line="360" w:lineRule="auto"/>
        <w:ind w:firstLine="480" w:firstLineChars="200"/>
        <w:rPr>
          <w:rFonts w:hint="eastAsia" w:ascii="宋体" w:hAnsi="宋体"/>
          <w:color w:val="000000"/>
          <w:sz w:val="24"/>
          <w:highlight w:val="none"/>
        </w:rPr>
      </w:pPr>
      <w:r>
        <w:rPr>
          <w:rFonts w:hint="eastAsia" w:ascii="宋体" w:hAnsi="宋体"/>
          <w:color w:val="000000"/>
          <w:sz w:val="24"/>
          <w:highlight w:val="none"/>
        </w:rPr>
        <w:t>重点一：成立</w:t>
      </w:r>
      <w:r>
        <w:rPr>
          <w:rFonts w:hint="eastAsia" w:ascii="宋体" w:hAnsi="宋体"/>
          <w:color w:val="000000"/>
          <w:sz w:val="24"/>
          <w:highlight w:val="none"/>
          <w:lang w:val="en-US" w:eastAsia="zh-CN"/>
        </w:rPr>
        <w:t>常态化</w:t>
      </w:r>
      <w:r>
        <w:rPr>
          <w:rFonts w:hint="eastAsia" w:ascii="宋体" w:hAnsi="宋体"/>
          <w:color w:val="000000"/>
          <w:sz w:val="24"/>
          <w:highlight w:val="none"/>
        </w:rPr>
        <w:t>疫情</w:t>
      </w:r>
      <w:r>
        <w:rPr>
          <w:rFonts w:hint="eastAsia" w:ascii="宋体" w:hAnsi="宋体"/>
          <w:color w:val="000000"/>
          <w:sz w:val="24"/>
          <w:highlight w:val="none"/>
          <w:lang w:val="en-US" w:eastAsia="zh-CN"/>
        </w:rPr>
        <w:t>防控</w:t>
      </w:r>
      <w:r>
        <w:rPr>
          <w:rFonts w:hint="eastAsia" w:ascii="宋体" w:hAnsi="宋体"/>
          <w:color w:val="000000"/>
          <w:sz w:val="24"/>
          <w:highlight w:val="none"/>
        </w:rPr>
        <w:t>下就业工作领导小组，</w:t>
      </w:r>
      <w:r>
        <w:rPr>
          <w:rFonts w:hint="eastAsia" w:ascii="宋体" w:hAnsi="宋体"/>
          <w:color w:val="000000"/>
          <w:sz w:val="24"/>
          <w:highlight w:val="none"/>
          <w:lang w:val="en-US" w:eastAsia="zh-CN"/>
        </w:rPr>
        <w:t>扎实</w:t>
      </w:r>
      <w:r>
        <w:rPr>
          <w:rFonts w:hint="eastAsia" w:ascii="宋体" w:hAnsi="宋体"/>
          <w:color w:val="000000"/>
          <w:sz w:val="24"/>
          <w:highlight w:val="none"/>
        </w:rPr>
        <w:t>开展我院毕业生就业工作。</w:t>
      </w:r>
    </w:p>
    <w:p>
      <w:pPr>
        <w:adjustRightInd w:val="0"/>
        <w:snapToGrid w:val="0"/>
        <w:spacing w:line="360" w:lineRule="auto"/>
        <w:ind w:firstLine="480" w:firstLineChars="200"/>
        <w:rPr>
          <w:rFonts w:hint="eastAsia" w:ascii="宋体" w:hAnsi="宋体"/>
          <w:color w:val="000000"/>
          <w:sz w:val="24"/>
          <w:highlight w:val="yellow"/>
        </w:rPr>
      </w:pPr>
      <w:r>
        <w:rPr>
          <w:rFonts w:hint="eastAsia" w:ascii="宋体" w:hAnsi="宋体"/>
          <w:color w:val="000000"/>
          <w:sz w:val="24"/>
          <w:highlight w:val="none"/>
        </w:rPr>
        <w:t>为做好常态化疫情防控下的毕业生就业工作，</w:t>
      </w:r>
      <w:r>
        <w:rPr>
          <w:rFonts w:hint="eastAsia" w:ascii="宋体" w:hAnsi="宋体"/>
          <w:color w:val="000000"/>
          <w:sz w:val="24"/>
          <w:highlight w:val="none"/>
          <w:lang w:val="en-US" w:eastAsia="zh-CN"/>
        </w:rPr>
        <w:t>实现</w:t>
      </w:r>
      <w:r>
        <w:rPr>
          <w:rFonts w:hint="eastAsia" w:ascii="宋体" w:hAnsi="宋体"/>
          <w:color w:val="000000"/>
          <w:sz w:val="24"/>
          <w:highlight w:val="none"/>
        </w:rPr>
        <w:t>毕业生更</w:t>
      </w:r>
      <w:r>
        <w:rPr>
          <w:rFonts w:hint="eastAsia" w:ascii="宋体" w:hAnsi="宋体"/>
          <w:color w:val="000000"/>
          <w:sz w:val="24"/>
          <w:highlight w:val="none"/>
          <w:lang w:val="en-US" w:eastAsia="zh-CN"/>
        </w:rPr>
        <w:t>加</w:t>
      </w:r>
      <w:r>
        <w:rPr>
          <w:rFonts w:hint="eastAsia" w:ascii="宋体" w:hAnsi="宋体"/>
          <w:color w:val="000000"/>
          <w:sz w:val="24"/>
          <w:highlight w:val="none"/>
        </w:rPr>
        <w:t>充分</w:t>
      </w:r>
      <w:r>
        <w:rPr>
          <w:rFonts w:hint="eastAsia" w:ascii="宋体" w:hAnsi="宋体"/>
          <w:color w:val="000000"/>
          <w:sz w:val="24"/>
          <w:highlight w:val="none"/>
          <w:lang w:eastAsia="zh-CN"/>
        </w:rPr>
        <w:t>、</w:t>
      </w:r>
      <w:r>
        <w:rPr>
          <w:rFonts w:hint="eastAsia" w:ascii="宋体" w:hAnsi="宋体"/>
          <w:color w:val="000000"/>
          <w:sz w:val="24"/>
          <w:highlight w:val="none"/>
        </w:rPr>
        <w:t>更高质量就业，我院成立202</w:t>
      </w:r>
      <w:r>
        <w:rPr>
          <w:rFonts w:hint="eastAsia" w:ascii="宋体" w:hAnsi="宋体"/>
          <w:color w:val="000000"/>
          <w:sz w:val="24"/>
          <w:highlight w:val="none"/>
          <w:lang w:val="en-US" w:eastAsia="zh-CN"/>
        </w:rPr>
        <w:t>2</w:t>
      </w:r>
      <w:r>
        <w:rPr>
          <w:rFonts w:hint="eastAsia" w:ascii="宋体" w:hAnsi="宋体"/>
          <w:color w:val="000000"/>
          <w:sz w:val="24"/>
          <w:highlight w:val="none"/>
        </w:rPr>
        <w:t>届毕业生就业工作领导小组，书记、院长</w:t>
      </w:r>
      <w:r>
        <w:rPr>
          <w:rFonts w:hint="eastAsia" w:ascii="宋体" w:hAnsi="宋体"/>
          <w:color w:val="000000"/>
          <w:sz w:val="24"/>
          <w:highlight w:val="none"/>
          <w:lang w:val="en-US" w:eastAsia="zh-CN"/>
        </w:rPr>
        <w:t>任</w:t>
      </w:r>
      <w:r>
        <w:rPr>
          <w:rFonts w:hint="eastAsia" w:ascii="宋体" w:hAnsi="宋体"/>
          <w:color w:val="000000"/>
          <w:sz w:val="24"/>
          <w:highlight w:val="none"/>
        </w:rPr>
        <w:t>组长，领导班子其他成员任副组长，系主任、教研室主任全员参与</w:t>
      </w:r>
      <w:r>
        <w:rPr>
          <w:rFonts w:hint="eastAsia" w:ascii="宋体" w:hAnsi="宋体"/>
          <w:color w:val="000000"/>
          <w:sz w:val="24"/>
          <w:highlight w:val="none"/>
          <w:lang w:eastAsia="zh-CN"/>
        </w:rPr>
        <w:t>。</w:t>
      </w:r>
      <w:r>
        <w:rPr>
          <w:rFonts w:hint="eastAsia" w:ascii="宋体" w:hAnsi="宋体"/>
          <w:color w:val="000000"/>
          <w:sz w:val="24"/>
          <w:highlight w:val="none"/>
        </w:rPr>
        <w:t>就业工作领导小组下设办公室，共同负责我院毕业生就业工作。就业工作领导小组定期召开就业工作会议，了解学生的就业情况；充分利用现有资源，动员全院教职工参与就业工作；拓宽就业</w:t>
      </w:r>
      <w:r>
        <w:rPr>
          <w:rFonts w:hint="eastAsia" w:ascii="宋体" w:hAnsi="宋体"/>
          <w:color w:val="000000"/>
          <w:sz w:val="24"/>
          <w:highlight w:val="none"/>
          <w:lang w:val="en-US" w:eastAsia="zh-CN"/>
        </w:rPr>
        <w:t>招聘</w:t>
      </w:r>
      <w:r>
        <w:rPr>
          <w:rFonts w:hint="eastAsia" w:ascii="宋体" w:hAnsi="宋体"/>
          <w:color w:val="000000"/>
          <w:sz w:val="24"/>
          <w:highlight w:val="none"/>
        </w:rPr>
        <w:t>信息</w:t>
      </w:r>
      <w:r>
        <w:rPr>
          <w:rFonts w:hint="eastAsia" w:ascii="宋体" w:hAnsi="宋体"/>
          <w:color w:val="000000"/>
          <w:sz w:val="24"/>
          <w:highlight w:val="none"/>
          <w:lang w:val="en-US" w:eastAsia="zh-CN"/>
        </w:rPr>
        <w:t>渠道</w:t>
      </w:r>
      <w:r>
        <w:rPr>
          <w:rFonts w:hint="eastAsia" w:ascii="宋体" w:hAnsi="宋体"/>
          <w:color w:val="000000"/>
          <w:sz w:val="24"/>
          <w:highlight w:val="none"/>
        </w:rPr>
        <w:t>，建立学生就业</w:t>
      </w:r>
      <w:r>
        <w:rPr>
          <w:rFonts w:hint="eastAsia" w:ascii="宋体" w:hAnsi="宋体"/>
          <w:color w:val="000000"/>
          <w:sz w:val="24"/>
          <w:highlight w:val="none"/>
          <w:lang w:val="en-US" w:eastAsia="zh-CN"/>
        </w:rPr>
        <w:t>动态台账</w:t>
      </w:r>
      <w:r>
        <w:rPr>
          <w:rFonts w:hint="eastAsia" w:ascii="宋体" w:hAnsi="宋体"/>
          <w:color w:val="000000"/>
          <w:sz w:val="24"/>
          <w:highlight w:val="none"/>
        </w:rPr>
        <w:t>，为学生解决</w:t>
      </w:r>
      <w:r>
        <w:rPr>
          <w:rFonts w:hint="eastAsia" w:ascii="宋体" w:hAnsi="宋体"/>
          <w:color w:val="000000"/>
          <w:sz w:val="24"/>
          <w:highlight w:val="none"/>
          <w:lang w:val="en-US" w:eastAsia="zh-CN"/>
        </w:rPr>
        <w:t>实际</w:t>
      </w:r>
      <w:r>
        <w:rPr>
          <w:rFonts w:hint="eastAsia" w:ascii="宋体" w:hAnsi="宋体"/>
          <w:color w:val="000000"/>
          <w:sz w:val="24"/>
          <w:highlight w:val="none"/>
        </w:rPr>
        <w:t>就业</w:t>
      </w:r>
      <w:r>
        <w:rPr>
          <w:rFonts w:hint="eastAsia" w:ascii="宋体" w:hAnsi="宋体"/>
          <w:color w:val="000000"/>
          <w:sz w:val="24"/>
          <w:highlight w:val="none"/>
          <w:lang w:val="en-US" w:eastAsia="zh-CN"/>
        </w:rPr>
        <w:t>诉求</w:t>
      </w:r>
      <w:r>
        <w:rPr>
          <w:rFonts w:hint="eastAsia" w:ascii="宋体" w:hAnsi="宋体"/>
          <w:color w:val="000000"/>
          <w:sz w:val="24"/>
          <w:highlight w:val="none"/>
        </w:rPr>
        <w:t>；开展就业创业教育，做好毕业生的就业指导服务。202</w:t>
      </w:r>
      <w:r>
        <w:rPr>
          <w:rFonts w:hint="eastAsia" w:ascii="宋体" w:hAnsi="宋体"/>
          <w:color w:val="000000"/>
          <w:sz w:val="24"/>
          <w:highlight w:val="none"/>
          <w:lang w:val="en-US" w:eastAsia="zh-CN"/>
        </w:rPr>
        <w:t>1</w:t>
      </w:r>
      <w:r>
        <w:rPr>
          <w:rFonts w:hint="eastAsia" w:ascii="宋体" w:hAnsi="宋体"/>
          <w:color w:val="000000"/>
          <w:sz w:val="24"/>
          <w:highlight w:val="none"/>
        </w:rPr>
        <w:t>-202</w:t>
      </w:r>
      <w:r>
        <w:rPr>
          <w:rFonts w:hint="eastAsia" w:ascii="宋体" w:hAnsi="宋体"/>
          <w:color w:val="000000"/>
          <w:sz w:val="24"/>
          <w:highlight w:val="none"/>
          <w:lang w:val="en-US" w:eastAsia="zh-CN"/>
        </w:rPr>
        <w:t>2</w:t>
      </w:r>
      <w:r>
        <w:rPr>
          <w:rFonts w:hint="eastAsia" w:ascii="宋体" w:hAnsi="宋体"/>
          <w:color w:val="000000"/>
          <w:sz w:val="24"/>
          <w:highlight w:val="none"/>
        </w:rPr>
        <w:t>学年，经济与管理学院举办线上线下专场招聘会</w:t>
      </w:r>
      <w:r>
        <w:rPr>
          <w:rFonts w:hint="eastAsia" w:ascii="宋体" w:hAnsi="宋体"/>
          <w:color w:val="000000"/>
          <w:sz w:val="24"/>
          <w:highlight w:val="none"/>
          <w:lang w:val="en-US" w:eastAsia="zh-CN"/>
        </w:rPr>
        <w:t>101</w:t>
      </w:r>
      <w:r>
        <w:rPr>
          <w:rFonts w:hint="eastAsia" w:ascii="宋体" w:hAnsi="宋体"/>
          <w:color w:val="000000"/>
          <w:sz w:val="24"/>
          <w:highlight w:val="none"/>
        </w:rPr>
        <w:t>场</w:t>
      </w:r>
      <w:r>
        <w:rPr>
          <w:rFonts w:hint="eastAsia" w:ascii="宋体" w:hAnsi="宋体"/>
          <w:color w:val="000000"/>
          <w:sz w:val="24"/>
          <w:highlight w:val="none"/>
          <w:lang w:eastAsia="zh-CN"/>
        </w:rPr>
        <w:t>，</w:t>
      </w:r>
      <w:r>
        <w:rPr>
          <w:rFonts w:hint="eastAsia" w:ascii="宋体" w:hAnsi="宋体"/>
          <w:color w:val="000000"/>
          <w:sz w:val="24"/>
          <w:highlight w:val="none"/>
        </w:rPr>
        <w:t>提供</w:t>
      </w:r>
      <w:r>
        <w:rPr>
          <w:rFonts w:hint="eastAsia" w:ascii="宋体" w:hAnsi="宋体"/>
          <w:color w:val="000000"/>
          <w:sz w:val="24"/>
          <w:highlight w:val="none"/>
          <w:lang w:val="en-US" w:eastAsia="zh-CN"/>
        </w:rPr>
        <w:t>岗位数474</w:t>
      </w:r>
      <w:r>
        <w:rPr>
          <w:rFonts w:hint="eastAsia" w:ascii="宋体" w:hAnsi="宋体"/>
          <w:color w:val="000000"/>
          <w:sz w:val="24"/>
          <w:highlight w:val="none"/>
        </w:rPr>
        <w:t>个，</w:t>
      </w:r>
      <w:r>
        <w:rPr>
          <w:rFonts w:hint="eastAsia" w:ascii="宋体" w:hAnsi="宋体"/>
          <w:color w:val="000000"/>
          <w:sz w:val="24"/>
          <w:highlight w:val="none"/>
          <w:lang w:val="en-US" w:eastAsia="zh-CN"/>
        </w:rPr>
        <w:t>招聘人数需求8014人</w:t>
      </w:r>
      <w:r>
        <w:rPr>
          <w:rFonts w:hint="eastAsia" w:ascii="宋体" w:hAnsi="宋体"/>
          <w:color w:val="000000"/>
          <w:sz w:val="24"/>
          <w:highlight w:val="none"/>
          <w:lang w:eastAsia="zh-CN"/>
        </w:rPr>
        <w:t>；</w:t>
      </w:r>
      <w:r>
        <w:rPr>
          <w:rFonts w:hint="eastAsia" w:ascii="宋体" w:hAnsi="宋体"/>
          <w:color w:val="000000"/>
          <w:sz w:val="24"/>
          <w:highlight w:val="none"/>
          <w:lang w:val="en-US" w:eastAsia="zh-CN"/>
        </w:rPr>
        <w:t>线下双选会1场，提供岗位数79个，招聘人数需求391人</w:t>
      </w:r>
      <w:r>
        <w:rPr>
          <w:rFonts w:hint="eastAsia" w:ascii="宋体" w:hAnsi="宋体"/>
          <w:color w:val="000000"/>
          <w:sz w:val="24"/>
          <w:highlight w:val="none"/>
          <w:lang w:eastAsia="zh-CN"/>
        </w:rPr>
        <w:t>，</w:t>
      </w:r>
      <w:r>
        <w:rPr>
          <w:rFonts w:hint="eastAsia" w:ascii="宋体" w:hAnsi="宋体"/>
          <w:color w:val="000000"/>
          <w:sz w:val="24"/>
          <w:highlight w:val="none"/>
          <w:lang w:val="en-US" w:eastAsia="zh-CN"/>
        </w:rPr>
        <w:t>充分保障</w:t>
      </w:r>
      <w:r>
        <w:rPr>
          <w:rFonts w:hint="eastAsia" w:ascii="宋体" w:hAnsi="宋体"/>
          <w:color w:val="000000"/>
          <w:sz w:val="24"/>
          <w:highlight w:val="none"/>
        </w:rPr>
        <w:t>了我院毕业生基本就业需求；开展系列线上、线上就业指导帮扶工作，为毕业生提供持续性就业指导服务。</w:t>
      </w:r>
    </w:p>
    <w:p>
      <w:pPr>
        <w:adjustRightInd w:val="0"/>
        <w:snapToGrid w:val="0"/>
        <w:spacing w:line="360" w:lineRule="auto"/>
        <w:ind w:firstLine="480" w:firstLineChars="200"/>
        <w:rPr>
          <w:rFonts w:ascii="宋体" w:hAnsi="宋体"/>
          <w:color w:val="000000"/>
          <w:sz w:val="24"/>
          <w:highlight w:val="none"/>
        </w:rPr>
      </w:pPr>
      <w:r>
        <w:rPr>
          <w:rFonts w:hint="eastAsia" w:ascii="宋体" w:hAnsi="宋体"/>
          <w:color w:val="000000"/>
          <w:sz w:val="24"/>
          <w:highlight w:val="none"/>
        </w:rPr>
        <w:t>重点二：经济与管理学院全体</w:t>
      </w:r>
      <w:r>
        <w:rPr>
          <w:rFonts w:hint="eastAsia" w:ascii="宋体" w:hAnsi="宋体"/>
          <w:color w:val="000000"/>
          <w:sz w:val="24"/>
          <w:highlight w:val="none"/>
          <w:lang w:val="en-US" w:eastAsia="zh-CN"/>
        </w:rPr>
        <w:t>师生</w:t>
      </w:r>
      <w:r>
        <w:rPr>
          <w:rFonts w:hint="eastAsia" w:ascii="宋体" w:hAnsi="宋体"/>
          <w:color w:val="000000"/>
          <w:sz w:val="24"/>
          <w:highlight w:val="none"/>
        </w:rPr>
        <w:t>、全过程、全方位开展就业指导服务和帮扶工作。</w:t>
      </w:r>
    </w:p>
    <w:p>
      <w:pPr>
        <w:adjustRightInd w:val="0"/>
        <w:snapToGrid w:val="0"/>
        <w:spacing w:line="360" w:lineRule="auto"/>
        <w:ind w:firstLine="480" w:firstLineChars="200"/>
        <w:rPr>
          <w:rFonts w:ascii="宋体" w:hAnsi="宋体"/>
          <w:color w:val="000000"/>
          <w:sz w:val="24"/>
          <w:highlight w:val="none"/>
        </w:rPr>
      </w:pPr>
      <w:r>
        <w:rPr>
          <w:rFonts w:hint="eastAsia" w:ascii="宋体" w:hAnsi="宋体"/>
          <w:color w:val="000000"/>
          <w:sz w:val="24"/>
          <w:highlight w:val="none"/>
        </w:rPr>
        <w:t>学院定期召开就业工作例会，对阶段</w:t>
      </w:r>
      <w:r>
        <w:rPr>
          <w:rFonts w:hint="eastAsia" w:ascii="宋体" w:hAnsi="宋体"/>
          <w:color w:val="000000"/>
          <w:sz w:val="24"/>
          <w:highlight w:val="none"/>
          <w:lang w:val="en-US" w:eastAsia="zh-CN"/>
        </w:rPr>
        <w:t>性</w:t>
      </w:r>
      <w:r>
        <w:rPr>
          <w:rFonts w:hint="eastAsia" w:ascii="宋体" w:hAnsi="宋体"/>
          <w:color w:val="000000"/>
          <w:sz w:val="24"/>
          <w:highlight w:val="none"/>
        </w:rPr>
        <w:t>就业工作进行部署。领导包保双困生，</w:t>
      </w:r>
      <w:r>
        <w:rPr>
          <w:rFonts w:hint="eastAsia" w:ascii="宋体" w:hAnsi="宋体"/>
          <w:color w:val="000000"/>
          <w:sz w:val="24"/>
          <w:highlight w:val="none"/>
          <w:lang w:val="en-US" w:eastAsia="zh-CN"/>
        </w:rPr>
        <w:t>重点关注特殊群体学生，</w:t>
      </w:r>
      <w:r>
        <w:rPr>
          <w:rFonts w:hint="eastAsia" w:ascii="宋体" w:hAnsi="宋体"/>
          <w:color w:val="000000"/>
          <w:sz w:val="24"/>
          <w:highlight w:val="none"/>
        </w:rPr>
        <w:t>为困难学生提供针对性的</w:t>
      </w:r>
      <w:r>
        <w:rPr>
          <w:rFonts w:hint="eastAsia" w:ascii="宋体" w:hAnsi="宋体"/>
          <w:color w:val="000000"/>
          <w:sz w:val="24"/>
          <w:highlight w:val="none"/>
          <w:lang w:val="en-US" w:eastAsia="zh-CN"/>
        </w:rPr>
        <w:t>就业指导、帮扶</w:t>
      </w:r>
      <w:r>
        <w:rPr>
          <w:rFonts w:hint="eastAsia" w:ascii="宋体" w:hAnsi="宋体"/>
          <w:color w:val="000000"/>
          <w:sz w:val="24"/>
          <w:highlight w:val="none"/>
        </w:rPr>
        <w:t>，确保学生充分就业。班主任走进课堂，为学生</w:t>
      </w:r>
      <w:r>
        <w:rPr>
          <w:rFonts w:hint="eastAsia" w:ascii="宋体" w:hAnsi="宋体"/>
          <w:color w:val="000000"/>
          <w:sz w:val="24"/>
          <w:highlight w:val="none"/>
          <w:lang w:val="en-US" w:eastAsia="zh-CN"/>
        </w:rPr>
        <w:t>提供专业化的</w:t>
      </w:r>
      <w:r>
        <w:rPr>
          <w:rFonts w:hint="eastAsia" w:ascii="宋体" w:hAnsi="宋体"/>
          <w:color w:val="000000"/>
          <w:sz w:val="24"/>
          <w:highlight w:val="none"/>
        </w:rPr>
        <w:t>就业指导，引导毕业生积极就业。实习指导老师在学生实习期</w:t>
      </w:r>
      <w:r>
        <w:rPr>
          <w:rFonts w:hint="eastAsia" w:ascii="宋体" w:hAnsi="宋体"/>
          <w:color w:val="000000"/>
          <w:sz w:val="24"/>
          <w:highlight w:val="none"/>
          <w:lang w:val="en-US" w:eastAsia="zh-CN"/>
        </w:rPr>
        <w:t>关心其</w:t>
      </w:r>
      <w:r>
        <w:rPr>
          <w:rFonts w:hint="eastAsia" w:ascii="宋体" w:hAnsi="宋体"/>
          <w:color w:val="000000"/>
          <w:sz w:val="24"/>
          <w:highlight w:val="none"/>
        </w:rPr>
        <w:t>工作情况，鼓励学生积极落实就业单位。论文指导老师在指导学生撰写论文期间，</w:t>
      </w:r>
      <w:r>
        <w:rPr>
          <w:rFonts w:hint="eastAsia" w:ascii="宋体" w:hAnsi="宋体"/>
          <w:color w:val="000000"/>
          <w:sz w:val="24"/>
          <w:highlight w:val="none"/>
          <w:lang w:val="en-US" w:eastAsia="zh-CN"/>
        </w:rPr>
        <w:t>关注</w:t>
      </w:r>
      <w:r>
        <w:rPr>
          <w:rFonts w:hint="eastAsia" w:ascii="宋体" w:hAnsi="宋体"/>
          <w:color w:val="000000"/>
          <w:sz w:val="24"/>
          <w:highlight w:val="none"/>
        </w:rPr>
        <w:t>学生</w:t>
      </w:r>
      <w:r>
        <w:rPr>
          <w:rFonts w:hint="eastAsia" w:ascii="宋体" w:hAnsi="宋体"/>
          <w:color w:val="000000"/>
          <w:sz w:val="24"/>
          <w:highlight w:val="none"/>
          <w:lang w:val="en-US" w:eastAsia="zh-CN"/>
        </w:rPr>
        <w:t>就业动态</w:t>
      </w:r>
      <w:r>
        <w:rPr>
          <w:rFonts w:hint="eastAsia" w:ascii="宋体" w:hAnsi="宋体"/>
          <w:color w:val="000000"/>
          <w:sz w:val="24"/>
          <w:highlight w:val="none"/>
        </w:rPr>
        <w:t>，了解学生真实就业</w:t>
      </w:r>
      <w:r>
        <w:rPr>
          <w:rFonts w:hint="eastAsia" w:ascii="宋体" w:hAnsi="宋体"/>
          <w:color w:val="000000"/>
          <w:sz w:val="24"/>
          <w:highlight w:val="none"/>
          <w:lang w:val="en-US" w:eastAsia="zh-CN"/>
        </w:rPr>
        <w:t>需求</w:t>
      </w:r>
      <w:r>
        <w:rPr>
          <w:rFonts w:hint="eastAsia" w:ascii="宋体" w:hAnsi="宋体"/>
          <w:color w:val="000000"/>
          <w:sz w:val="24"/>
          <w:highlight w:val="none"/>
        </w:rPr>
        <w:t>，提供切实可行的就业指导帮扶。</w:t>
      </w:r>
    </w:p>
    <w:p>
      <w:pPr>
        <w:adjustRightInd w:val="0"/>
        <w:snapToGrid w:val="0"/>
        <w:spacing w:line="360" w:lineRule="auto"/>
        <w:ind w:firstLine="480" w:firstLineChars="200"/>
        <w:rPr>
          <w:rFonts w:hint="eastAsia" w:ascii="宋体" w:hAnsi="宋体"/>
          <w:color w:val="000000"/>
          <w:sz w:val="24"/>
          <w:highlight w:val="none"/>
        </w:rPr>
      </w:pPr>
      <w:r>
        <w:rPr>
          <w:rFonts w:hint="eastAsia" w:ascii="宋体" w:hAnsi="宋体"/>
          <w:color w:val="000000"/>
          <w:sz w:val="24"/>
          <w:highlight w:val="none"/>
        </w:rPr>
        <w:t>特色一：</w:t>
      </w:r>
      <w:r>
        <w:rPr>
          <w:rFonts w:hint="eastAsia" w:ascii="宋体" w:hAnsi="宋体"/>
          <w:color w:val="000000"/>
          <w:sz w:val="24"/>
          <w:highlight w:val="none"/>
          <w:lang w:val="en-US" w:eastAsia="zh-CN"/>
        </w:rPr>
        <w:t>经济学3+1</w:t>
      </w:r>
      <w:r>
        <w:rPr>
          <w:rFonts w:hint="eastAsia" w:ascii="宋体" w:hAnsi="宋体"/>
          <w:color w:val="000000"/>
          <w:sz w:val="24"/>
          <w:highlight w:val="none"/>
        </w:rPr>
        <w:t>专业全员就业，</w:t>
      </w:r>
      <w:r>
        <w:rPr>
          <w:rFonts w:hint="eastAsia" w:ascii="宋体" w:hAnsi="宋体"/>
          <w:color w:val="000000"/>
          <w:sz w:val="24"/>
          <w:highlight w:val="none"/>
          <w:lang w:val="en-US" w:eastAsia="zh-CN"/>
        </w:rPr>
        <w:t>出国率、就业质量均</w:t>
      </w:r>
      <w:r>
        <w:rPr>
          <w:rFonts w:hint="eastAsia" w:ascii="宋体" w:hAnsi="宋体"/>
          <w:color w:val="000000"/>
          <w:sz w:val="24"/>
          <w:highlight w:val="none"/>
        </w:rPr>
        <w:t>创新高。</w:t>
      </w:r>
    </w:p>
    <w:p>
      <w:pPr>
        <w:adjustRightInd w:val="0"/>
        <w:snapToGrid w:val="0"/>
        <w:spacing w:line="360" w:lineRule="auto"/>
        <w:ind w:firstLine="480" w:firstLineChars="200"/>
        <w:rPr>
          <w:rFonts w:hint="default" w:ascii="宋体" w:hAnsi="宋体" w:eastAsia="宋体"/>
          <w:color w:val="000000"/>
          <w:sz w:val="24"/>
          <w:highlight w:val="none"/>
          <w:lang w:val="en-US" w:eastAsia="zh-CN"/>
        </w:rPr>
      </w:pPr>
      <w:r>
        <w:rPr>
          <w:rFonts w:hint="eastAsia" w:ascii="宋体" w:hAnsi="宋体"/>
          <w:color w:val="000000"/>
          <w:sz w:val="24"/>
          <w:highlight w:val="none"/>
        </w:rPr>
        <w:t>202</w:t>
      </w:r>
      <w:r>
        <w:rPr>
          <w:rFonts w:hint="eastAsia" w:ascii="宋体" w:hAnsi="宋体"/>
          <w:color w:val="000000"/>
          <w:sz w:val="24"/>
          <w:highlight w:val="none"/>
          <w:lang w:val="en-US" w:eastAsia="zh-CN"/>
        </w:rPr>
        <w:t>2</w:t>
      </w:r>
      <w:r>
        <w:rPr>
          <w:rFonts w:hint="eastAsia" w:ascii="宋体" w:hAnsi="宋体"/>
          <w:color w:val="000000"/>
          <w:sz w:val="24"/>
          <w:highlight w:val="none"/>
        </w:rPr>
        <w:t>届</w:t>
      </w:r>
      <w:r>
        <w:rPr>
          <w:rFonts w:hint="eastAsia" w:ascii="宋体" w:hAnsi="宋体"/>
          <w:color w:val="000000"/>
          <w:sz w:val="24"/>
          <w:highlight w:val="none"/>
          <w:lang w:val="en-US" w:eastAsia="zh-CN"/>
        </w:rPr>
        <w:t>经济学3+1</w:t>
      </w:r>
      <w:r>
        <w:rPr>
          <w:rFonts w:hint="eastAsia" w:ascii="宋体" w:hAnsi="宋体"/>
          <w:color w:val="000000"/>
          <w:sz w:val="24"/>
          <w:highlight w:val="none"/>
        </w:rPr>
        <w:t>毕业生</w:t>
      </w:r>
      <w:r>
        <w:rPr>
          <w:rFonts w:hint="eastAsia" w:ascii="宋体" w:hAnsi="宋体"/>
          <w:color w:val="000000"/>
          <w:sz w:val="24"/>
          <w:highlight w:val="none"/>
          <w:lang w:val="en-US" w:eastAsia="zh-CN"/>
        </w:rPr>
        <w:t>32</w:t>
      </w:r>
      <w:r>
        <w:rPr>
          <w:rFonts w:hint="eastAsia" w:ascii="宋体" w:hAnsi="宋体"/>
          <w:color w:val="000000"/>
          <w:sz w:val="24"/>
          <w:highlight w:val="none"/>
        </w:rPr>
        <w:t>人。学生整体就业意向明确。截止目前，该专业毕业生全员就业。</w:t>
      </w:r>
      <w:r>
        <w:rPr>
          <w:rFonts w:hint="eastAsia" w:ascii="宋体" w:hAnsi="宋体"/>
          <w:color w:val="000000"/>
          <w:sz w:val="24"/>
          <w:highlight w:val="none"/>
          <w:lang w:val="en-US" w:eastAsia="zh-CN"/>
        </w:rPr>
        <w:t>22</w:t>
      </w:r>
      <w:r>
        <w:rPr>
          <w:rFonts w:hint="eastAsia" w:ascii="宋体" w:hAnsi="宋体"/>
          <w:color w:val="000000"/>
          <w:sz w:val="24"/>
          <w:highlight w:val="none"/>
        </w:rPr>
        <w:t>届</w:t>
      </w:r>
      <w:r>
        <w:rPr>
          <w:rFonts w:hint="eastAsia" w:ascii="宋体" w:hAnsi="宋体"/>
          <w:color w:val="000000"/>
          <w:sz w:val="24"/>
          <w:highlight w:val="none"/>
          <w:lang w:val="en-US" w:eastAsia="zh-CN"/>
        </w:rPr>
        <w:t>经济学3+1专业</w:t>
      </w:r>
      <w:r>
        <w:rPr>
          <w:rFonts w:hint="eastAsia" w:ascii="宋体" w:hAnsi="宋体"/>
          <w:color w:val="000000"/>
          <w:sz w:val="24"/>
          <w:highlight w:val="none"/>
        </w:rPr>
        <w:t>，出国</w:t>
      </w:r>
      <w:r>
        <w:rPr>
          <w:rFonts w:hint="eastAsia" w:ascii="宋体" w:hAnsi="宋体"/>
          <w:color w:val="000000"/>
          <w:sz w:val="24"/>
          <w:highlight w:val="none"/>
          <w:lang w:val="en-US" w:eastAsia="zh-CN"/>
        </w:rPr>
        <w:t>人数多</w:t>
      </w:r>
      <w:r>
        <w:rPr>
          <w:rFonts w:hint="eastAsia" w:ascii="宋体" w:hAnsi="宋体"/>
          <w:color w:val="000000"/>
          <w:sz w:val="24"/>
          <w:highlight w:val="none"/>
        </w:rPr>
        <w:t>，</w:t>
      </w:r>
      <w:r>
        <w:rPr>
          <w:rFonts w:hint="eastAsia" w:ascii="宋体" w:hAnsi="宋体"/>
          <w:color w:val="000000"/>
          <w:sz w:val="24"/>
          <w:highlight w:val="none"/>
          <w:lang w:val="en-US" w:eastAsia="zh-CN"/>
        </w:rPr>
        <w:t>达9人，出国率高达28.13%</w:t>
      </w:r>
      <w:r>
        <w:rPr>
          <w:rFonts w:hint="eastAsia" w:ascii="宋体" w:hAnsi="宋体"/>
          <w:color w:val="000000"/>
          <w:sz w:val="24"/>
          <w:highlight w:val="none"/>
        </w:rPr>
        <w:t>。</w:t>
      </w:r>
      <w:r>
        <w:rPr>
          <w:rFonts w:hint="eastAsia" w:ascii="宋体" w:hAnsi="宋体"/>
          <w:color w:val="000000"/>
          <w:sz w:val="24"/>
          <w:highlight w:val="none"/>
          <w:lang w:val="en-US" w:eastAsia="zh-CN"/>
        </w:rPr>
        <w:t>其他23人，1人国内升学，1人考取公务员</w:t>
      </w:r>
      <w:r>
        <w:rPr>
          <w:rFonts w:hint="eastAsia" w:ascii="宋体" w:hAnsi="宋体"/>
          <w:color w:val="000000"/>
          <w:sz w:val="24"/>
          <w:highlight w:val="none"/>
          <w:lang w:eastAsia="zh-CN"/>
        </w:rPr>
        <w:t>，</w:t>
      </w:r>
      <w:r>
        <w:rPr>
          <w:rFonts w:hint="eastAsia" w:ascii="宋体" w:hAnsi="宋体"/>
          <w:color w:val="000000"/>
          <w:sz w:val="24"/>
          <w:highlight w:val="none"/>
          <w:lang w:val="en-US" w:eastAsia="zh-CN"/>
        </w:rPr>
        <w:t>6</w:t>
      </w:r>
      <w:r>
        <w:rPr>
          <w:rFonts w:hint="eastAsia" w:ascii="宋体" w:hAnsi="宋体"/>
          <w:color w:val="000000"/>
          <w:sz w:val="24"/>
          <w:highlight w:val="none"/>
        </w:rPr>
        <w:t>人</w:t>
      </w:r>
      <w:r>
        <w:rPr>
          <w:rFonts w:hint="eastAsia" w:ascii="宋体" w:hAnsi="宋体"/>
          <w:color w:val="000000"/>
          <w:sz w:val="24"/>
          <w:highlight w:val="none"/>
          <w:lang w:val="en-US" w:eastAsia="zh-CN"/>
        </w:rPr>
        <w:t>国企</w:t>
      </w:r>
      <w:r>
        <w:rPr>
          <w:rFonts w:hint="eastAsia" w:ascii="宋体" w:hAnsi="宋体"/>
          <w:color w:val="000000"/>
          <w:sz w:val="24"/>
          <w:highlight w:val="none"/>
        </w:rPr>
        <w:t>就业</w:t>
      </w:r>
      <w:r>
        <w:rPr>
          <w:rFonts w:hint="eastAsia" w:ascii="宋体" w:hAnsi="宋体"/>
          <w:color w:val="000000"/>
          <w:sz w:val="24"/>
          <w:highlight w:val="none"/>
          <w:lang w:val="en-US" w:eastAsia="zh-CN"/>
        </w:rPr>
        <w:t>。</w:t>
      </w:r>
    </w:p>
    <w:p>
      <w:pPr>
        <w:adjustRightInd w:val="0"/>
        <w:snapToGrid w:val="0"/>
        <w:spacing w:line="360" w:lineRule="auto"/>
        <w:ind w:firstLine="480" w:firstLineChars="200"/>
        <w:rPr>
          <w:rFonts w:hint="eastAsia" w:ascii="宋体" w:hAnsi="宋体"/>
          <w:color w:val="000000"/>
          <w:sz w:val="24"/>
          <w:highlight w:val="none"/>
        </w:rPr>
      </w:pPr>
      <w:r>
        <w:rPr>
          <w:rFonts w:hint="eastAsia" w:ascii="宋体" w:hAnsi="宋体"/>
          <w:color w:val="000000"/>
          <w:sz w:val="24"/>
          <w:highlight w:val="none"/>
        </w:rPr>
        <w:t>特色二：</w:t>
      </w:r>
      <w:r>
        <w:rPr>
          <w:rFonts w:hint="eastAsia" w:ascii="宋体" w:hAnsi="宋体"/>
          <w:color w:val="000000"/>
          <w:sz w:val="24"/>
          <w:highlight w:val="none"/>
          <w:lang w:val="en-US" w:eastAsia="zh-CN"/>
        </w:rPr>
        <w:t>物流管理</w:t>
      </w:r>
      <w:r>
        <w:rPr>
          <w:rFonts w:hint="eastAsia" w:ascii="宋体" w:hAnsi="宋体"/>
          <w:color w:val="000000"/>
          <w:sz w:val="24"/>
          <w:highlight w:val="none"/>
        </w:rPr>
        <w:t>专业</w:t>
      </w:r>
      <w:r>
        <w:rPr>
          <w:rFonts w:hint="eastAsia" w:ascii="宋体" w:hAnsi="宋体"/>
          <w:color w:val="000000"/>
          <w:sz w:val="24"/>
          <w:highlight w:val="none"/>
          <w:lang w:val="en-US" w:eastAsia="zh-CN"/>
        </w:rPr>
        <w:t>就业充分，就业</w:t>
      </w:r>
      <w:r>
        <w:rPr>
          <w:rFonts w:hint="eastAsia" w:ascii="宋体" w:hAnsi="宋体"/>
          <w:color w:val="000000"/>
          <w:sz w:val="24"/>
          <w:highlight w:val="none"/>
        </w:rPr>
        <w:t>质量高。</w:t>
      </w:r>
    </w:p>
    <w:p>
      <w:pPr>
        <w:adjustRightInd w:val="0"/>
        <w:snapToGrid w:val="0"/>
        <w:spacing w:line="360" w:lineRule="auto"/>
        <w:ind w:firstLine="480" w:firstLineChars="200"/>
        <w:rPr>
          <w:rFonts w:ascii="宋体" w:hAnsi="宋体"/>
          <w:color w:val="000000"/>
          <w:sz w:val="24"/>
          <w:highlight w:val="none"/>
        </w:rPr>
      </w:pPr>
      <w:r>
        <w:rPr>
          <w:rFonts w:hint="eastAsia" w:ascii="宋体" w:hAnsi="宋体"/>
          <w:color w:val="000000"/>
          <w:sz w:val="24"/>
          <w:highlight w:val="none"/>
        </w:rPr>
        <w:t>202</w:t>
      </w:r>
      <w:r>
        <w:rPr>
          <w:rFonts w:hint="eastAsia" w:ascii="宋体" w:hAnsi="宋体"/>
          <w:color w:val="000000"/>
          <w:sz w:val="24"/>
          <w:highlight w:val="none"/>
          <w:lang w:val="en-US" w:eastAsia="zh-CN"/>
        </w:rPr>
        <w:t>2</w:t>
      </w:r>
      <w:r>
        <w:rPr>
          <w:rFonts w:hint="eastAsia" w:ascii="宋体" w:hAnsi="宋体"/>
          <w:color w:val="000000"/>
          <w:sz w:val="24"/>
          <w:highlight w:val="none"/>
        </w:rPr>
        <w:t>届</w:t>
      </w:r>
      <w:r>
        <w:rPr>
          <w:rFonts w:hint="eastAsia" w:ascii="宋体" w:hAnsi="宋体"/>
          <w:color w:val="000000"/>
          <w:sz w:val="24"/>
          <w:highlight w:val="none"/>
          <w:lang w:val="en-US" w:eastAsia="zh-CN"/>
        </w:rPr>
        <w:t>物流管理</w:t>
      </w:r>
      <w:r>
        <w:rPr>
          <w:rFonts w:hint="eastAsia" w:ascii="宋体" w:hAnsi="宋体"/>
          <w:color w:val="000000"/>
          <w:sz w:val="24"/>
          <w:highlight w:val="none"/>
        </w:rPr>
        <w:t>毕业生</w:t>
      </w:r>
      <w:r>
        <w:rPr>
          <w:rFonts w:hint="eastAsia" w:ascii="宋体" w:hAnsi="宋体"/>
          <w:color w:val="000000"/>
          <w:sz w:val="24"/>
          <w:highlight w:val="none"/>
          <w:lang w:val="en-US" w:eastAsia="zh-CN"/>
        </w:rPr>
        <w:t>68</w:t>
      </w:r>
      <w:r>
        <w:rPr>
          <w:rFonts w:hint="eastAsia" w:ascii="宋体" w:hAnsi="宋体"/>
          <w:color w:val="000000"/>
          <w:sz w:val="24"/>
          <w:highlight w:val="none"/>
        </w:rPr>
        <w:t>人，</w:t>
      </w:r>
      <w:r>
        <w:rPr>
          <w:rFonts w:hint="eastAsia" w:ascii="宋体" w:hAnsi="宋体"/>
          <w:color w:val="000000"/>
          <w:sz w:val="24"/>
          <w:highlight w:val="none"/>
          <w:lang w:val="en-US" w:eastAsia="zh-CN"/>
        </w:rPr>
        <w:t>就业人数67人。国内升学7</w:t>
      </w:r>
      <w:r>
        <w:rPr>
          <w:rFonts w:hint="eastAsia" w:ascii="宋体" w:hAnsi="宋体"/>
          <w:color w:val="000000"/>
          <w:sz w:val="24"/>
          <w:highlight w:val="none"/>
        </w:rPr>
        <w:t>人，出国</w:t>
      </w:r>
      <w:r>
        <w:rPr>
          <w:rFonts w:hint="eastAsia" w:ascii="宋体" w:hAnsi="宋体"/>
          <w:color w:val="000000"/>
          <w:sz w:val="24"/>
          <w:highlight w:val="none"/>
          <w:lang w:eastAsia="zh-CN"/>
        </w:rPr>
        <w:t>、</w:t>
      </w:r>
      <w:r>
        <w:rPr>
          <w:rFonts w:hint="eastAsia" w:ascii="宋体" w:hAnsi="宋体"/>
          <w:color w:val="000000"/>
          <w:sz w:val="24"/>
          <w:highlight w:val="none"/>
          <w:lang w:val="en-US" w:eastAsia="zh-CN"/>
        </w:rPr>
        <w:t>出境2</w:t>
      </w:r>
      <w:r>
        <w:rPr>
          <w:rFonts w:hint="eastAsia" w:ascii="宋体" w:hAnsi="宋体"/>
          <w:color w:val="000000"/>
          <w:sz w:val="24"/>
          <w:highlight w:val="none"/>
        </w:rPr>
        <w:t>人，公务员</w:t>
      </w:r>
      <w:r>
        <w:rPr>
          <w:rFonts w:hint="eastAsia" w:ascii="宋体" w:hAnsi="宋体"/>
          <w:color w:val="000000"/>
          <w:sz w:val="24"/>
          <w:highlight w:val="none"/>
          <w:lang w:val="en-US" w:eastAsia="zh-CN"/>
        </w:rPr>
        <w:t>4人</w:t>
      </w:r>
      <w:r>
        <w:rPr>
          <w:rFonts w:hint="eastAsia" w:ascii="宋体" w:hAnsi="宋体"/>
          <w:color w:val="000000"/>
          <w:sz w:val="24"/>
          <w:highlight w:val="none"/>
        </w:rPr>
        <w:t>，</w:t>
      </w:r>
      <w:r>
        <w:rPr>
          <w:rFonts w:hint="eastAsia" w:ascii="宋体" w:hAnsi="宋体"/>
          <w:color w:val="000000"/>
          <w:sz w:val="24"/>
          <w:highlight w:val="none"/>
          <w:lang w:val="en-US" w:eastAsia="zh-CN"/>
        </w:rPr>
        <w:t>基层项目2</w:t>
      </w:r>
      <w:r>
        <w:rPr>
          <w:rFonts w:hint="eastAsia" w:ascii="宋体" w:hAnsi="宋体"/>
          <w:color w:val="000000"/>
          <w:sz w:val="24"/>
          <w:highlight w:val="none"/>
        </w:rPr>
        <w:t>人，</w:t>
      </w:r>
      <w:r>
        <w:rPr>
          <w:rFonts w:hint="eastAsia" w:ascii="宋体" w:hAnsi="宋体"/>
          <w:color w:val="000000"/>
          <w:sz w:val="24"/>
          <w:highlight w:val="none"/>
          <w:lang w:val="en-US" w:eastAsia="zh-CN"/>
        </w:rPr>
        <w:t>征兵入伍1人，</w:t>
      </w:r>
      <w:r>
        <w:rPr>
          <w:rFonts w:hint="eastAsia" w:ascii="宋体" w:hAnsi="宋体"/>
          <w:color w:val="000000"/>
          <w:sz w:val="24"/>
          <w:highlight w:val="none"/>
        </w:rPr>
        <w:t>国企</w:t>
      </w:r>
      <w:r>
        <w:rPr>
          <w:rFonts w:hint="eastAsia" w:ascii="宋体" w:hAnsi="宋体"/>
          <w:color w:val="000000"/>
          <w:sz w:val="24"/>
          <w:highlight w:val="none"/>
          <w:lang w:val="en-US" w:eastAsia="zh-CN"/>
        </w:rPr>
        <w:t>9</w:t>
      </w:r>
      <w:r>
        <w:rPr>
          <w:rFonts w:hint="eastAsia" w:ascii="宋体" w:hAnsi="宋体"/>
          <w:color w:val="000000"/>
          <w:sz w:val="24"/>
          <w:highlight w:val="none"/>
        </w:rPr>
        <w:t>人，</w:t>
      </w:r>
      <w:r>
        <w:rPr>
          <w:rFonts w:hint="eastAsia" w:ascii="宋体" w:hAnsi="宋体"/>
          <w:color w:val="000000"/>
          <w:sz w:val="24"/>
          <w:highlight w:val="none"/>
          <w:lang w:val="en-US" w:eastAsia="zh-CN"/>
        </w:rPr>
        <w:t>合计25人，</w:t>
      </w:r>
      <w:r>
        <w:rPr>
          <w:rFonts w:hint="eastAsia" w:ascii="宋体" w:hAnsi="宋体"/>
          <w:color w:val="000000"/>
          <w:sz w:val="24"/>
          <w:highlight w:val="none"/>
        </w:rPr>
        <w:t>占该专业总人数的3</w:t>
      </w:r>
      <w:r>
        <w:rPr>
          <w:rFonts w:hint="eastAsia" w:ascii="宋体" w:hAnsi="宋体"/>
          <w:color w:val="000000"/>
          <w:sz w:val="24"/>
          <w:highlight w:val="none"/>
          <w:lang w:val="en-US" w:eastAsia="zh-CN"/>
        </w:rPr>
        <w:t>6</w:t>
      </w:r>
      <w:r>
        <w:rPr>
          <w:rFonts w:hint="eastAsia" w:ascii="宋体" w:hAnsi="宋体"/>
          <w:color w:val="000000"/>
          <w:sz w:val="24"/>
          <w:highlight w:val="none"/>
        </w:rPr>
        <w:t>.7</w:t>
      </w:r>
      <w:r>
        <w:rPr>
          <w:rFonts w:hint="eastAsia" w:ascii="宋体" w:hAnsi="宋体"/>
          <w:color w:val="000000"/>
          <w:sz w:val="24"/>
          <w:highlight w:val="none"/>
          <w:lang w:val="en-US" w:eastAsia="zh-CN"/>
        </w:rPr>
        <w:t>6</w:t>
      </w:r>
      <w:r>
        <w:rPr>
          <w:rFonts w:hint="eastAsia" w:ascii="宋体" w:hAnsi="宋体"/>
          <w:color w:val="000000"/>
          <w:sz w:val="24"/>
          <w:highlight w:val="none"/>
        </w:rPr>
        <w:t>%</w:t>
      </w:r>
      <w:r>
        <w:rPr>
          <w:rFonts w:hint="eastAsia" w:ascii="宋体" w:hAnsi="宋体"/>
          <w:color w:val="000000"/>
          <w:sz w:val="24"/>
          <w:highlight w:val="none"/>
          <w:lang w:eastAsia="zh-CN"/>
        </w:rPr>
        <w:t>。</w:t>
      </w:r>
      <w:r>
        <w:rPr>
          <w:rFonts w:hint="eastAsia" w:ascii="宋体" w:hAnsi="宋体"/>
          <w:color w:val="000000"/>
          <w:sz w:val="24"/>
          <w:highlight w:val="none"/>
          <w:lang w:val="en-US" w:eastAsia="zh-CN"/>
        </w:rPr>
        <w:t>其中，录取公务员占比为各个专业之最，达5.88%。</w:t>
      </w:r>
      <w:r>
        <w:rPr>
          <w:rFonts w:hint="eastAsia" w:ascii="宋体" w:hAnsi="宋体"/>
          <w:color w:val="000000"/>
          <w:sz w:val="24"/>
          <w:highlight w:val="none"/>
        </w:rPr>
        <w:t>高质量就业比例创新高。</w:t>
      </w:r>
    </w:p>
    <w:p>
      <w:pPr>
        <w:adjustRightInd w:val="0"/>
        <w:snapToGrid w:val="0"/>
        <w:spacing w:line="360" w:lineRule="auto"/>
        <w:ind w:firstLine="480" w:firstLineChars="200"/>
        <w:rPr>
          <w:rFonts w:hint="eastAsia" w:ascii="宋体" w:hAnsi="宋体"/>
          <w:color w:val="000000"/>
          <w:sz w:val="24"/>
          <w:highlight w:val="none"/>
        </w:rPr>
      </w:pPr>
      <w:r>
        <w:rPr>
          <w:rFonts w:hint="eastAsia" w:ascii="宋体" w:hAnsi="宋体"/>
          <w:color w:val="000000"/>
          <w:sz w:val="24"/>
          <w:highlight w:val="none"/>
        </w:rPr>
        <w:t>特色三：</w:t>
      </w:r>
      <w:r>
        <w:rPr>
          <w:rFonts w:hint="eastAsia" w:ascii="宋体" w:hAnsi="宋体"/>
          <w:color w:val="000000"/>
          <w:sz w:val="24"/>
          <w:highlight w:val="none"/>
          <w:lang w:val="en-US" w:eastAsia="zh-CN"/>
        </w:rPr>
        <w:t>开展访企拓岗促就业专项行动，组织学生实地考察、交流</w:t>
      </w:r>
      <w:r>
        <w:rPr>
          <w:rFonts w:hint="eastAsia" w:ascii="宋体" w:hAnsi="宋体"/>
          <w:color w:val="000000"/>
          <w:sz w:val="24"/>
          <w:highlight w:val="none"/>
        </w:rPr>
        <w:t>，探索“校企合作”</w:t>
      </w:r>
      <w:r>
        <w:rPr>
          <w:rFonts w:hint="eastAsia" w:ascii="宋体" w:hAnsi="宋体"/>
          <w:color w:val="000000"/>
          <w:sz w:val="24"/>
          <w:highlight w:val="none"/>
          <w:lang w:val="en-US" w:eastAsia="zh-CN"/>
        </w:rPr>
        <w:t>新</w:t>
      </w:r>
      <w:r>
        <w:rPr>
          <w:rFonts w:hint="eastAsia" w:ascii="宋体" w:hAnsi="宋体"/>
          <w:color w:val="000000"/>
          <w:sz w:val="24"/>
          <w:highlight w:val="none"/>
        </w:rPr>
        <w:t>模式。</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Times New Roman"/>
          <w:color w:val="000000"/>
          <w:sz w:val="24"/>
          <w:highlight w:val="none"/>
          <w:lang w:eastAsia="zh-CN"/>
        </w:rPr>
      </w:pPr>
      <w:r>
        <w:rPr>
          <w:rFonts w:hint="eastAsia" w:ascii="宋体" w:hAnsi="宋体" w:eastAsia="宋体" w:cs="Times New Roman"/>
          <w:color w:val="000000"/>
          <w:sz w:val="24"/>
          <w:highlight w:val="none"/>
          <w:lang w:val="en-US" w:eastAsia="zh-CN"/>
        </w:rPr>
        <w:t>学院</w:t>
      </w:r>
      <w:r>
        <w:rPr>
          <w:rFonts w:hint="eastAsia" w:ascii="宋体" w:hAnsi="宋体" w:eastAsia="宋体" w:cs="Times New Roman"/>
          <w:color w:val="000000"/>
          <w:sz w:val="24"/>
          <w:highlight w:val="none"/>
        </w:rPr>
        <w:t>结合实际情况，充分调动教学、科研、校友等各方面资源，</w:t>
      </w:r>
      <w:r>
        <w:rPr>
          <w:rFonts w:hint="eastAsia" w:ascii="宋体" w:hAnsi="宋体" w:eastAsia="宋体" w:cs="Times New Roman"/>
          <w:color w:val="000000"/>
          <w:sz w:val="24"/>
          <w:highlight w:val="none"/>
          <w:lang w:val="en-US" w:eastAsia="zh-CN"/>
        </w:rPr>
        <w:t>积极组织学生，</w:t>
      </w:r>
      <w:r>
        <w:rPr>
          <w:rFonts w:hint="eastAsia" w:ascii="宋体" w:hAnsi="宋体" w:eastAsia="宋体" w:cs="Times New Roman"/>
          <w:color w:val="000000"/>
          <w:sz w:val="24"/>
          <w:highlight w:val="none"/>
        </w:rPr>
        <w:t>走进园区、走进企业</w:t>
      </w:r>
      <w:r>
        <w:rPr>
          <w:rFonts w:hint="eastAsia" w:ascii="宋体" w:hAnsi="宋体" w:eastAsia="宋体" w:cs="Times New Roman"/>
          <w:color w:val="000000"/>
          <w:sz w:val="24"/>
          <w:highlight w:val="none"/>
          <w:lang w:eastAsia="zh-CN"/>
        </w:rPr>
        <w:t>。</w:t>
      </w:r>
      <w:r>
        <w:rPr>
          <w:rFonts w:hint="eastAsia" w:ascii="宋体" w:hAnsi="宋体" w:eastAsia="宋体" w:cs="Times New Roman"/>
          <w:color w:val="000000"/>
          <w:sz w:val="24"/>
          <w:highlight w:val="none"/>
          <w:lang w:val="en-US" w:eastAsia="zh-CN"/>
        </w:rPr>
        <w:t>截至2022年8月31日，共计走访企业11家，参加学生45人次</w:t>
      </w:r>
      <w:r>
        <w:rPr>
          <w:rFonts w:hint="eastAsia" w:ascii="宋体" w:hAnsi="宋体" w:eastAsia="宋体" w:cs="Times New Roman"/>
          <w:color w:val="000000"/>
          <w:sz w:val="24"/>
          <w:highlight w:val="none"/>
        </w:rPr>
        <w:t>。与相关单位建立就业合作渠道，邀请用人单位到学校招聘人才，努力为毕业生挖掘更多岗位资源，提供更多优质和精准的就业信息</w:t>
      </w:r>
      <w:r>
        <w:rPr>
          <w:rFonts w:hint="eastAsia" w:ascii="宋体" w:hAnsi="宋体" w:eastAsia="宋体" w:cs="Times New Roman"/>
          <w:color w:val="000000"/>
          <w:sz w:val="24"/>
          <w:highlight w:val="none"/>
          <w:lang w:eastAsia="zh-CN"/>
        </w:rPr>
        <w:t>，</w:t>
      </w:r>
      <w:r>
        <w:rPr>
          <w:rFonts w:hint="eastAsia" w:ascii="宋体" w:hAnsi="宋体" w:eastAsia="宋体" w:cs="Times New Roman"/>
          <w:color w:val="000000"/>
          <w:sz w:val="24"/>
          <w:highlight w:val="none"/>
          <w:lang w:val="en-US" w:eastAsia="zh-CN"/>
        </w:rPr>
        <w:t>切实为22届毕业生落实就业人数10人</w:t>
      </w:r>
      <w:r>
        <w:rPr>
          <w:rFonts w:hint="eastAsia" w:ascii="宋体" w:hAnsi="宋体" w:eastAsia="宋体" w:cs="Times New Roman"/>
          <w:color w:val="000000"/>
          <w:sz w:val="24"/>
          <w:highlight w:val="none"/>
          <w:lang w:eastAsia="zh-CN"/>
        </w:rPr>
        <w:t>。</w:t>
      </w:r>
      <w:r>
        <w:rPr>
          <w:rFonts w:hint="eastAsia" w:ascii="宋体" w:hAnsi="宋体" w:eastAsia="宋体" w:cs="Times New Roman"/>
          <w:color w:val="000000"/>
          <w:sz w:val="24"/>
          <w:highlight w:val="none"/>
        </w:rPr>
        <w:t>建立一批毕业生就业实习实践基地，为毕业生创造更多实习</w:t>
      </w:r>
      <w:r>
        <w:rPr>
          <w:rFonts w:hint="eastAsia" w:ascii="宋体" w:hAnsi="宋体" w:eastAsia="宋体" w:cs="Times New Roman"/>
          <w:color w:val="000000"/>
          <w:sz w:val="24"/>
          <w:highlight w:val="none"/>
          <w:lang w:eastAsia="zh-CN"/>
        </w:rPr>
        <w:t>、</w:t>
      </w:r>
      <w:r>
        <w:rPr>
          <w:rFonts w:hint="eastAsia" w:ascii="宋体" w:hAnsi="宋体" w:eastAsia="宋体" w:cs="Times New Roman"/>
          <w:color w:val="000000"/>
          <w:sz w:val="24"/>
          <w:highlight w:val="none"/>
        </w:rPr>
        <w:t>就业机会</w:t>
      </w:r>
      <w:r>
        <w:rPr>
          <w:rFonts w:hint="eastAsia" w:ascii="宋体" w:hAnsi="宋体" w:eastAsia="宋体" w:cs="Times New Roman"/>
          <w:color w:val="000000"/>
          <w:sz w:val="24"/>
          <w:highlight w:val="none"/>
          <w:lang w:eastAsia="zh-CN"/>
        </w:rPr>
        <w:t>。</w:t>
      </w:r>
      <w:r>
        <w:rPr>
          <w:rFonts w:hint="eastAsia" w:ascii="宋体" w:hAnsi="宋体" w:eastAsia="宋体" w:cs="Times New Roman"/>
          <w:color w:val="000000"/>
          <w:sz w:val="24"/>
          <w:highlight w:val="none"/>
          <w:lang w:val="en-US" w:eastAsia="zh-CN"/>
        </w:rPr>
        <w:t>通过专项行动，共签订就业实习协议5家，新建就业实习基地5家</w:t>
      </w:r>
      <w:r>
        <w:rPr>
          <w:rFonts w:hint="eastAsia" w:ascii="宋体" w:hAnsi="宋体" w:eastAsia="宋体" w:cs="Times New Roman"/>
          <w:color w:val="000000"/>
          <w:sz w:val="24"/>
          <w:highlight w:val="none"/>
          <w:lang w:eastAsia="zh-CN"/>
        </w:rPr>
        <w:t>。</w:t>
      </w:r>
      <w:r>
        <w:rPr>
          <w:rFonts w:hint="eastAsia" w:ascii="宋体" w:hAnsi="宋体" w:eastAsia="宋体" w:cs="Times New Roman"/>
          <w:color w:val="000000"/>
          <w:sz w:val="24"/>
          <w:highlight w:val="none"/>
        </w:rPr>
        <w:t>发掘吸纳毕业生稳定就业的优质企业和单位，打造就业先进典型</w:t>
      </w:r>
      <w:r>
        <w:rPr>
          <w:rFonts w:hint="eastAsia" w:ascii="宋体" w:hAnsi="宋体" w:eastAsia="宋体" w:cs="Times New Roman"/>
          <w:color w:val="000000"/>
          <w:sz w:val="24"/>
          <w:highlight w:val="none"/>
          <w:lang w:eastAsia="zh-CN"/>
        </w:rPr>
        <w:t>。</w:t>
      </w:r>
      <w:r>
        <w:rPr>
          <w:rFonts w:hint="eastAsia" w:ascii="宋体" w:hAnsi="宋体" w:eastAsia="宋体" w:cs="Times New Roman"/>
          <w:color w:val="000000"/>
          <w:sz w:val="24"/>
          <w:highlight w:val="none"/>
          <w:lang w:val="en-US" w:eastAsia="zh-CN"/>
        </w:rPr>
        <w:t>其中，</w:t>
      </w:r>
      <w:r>
        <w:rPr>
          <w:rFonts w:hint="eastAsia" w:ascii="宋体" w:hAnsi="宋体" w:eastAsia="宋体" w:cs="Times New Roman"/>
          <w:color w:val="000000"/>
          <w:sz w:val="24"/>
          <w:highlight w:val="none"/>
        </w:rPr>
        <w:t>天健会计师事务所（特殊普通合伙）安徽分所在职</w:t>
      </w:r>
      <w:r>
        <w:rPr>
          <w:rFonts w:hint="eastAsia" w:ascii="宋体" w:hAnsi="宋体" w:eastAsia="宋体" w:cs="Times New Roman"/>
          <w:color w:val="000000"/>
          <w:sz w:val="24"/>
          <w:highlight w:val="none"/>
          <w:lang w:val="en-US" w:eastAsia="zh-CN"/>
        </w:rPr>
        <w:t>员工2</w:t>
      </w:r>
      <w:r>
        <w:rPr>
          <w:rFonts w:hint="eastAsia" w:ascii="宋体" w:hAnsi="宋体" w:eastAsia="宋体" w:cs="Times New Roman"/>
          <w:color w:val="000000"/>
          <w:sz w:val="24"/>
          <w:highlight w:val="none"/>
        </w:rPr>
        <w:t>2</w:t>
      </w:r>
      <w:r>
        <w:rPr>
          <w:rFonts w:hint="eastAsia" w:ascii="宋体" w:hAnsi="宋体" w:eastAsia="宋体" w:cs="Times New Roman"/>
          <w:color w:val="000000"/>
          <w:sz w:val="24"/>
          <w:highlight w:val="none"/>
          <w:lang w:val="en-US" w:eastAsia="zh-CN"/>
        </w:rPr>
        <w:t>名为合肥学院毕业生</w:t>
      </w:r>
      <w:r>
        <w:rPr>
          <w:rFonts w:hint="eastAsia" w:ascii="宋体" w:hAnsi="宋体" w:eastAsia="宋体" w:cs="Times New Roman"/>
          <w:color w:val="000000"/>
          <w:sz w:val="24"/>
          <w:highlight w:val="none"/>
        </w:rPr>
        <w:t>，占会所总人数</w:t>
      </w:r>
      <w:r>
        <w:rPr>
          <w:rFonts w:hint="eastAsia" w:ascii="宋体" w:hAnsi="宋体" w:eastAsia="宋体" w:cs="Times New Roman"/>
          <w:color w:val="000000"/>
          <w:sz w:val="24"/>
          <w:highlight w:val="none"/>
          <w:lang w:val="en-US" w:eastAsia="zh-CN"/>
        </w:rPr>
        <w:t>21.67</w:t>
      </w:r>
      <w:r>
        <w:rPr>
          <w:rFonts w:hint="eastAsia" w:ascii="宋体" w:hAnsi="宋体" w:eastAsia="宋体" w:cs="Times New Roman"/>
          <w:color w:val="000000"/>
          <w:sz w:val="24"/>
          <w:highlight w:val="none"/>
        </w:rPr>
        <w:t>%。2022届毕业生</w:t>
      </w:r>
      <w:r>
        <w:rPr>
          <w:rFonts w:hint="eastAsia" w:ascii="宋体" w:hAnsi="宋体" w:eastAsia="宋体" w:cs="Times New Roman"/>
          <w:color w:val="000000"/>
          <w:sz w:val="24"/>
          <w:highlight w:val="none"/>
          <w:lang w:val="en-US" w:eastAsia="zh-CN"/>
        </w:rPr>
        <w:t>已有4人</w:t>
      </w:r>
      <w:r>
        <w:rPr>
          <w:rFonts w:hint="eastAsia" w:ascii="宋体" w:hAnsi="宋体" w:eastAsia="宋体" w:cs="Times New Roman"/>
          <w:color w:val="000000"/>
          <w:sz w:val="24"/>
          <w:highlight w:val="none"/>
        </w:rPr>
        <w:t>顺利入职。</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Times New Roman"/>
          <w:color w:val="000000"/>
          <w:sz w:val="24"/>
          <w:highlight w:val="none"/>
        </w:rPr>
      </w:pPr>
      <w:r>
        <w:rPr>
          <w:rFonts w:hint="eastAsia" w:ascii="宋体" w:hAnsi="宋体" w:eastAsia="宋体" w:cs="Times New Roman"/>
          <w:color w:val="000000"/>
          <w:sz w:val="24"/>
          <w:highlight w:val="none"/>
        </w:rPr>
        <w:t>特色四：持续</w:t>
      </w:r>
      <w:r>
        <w:rPr>
          <w:rFonts w:hint="eastAsia" w:ascii="宋体" w:hAnsi="宋体" w:eastAsia="宋体" w:cs="Times New Roman"/>
          <w:color w:val="000000"/>
          <w:sz w:val="24"/>
          <w:highlight w:val="none"/>
          <w:lang w:val="en-US" w:eastAsia="zh-CN"/>
        </w:rPr>
        <w:t>开展</w:t>
      </w:r>
      <w:r>
        <w:rPr>
          <w:rFonts w:hint="eastAsia" w:ascii="宋体" w:hAnsi="宋体" w:eastAsia="宋体" w:cs="Times New Roman"/>
          <w:color w:val="000000"/>
          <w:sz w:val="24"/>
          <w:highlight w:val="none"/>
        </w:rPr>
        <w:t>专业竞赛，</w:t>
      </w:r>
      <w:r>
        <w:rPr>
          <w:rFonts w:hint="eastAsia" w:ascii="宋体" w:hAnsi="宋体" w:eastAsia="宋体" w:cs="Times New Roman"/>
          <w:color w:val="000000"/>
          <w:sz w:val="24"/>
          <w:highlight w:val="none"/>
          <w:lang w:val="en-US" w:eastAsia="zh-CN"/>
        </w:rPr>
        <w:t>培养学生专业技能</w:t>
      </w:r>
      <w:r>
        <w:rPr>
          <w:rFonts w:hint="eastAsia" w:ascii="宋体" w:hAnsi="宋体" w:eastAsia="宋体" w:cs="Times New Roman"/>
          <w:color w:val="000000"/>
          <w:sz w:val="24"/>
          <w:highlight w:val="none"/>
        </w:rPr>
        <w:t>，营造就业创业氛围。</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Times New Roman"/>
          <w:color w:val="000000"/>
          <w:sz w:val="24"/>
          <w:highlight w:val="none"/>
          <w:lang w:val="en-US" w:eastAsia="zh-CN"/>
        </w:rPr>
      </w:pPr>
      <w:r>
        <w:rPr>
          <w:rFonts w:hint="eastAsia" w:ascii="宋体" w:hAnsi="宋体" w:eastAsia="宋体" w:cs="Times New Roman"/>
          <w:color w:val="000000"/>
          <w:sz w:val="24"/>
          <w:highlight w:val="none"/>
        </w:rPr>
        <w:t>经济与管理学院大力宣传大学生就业创业政策，坚持以《支持高校毕业生来肥就业创业的意见实施细则》为导向，积极引导毕业生就业创业，加强培养在校大学生就业创业意识。积极承、举办各级（类）赛事，积极组织学生参加各类</w:t>
      </w:r>
      <w:r>
        <w:rPr>
          <w:rFonts w:hint="eastAsia" w:ascii="宋体" w:hAnsi="宋体" w:eastAsia="宋体" w:cs="Times New Roman"/>
          <w:color w:val="000000"/>
          <w:sz w:val="24"/>
          <w:highlight w:val="none"/>
          <w:lang w:val="en-US" w:eastAsia="zh-CN"/>
        </w:rPr>
        <w:t>就业创业项目。举办经济与管理学院第二届职业规划设计大赛、合肥学院经济与管理学院第八届“金点子”创新创意大赛决赛、经济与管理学院第十五届市场营销策划大赛决赛。</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color w:val="000000"/>
          <w:sz w:val="24"/>
          <w:highlight w:val="none"/>
          <w:lang w:eastAsia="zh-CN"/>
        </w:rPr>
      </w:pPr>
      <w:r>
        <w:rPr>
          <w:rFonts w:hint="eastAsia" w:ascii="宋体" w:hAnsi="宋体" w:eastAsia="宋体" w:cs="Times New Roman"/>
          <w:color w:val="000000"/>
          <w:sz w:val="24"/>
          <w:highlight w:val="none"/>
          <w:lang w:val="en-US" w:eastAsia="zh-CN"/>
        </w:rPr>
        <w:t>组织学生参加第十届“挑战杯”安徽省大学生课外学术科技作品竞赛，1组获得国家级铜奖和省级金奖，2组获得省级银奖；在第八届安徽省“互联网＋”大赛中，1组获得省金并进入国赛获得国家级铜奖，同时我院师生也积极与外院合作，共同获得了省级金奖2项，省级银奖3组，铜奖4组。组织学生参加与专业相关的各项学科竞赛，第十二届全国大学生电子商务“创新、创意、创业”挑战赛中获得省级二等奖2组；“正大杯”第十二届全国大学生市场调查与分析大赛中获得省级二等奖4组，三等奖1组；在安徽省大学生国际贸易综合技能大赛中获得省级一等奖2组、省级二等奖2组；在安徽省大学生企业管理技能大赛获得省三等奖1组；第八届全国大学生统计建模大赛中获得省级一等奖1组。组织学生第四届“郑商所杯”全国大学生金融模拟交易大赛、2021金融雏鹰培育主题活动暨长三角大学生金融创新实践大赛、第八届“东方财富杯”全国大学生金融精英挑战赛等。</w:t>
      </w:r>
    </w:p>
    <w:p>
      <w:pPr>
        <w:spacing w:line="360" w:lineRule="auto"/>
        <w:ind w:firstLine="482" w:firstLineChars="200"/>
        <w:rPr>
          <w:rFonts w:hint="eastAsia" w:ascii="宋体" w:hAnsi="宋体"/>
          <w:b/>
          <w:color w:val="000000"/>
          <w:sz w:val="24"/>
        </w:rPr>
      </w:pPr>
      <w:r>
        <w:rPr>
          <w:rFonts w:hint="eastAsia" w:ascii="宋体" w:hAnsi="宋体"/>
          <w:b/>
          <w:color w:val="000000"/>
          <w:sz w:val="24"/>
        </w:rPr>
        <w:t>第五部分：经管学院对就业困难、弱势群体、特殊问题、原建档立卡毕业生帮扶情况</w:t>
      </w:r>
    </w:p>
    <w:p>
      <w:pPr>
        <w:spacing w:line="360" w:lineRule="auto"/>
        <w:ind w:firstLine="480" w:firstLineChars="200"/>
        <w:rPr>
          <w:rFonts w:hint="eastAsia" w:ascii="宋体" w:hAnsi="宋体"/>
          <w:color w:val="000000"/>
          <w:sz w:val="24"/>
          <w:highlight w:val="none"/>
        </w:rPr>
      </w:pPr>
      <w:r>
        <w:rPr>
          <w:rFonts w:hint="eastAsia" w:ascii="宋体" w:hAnsi="宋体"/>
          <w:color w:val="000000"/>
          <w:sz w:val="24"/>
          <w:highlight w:val="none"/>
        </w:rPr>
        <w:t>经济与管理学院高度重视重点学生就业问题，制定了202</w:t>
      </w:r>
      <w:r>
        <w:rPr>
          <w:rFonts w:hint="eastAsia" w:ascii="宋体" w:hAnsi="宋体"/>
          <w:color w:val="000000"/>
          <w:sz w:val="24"/>
          <w:highlight w:val="none"/>
          <w:lang w:val="en-US" w:eastAsia="zh-CN"/>
        </w:rPr>
        <w:t>2</w:t>
      </w:r>
      <w:r>
        <w:rPr>
          <w:rFonts w:hint="eastAsia" w:ascii="宋体" w:hAnsi="宋体"/>
          <w:color w:val="000000"/>
          <w:sz w:val="24"/>
          <w:highlight w:val="none"/>
        </w:rPr>
        <w:t>届重点毕业生帮扶计划，建立双困生帮扶档案，为双困生提供针对性、持续性就业帮扶工作，为其送政策、送指导、送岗位，切实做好双困生的就业帮扶工作，确保双困生充分就业。具体做法如下：</w:t>
      </w:r>
    </w:p>
    <w:p>
      <w:pPr>
        <w:spacing w:line="360" w:lineRule="auto"/>
        <w:ind w:firstLine="480" w:firstLineChars="200"/>
        <w:rPr>
          <w:rFonts w:hint="eastAsia" w:ascii="宋体" w:hAnsi="宋体"/>
          <w:color w:val="000000"/>
          <w:sz w:val="24"/>
          <w:highlight w:val="none"/>
        </w:rPr>
      </w:pPr>
      <w:r>
        <w:rPr>
          <w:rFonts w:hint="eastAsia" w:ascii="宋体" w:hAnsi="宋体"/>
          <w:color w:val="000000"/>
          <w:sz w:val="24"/>
          <w:highlight w:val="none"/>
        </w:rPr>
        <w:t>第一，建立双困生信息库。对每位毕业生进行情况摸排，重点掌握</w:t>
      </w:r>
      <w:r>
        <w:rPr>
          <w:rFonts w:ascii="宋体" w:hAnsi="宋体" w:eastAsia="宋体" w:cs="宋体"/>
          <w:sz w:val="24"/>
          <w:szCs w:val="24"/>
        </w:rPr>
        <w:t>原建档立卡</w:t>
      </w:r>
      <w:r>
        <w:rPr>
          <w:rFonts w:hint="eastAsia" w:ascii="宋体" w:hAnsi="宋体" w:eastAsia="宋体" w:cs="宋体"/>
          <w:sz w:val="24"/>
          <w:szCs w:val="24"/>
          <w:lang w:val="en-US" w:eastAsia="zh-CN"/>
        </w:rPr>
        <w:t>学生</w:t>
      </w:r>
      <w:r>
        <w:rPr>
          <w:rFonts w:ascii="宋体" w:hAnsi="宋体" w:eastAsia="宋体" w:cs="宋体"/>
          <w:sz w:val="24"/>
          <w:szCs w:val="24"/>
        </w:rPr>
        <w:t>、脱贫不稳定学生、边缘易致贫学生、突发严重困难学生、特困救助学生、孤儿学生、城乡低保学生、残疾学生、零就业家庭学生</w:t>
      </w:r>
      <w:r>
        <w:rPr>
          <w:rFonts w:hint="eastAsia" w:ascii="宋体" w:hAnsi="宋体" w:eastAsia="宋体" w:cs="宋体"/>
          <w:sz w:val="24"/>
          <w:szCs w:val="24"/>
          <w:lang w:val="en-US" w:eastAsia="zh-CN"/>
        </w:rPr>
        <w:t>九类</w:t>
      </w:r>
      <w:r>
        <w:rPr>
          <w:rFonts w:ascii="宋体" w:hAnsi="宋体" w:eastAsia="宋体" w:cs="宋体"/>
          <w:sz w:val="24"/>
          <w:szCs w:val="24"/>
        </w:rPr>
        <w:t>特殊群体毕业生</w:t>
      </w:r>
      <w:r>
        <w:rPr>
          <w:rFonts w:hint="eastAsia" w:ascii="宋体" w:hAnsi="宋体"/>
          <w:color w:val="000000"/>
          <w:sz w:val="24"/>
          <w:highlight w:val="none"/>
        </w:rPr>
        <w:t>就业意向，重点关注</w:t>
      </w:r>
      <w:r>
        <w:rPr>
          <w:rFonts w:hint="eastAsia" w:ascii="宋体" w:hAnsi="宋体"/>
          <w:color w:val="000000"/>
          <w:sz w:val="24"/>
          <w:highlight w:val="none"/>
          <w:lang w:val="en-US" w:eastAsia="zh-CN"/>
        </w:rPr>
        <w:t>其就业进展</w:t>
      </w:r>
      <w:r>
        <w:rPr>
          <w:rFonts w:hint="eastAsia" w:ascii="宋体" w:hAnsi="宋体"/>
          <w:color w:val="000000"/>
          <w:sz w:val="24"/>
          <w:highlight w:val="none"/>
        </w:rPr>
        <w:t>，动态跟踪</w:t>
      </w:r>
      <w:r>
        <w:rPr>
          <w:rFonts w:hint="eastAsia" w:ascii="宋体" w:hAnsi="宋体"/>
          <w:color w:val="000000"/>
          <w:sz w:val="24"/>
          <w:highlight w:val="none"/>
          <w:lang w:val="en-US" w:eastAsia="zh-CN"/>
        </w:rPr>
        <w:t>其就业需求</w:t>
      </w:r>
      <w:r>
        <w:rPr>
          <w:rFonts w:hint="eastAsia" w:ascii="宋体" w:hAnsi="宋体"/>
          <w:color w:val="000000"/>
          <w:sz w:val="24"/>
          <w:highlight w:val="none"/>
        </w:rPr>
        <w:t>，做好心理疏导，提供针对性就业指导服务。</w:t>
      </w:r>
    </w:p>
    <w:p>
      <w:pPr>
        <w:spacing w:line="360" w:lineRule="auto"/>
        <w:ind w:firstLine="480" w:firstLineChars="200"/>
        <w:rPr>
          <w:rFonts w:hint="eastAsia" w:ascii="宋体" w:hAnsi="宋体"/>
          <w:color w:val="000000"/>
          <w:sz w:val="24"/>
          <w:highlight w:val="none"/>
        </w:rPr>
      </w:pPr>
      <w:r>
        <w:rPr>
          <w:rFonts w:hint="eastAsia" w:ascii="宋体" w:hAnsi="宋体"/>
          <w:color w:val="000000"/>
          <w:sz w:val="24"/>
          <w:highlight w:val="none"/>
        </w:rPr>
        <w:t>第二，建立师生“一对一”帮扶制度，领导包保制度。学院党政领导、系部教研室主任、学科骨干教师、辅导员全员参与双困生就业帮扶工作。为双困生“送政策、送指导、送技能、送岗位”。</w:t>
      </w:r>
    </w:p>
    <w:p>
      <w:pPr>
        <w:spacing w:line="360" w:lineRule="auto"/>
        <w:ind w:firstLine="480" w:firstLineChars="200"/>
        <w:rPr>
          <w:rFonts w:hint="eastAsia" w:ascii="宋体" w:hAnsi="宋体"/>
          <w:color w:val="000000"/>
          <w:sz w:val="24"/>
          <w:highlight w:val="none"/>
        </w:rPr>
      </w:pPr>
      <w:r>
        <w:rPr>
          <w:rFonts w:hint="eastAsia" w:ascii="宋体" w:hAnsi="宋体"/>
          <w:color w:val="000000"/>
          <w:sz w:val="24"/>
          <w:highlight w:val="none"/>
        </w:rPr>
        <w:t>“送政策”即帮助就业困难毕业生解读国家有关于大学生就业的相关政策，针对性将《支持高校毕业生来肥就业创业的意见实施细则》、《安徽省高校毕业生就业相关政策选编》文件精神</w:t>
      </w:r>
      <w:r>
        <w:rPr>
          <w:rFonts w:hint="eastAsia" w:ascii="宋体" w:hAnsi="宋体"/>
          <w:color w:val="000000"/>
          <w:sz w:val="24"/>
          <w:highlight w:val="none"/>
          <w:lang w:eastAsia="zh-CN"/>
        </w:rPr>
        <w:t>，</w:t>
      </w:r>
      <w:r>
        <w:rPr>
          <w:rFonts w:hint="eastAsia" w:ascii="宋体" w:hAnsi="宋体"/>
          <w:color w:val="000000"/>
          <w:sz w:val="24"/>
          <w:highlight w:val="none"/>
          <w:lang w:val="en-US" w:eastAsia="zh-CN"/>
        </w:rPr>
        <w:t>普通高校毕业生基层就业政策公告、就业服务公告，普通高校学生自助创业政策公告、应征入伍政策公告、《关于进一步做好大学生征兵工作的通知》蜀</w:t>
      </w:r>
      <w:r>
        <w:rPr>
          <w:rFonts w:hint="eastAsia" w:ascii="宋体" w:hAnsi="宋体"/>
          <w:b w:val="0"/>
          <w:bCs w:val="0"/>
          <w:color w:val="000000"/>
          <w:sz w:val="24"/>
          <w:highlight w:val="none"/>
          <w:lang w:val="en-US" w:eastAsia="zh-CN"/>
        </w:rPr>
        <w:t>政</w:t>
      </w:r>
      <w:r>
        <w:rPr>
          <w:rFonts w:hint="eastAsia" w:ascii="宋体" w:hAnsi="宋体" w:eastAsia="宋体" w:cs="Times New Roman"/>
          <w:b w:val="0"/>
          <w:bCs w:val="0"/>
          <w:color w:val="000000"/>
          <w:sz w:val="24"/>
          <w:highlight w:val="none"/>
          <w:lang w:val="en-US" w:eastAsia="zh-CN"/>
        </w:rPr>
        <w:t>办〔2021〕6号等政策文件</w:t>
      </w:r>
      <w:r>
        <w:rPr>
          <w:rFonts w:hint="eastAsia" w:ascii="宋体" w:hAnsi="宋体"/>
          <w:color w:val="000000"/>
          <w:sz w:val="24"/>
          <w:highlight w:val="none"/>
        </w:rPr>
        <w:t>告知学生，引导困难学生到部队就业、到基层就业、到西部地区就业；“送指导”即根据双困生的实际情况，针对性提供“一对一”的就业指导和帮扶，明确其就业方向，协助解决就业过程中的困难，确保</w:t>
      </w:r>
      <w:r>
        <w:rPr>
          <w:rFonts w:hint="eastAsia" w:ascii="宋体" w:hAnsi="宋体"/>
          <w:color w:val="000000"/>
          <w:sz w:val="24"/>
          <w:highlight w:val="none"/>
          <w:lang w:val="en-US" w:eastAsia="zh-CN"/>
        </w:rPr>
        <w:t>学生顺利</w:t>
      </w:r>
      <w:r>
        <w:rPr>
          <w:rFonts w:hint="eastAsia" w:ascii="宋体" w:hAnsi="宋体"/>
          <w:color w:val="000000"/>
          <w:sz w:val="24"/>
          <w:highlight w:val="none"/>
        </w:rPr>
        <w:t>就业；“送技能”即提供适合职业技能培训、实习岗位锻炼，</w:t>
      </w:r>
      <w:r>
        <w:rPr>
          <w:rFonts w:hint="eastAsia" w:ascii="宋体" w:hAnsi="宋体"/>
          <w:color w:val="000000"/>
          <w:sz w:val="24"/>
          <w:highlight w:val="none"/>
          <w:lang w:val="en-US" w:eastAsia="zh-CN"/>
        </w:rPr>
        <w:t>组织开展“宏志助航计划”、“互联网+就业指导”公益直播课、考公就业指导讲座等</w:t>
      </w:r>
      <w:r>
        <w:rPr>
          <w:rFonts w:hint="eastAsia" w:ascii="宋体" w:hAnsi="宋体"/>
          <w:color w:val="000000"/>
          <w:sz w:val="24"/>
          <w:highlight w:val="none"/>
        </w:rPr>
        <w:t>提高</w:t>
      </w:r>
      <w:r>
        <w:rPr>
          <w:rFonts w:hint="eastAsia" w:ascii="宋体" w:hAnsi="宋体"/>
          <w:color w:val="000000"/>
          <w:sz w:val="24"/>
          <w:highlight w:val="none"/>
          <w:lang w:val="en-US" w:eastAsia="zh-CN"/>
        </w:rPr>
        <w:t>职业技能、就业技巧</w:t>
      </w:r>
      <w:r>
        <w:rPr>
          <w:rFonts w:hint="eastAsia" w:ascii="宋体" w:hAnsi="宋体"/>
          <w:color w:val="000000"/>
          <w:sz w:val="24"/>
          <w:highlight w:val="none"/>
        </w:rPr>
        <w:t>，确保其</w:t>
      </w:r>
      <w:r>
        <w:rPr>
          <w:rFonts w:hint="eastAsia" w:ascii="宋体" w:hAnsi="宋体"/>
          <w:color w:val="000000"/>
          <w:sz w:val="24"/>
          <w:highlight w:val="none"/>
          <w:lang w:val="en-US" w:eastAsia="zh-CN"/>
        </w:rPr>
        <w:t>学生充分就业</w:t>
      </w:r>
      <w:r>
        <w:rPr>
          <w:rFonts w:hint="eastAsia" w:ascii="宋体" w:hAnsi="宋体"/>
          <w:color w:val="000000"/>
          <w:sz w:val="24"/>
          <w:highlight w:val="none"/>
        </w:rPr>
        <w:t>；“送岗位”即通过</w:t>
      </w:r>
      <w:r>
        <w:rPr>
          <w:rFonts w:hint="eastAsia" w:ascii="宋体" w:hAnsi="宋体"/>
          <w:color w:val="000000"/>
          <w:sz w:val="24"/>
          <w:highlight w:val="none"/>
          <w:lang w:val="en-US" w:eastAsia="zh-CN"/>
        </w:rPr>
        <w:t>向</w:t>
      </w:r>
      <w:r>
        <w:rPr>
          <w:rFonts w:hint="eastAsia" w:ascii="宋体" w:hAnsi="宋体"/>
          <w:color w:val="000000"/>
          <w:sz w:val="24"/>
          <w:highlight w:val="none"/>
        </w:rPr>
        <w:t>用人单位重点推荐、就业基地岗位安置</w:t>
      </w:r>
      <w:r>
        <w:rPr>
          <w:rFonts w:hint="eastAsia" w:ascii="宋体" w:hAnsi="宋体"/>
          <w:color w:val="000000"/>
          <w:sz w:val="24"/>
          <w:highlight w:val="none"/>
          <w:lang w:eastAsia="zh-CN"/>
        </w:rPr>
        <w:t>、</w:t>
      </w:r>
      <w:r>
        <w:rPr>
          <w:rFonts w:hint="eastAsia" w:ascii="宋体" w:hAnsi="宋体"/>
          <w:color w:val="000000"/>
          <w:sz w:val="24"/>
          <w:highlight w:val="none"/>
          <w:lang w:val="en-US" w:eastAsia="zh-CN"/>
        </w:rPr>
        <w:t>访企拓岗走访交流</w:t>
      </w:r>
      <w:r>
        <w:rPr>
          <w:rFonts w:hint="eastAsia" w:ascii="宋体" w:hAnsi="宋体"/>
          <w:color w:val="000000"/>
          <w:sz w:val="24"/>
          <w:highlight w:val="none"/>
        </w:rPr>
        <w:t>等措施，切实帮助就业困难</w:t>
      </w:r>
      <w:r>
        <w:rPr>
          <w:rFonts w:hint="eastAsia" w:ascii="宋体" w:hAnsi="宋体"/>
          <w:color w:val="000000"/>
          <w:sz w:val="24"/>
          <w:highlight w:val="none"/>
          <w:lang w:val="en-US" w:eastAsia="zh-CN"/>
        </w:rPr>
        <w:t>学生</w:t>
      </w:r>
      <w:r>
        <w:rPr>
          <w:rFonts w:hint="eastAsia" w:ascii="宋体" w:hAnsi="宋体"/>
          <w:color w:val="000000"/>
          <w:sz w:val="24"/>
          <w:highlight w:val="none"/>
        </w:rPr>
        <w:t>落实就业岗位。</w:t>
      </w:r>
    </w:p>
    <w:p>
      <w:pPr>
        <w:spacing w:line="360" w:lineRule="auto"/>
        <w:ind w:firstLine="480" w:firstLineChars="200"/>
        <w:rPr>
          <w:rFonts w:hint="eastAsia" w:ascii="宋体" w:hAnsi="宋体"/>
          <w:color w:val="000000"/>
          <w:sz w:val="24"/>
          <w:highlight w:val="none"/>
        </w:rPr>
      </w:pPr>
      <w:r>
        <w:rPr>
          <w:rFonts w:hint="eastAsia" w:ascii="宋体" w:hAnsi="宋体"/>
          <w:color w:val="000000"/>
          <w:sz w:val="24"/>
          <w:highlight w:val="none"/>
        </w:rPr>
        <w:t>第三，开展个性化就业服务和心理援助活动。因其他原因导致就业困难的学生，学院安排二级心理工作站心理指导老师对其进行“一对一”心理咨询，缓解学生就业压力，增强其就业信心；委托企业HR指导其制作就业简历，提供就业面试培训和辅导，强化其就业求职技巧。</w:t>
      </w:r>
    </w:p>
    <w:p>
      <w:pPr>
        <w:spacing w:line="360" w:lineRule="auto"/>
        <w:ind w:firstLine="480" w:firstLineChars="200"/>
        <w:rPr>
          <w:rFonts w:ascii="宋体" w:hAnsi="宋体"/>
          <w:color w:val="000000"/>
          <w:sz w:val="24"/>
          <w:highlight w:val="none"/>
        </w:rPr>
      </w:pPr>
      <w:r>
        <w:rPr>
          <w:rFonts w:hint="eastAsia" w:ascii="宋体" w:hAnsi="宋体"/>
          <w:color w:val="000000"/>
          <w:sz w:val="24"/>
          <w:highlight w:val="none"/>
        </w:rPr>
        <w:t>第四，向双困生发放求职经费补贴。向家庭困难的毕业生发放求职创业补贴、求职通讯补贴等，缓解毕业生求职就业中的经济压力。积极引导就业困难学生</w:t>
      </w:r>
      <w:r>
        <w:rPr>
          <w:rFonts w:hint="eastAsia" w:ascii="宋体" w:hAnsi="宋体"/>
          <w:color w:val="000000"/>
          <w:sz w:val="24"/>
          <w:highlight w:val="none"/>
          <w:lang w:eastAsia="zh-CN"/>
        </w:rPr>
        <w:t>、</w:t>
      </w:r>
      <w:r>
        <w:rPr>
          <w:rFonts w:hint="eastAsia" w:ascii="宋体" w:hAnsi="宋体"/>
          <w:color w:val="000000"/>
          <w:sz w:val="24"/>
          <w:highlight w:val="none"/>
        </w:rPr>
        <w:t>双困生，到部队就业、到基层就业、到西部地区就业，为其解读学费补偿、</w:t>
      </w:r>
      <w:r>
        <w:rPr>
          <w:rFonts w:hint="eastAsia" w:ascii="宋体" w:hAnsi="宋体"/>
          <w:color w:val="000000"/>
          <w:sz w:val="24"/>
          <w:highlight w:val="none"/>
          <w:lang w:val="en-US" w:eastAsia="zh-CN"/>
        </w:rPr>
        <w:t>助学贷款代偿</w:t>
      </w:r>
      <w:r>
        <w:rPr>
          <w:rFonts w:hint="eastAsia" w:ascii="宋体" w:hAnsi="宋体"/>
          <w:color w:val="000000"/>
          <w:sz w:val="24"/>
          <w:highlight w:val="none"/>
        </w:rPr>
        <w:t>等政策。</w:t>
      </w:r>
    </w:p>
    <w:p>
      <w:pPr>
        <w:spacing w:line="360" w:lineRule="auto"/>
        <w:ind w:firstLine="482" w:firstLineChars="200"/>
        <w:rPr>
          <w:rFonts w:hint="eastAsia" w:ascii="宋体" w:hAnsi="宋体"/>
          <w:b/>
          <w:color w:val="000000"/>
          <w:sz w:val="24"/>
        </w:rPr>
      </w:pPr>
      <w:r>
        <w:rPr>
          <w:rFonts w:hint="eastAsia" w:ascii="宋体" w:hAnsi="宋体"/>
          <w:b/>
          <w:color w:val="000000"/>
          <w:sz w:val="24"/>
        </w:rPr>
        <w:t>第六部分：经济与管理学院各专业毕业生跟踪调查情况</w:t>
      </w:r>
    </w:p>
    <w:p>
      <w:pPr>
        <w:spacing w:line="360" w:lineRule="auto"/>
        <w:ind w:firstLine="480" w:firstLineChars="200"/>
        <w:rPr>
          <w:rFonts w:ascii="宋体" w:hAnsi="宋体"/>
          <w:color w:val="000000"/>
          <w:sz w:val="24"/>
          <w:highlight w:val="none"/>
        </w:rPr>
      </w:pPr>
      <w:r>
        <w:rPr>
          <w:rFonts w:hint="eastAsia" w:ascii="宋体" w:hAnsi="宋体"/>
          <w:color w:val="000000"/>
          <w:sz w:val="24"/>
          <w:highlight w:val="none"/>
          <w:lang w:val="en-US" w:eastAsia="zh-CN"/>
        </w:rPr>
        <w:t>常态化</w:t>
      </w:r>
      <w:r>
        <w:rPr>
          <w:rFonts w:hint="eastAsia" w:ascii="宋体" w:hAnsi="宋体"/>
          <w:color w:val="000000"/>
          <w:sz w:val="24"/>
          <w:highlight w:val="none"/>
        </w:rPr>
        <w:t>疫情下，全球经济增长速度放缓，外贸顺差收窄，企业裁员现象成普片现象，就业机会急剧较少。202</w:t>
      </w:r>
      <w:r>
        <w:rPr>
          <w:rFonts w:hint="eastAsia" w:ascii="宋体" w:hAnsi="宋体"/>
          <w:color w:val="000000"/>
          <w:sz w:val="24"/>
          <w:highlight w:val="none"/>
          <w:lang w:val="en-US" w:eastAsia="zh-CN"/>
        </w:rPr>
        <w:t>2</w:t>
      </w:r>
      <w:r>
        <w:rPr>
          <w:rFonts w:hint="eastAsia" w:ascii="宋体" w:hAnsi="宋体"/>
          <w:color w:val="000000"/>
          <w:sz w:val="24"/>
          <w:highlight w:val="none"/>
        </w:rPr>
        <w:t>届毕业生</w:t>
      </w:r>
      <w:r>
        <w:rPr>
          <w:rFonts w:hint="eastAsia" w:ascii="宋体" w:hAnsi="宋体"/>
          <w:color w:val="000000"/>
          <w:sz w:val="24"/>
          <w:highlight w:val="none"/>
          <w:lang w:val="en-US" w:eastAsia="zh-CN"/>
        </w:rPr>
        <w:t>人数1076</w:t>
      </w:r>
      <w:r>
        <w:rPr>
          <w:rFonts w:hint="eastAsia" w:ascii="宋体" w:hAnsi="宋体"/>
          <w:color w:val="000000"/>
          <w:sz w:val="24"/>
          <w:highlight w:val="none"/>
        </w:rPr>
        <w:t>万，</w:t>
      </w:r>
      <w:r>
        <w:rPr>
          <w:rFonts w:hint="eastAsia" w:ascii="宋体" w:hAnsi="宋体"/>
          <w:color w:val="000000"/>
          <w:sz w:val="24"/>
          <w:highlight w:val="none"/>
          <w:lang w:val="en-US" w:eastAsia="zh-CN"/>
        </w:rPr>
        <w:t>年度人数首次超过千万人</w:t>
      </w:r>
      <w:r>
        <w:rPr>
          <w:rFonts w:hint="eastAsia" w:ascii="宋体" w:hAnsi="宋体"/>
          <w:color w:val="000000"/>
          <w:sz w:val="24"/>
          <w:highlight w:val="none"/>
        </w:rPr>
        <w:t>。</w:t>
      </w:r>
      <w:r>
        <w:rPr>
          <w:rFonts w:hint="eastAsia" w:ascii="宋体" w:hAnsi="宋体"/>
          <w:color w:val="000000"/>
          <w:sz w:val="24"/>
          <w:highlight w:val="none"/>
          <w:lang w:val="en-US" w:eastAsia="zh-CN"/>
        </w:rPr>
        <w:t>工作实际情况</w:t>
      </w:r>
      <w:r>
        <w:rPr>
          <w:rFonts w:hint="eastAsia" w:ascii="宋体" w:hAnsi="宋体"/>
          <w:color w:val="000000"/>
          <w:sz w:val="24"/>
          <w:highlight w:val="none"/>
        </w:rPr>
        <w:t>与学生</w:t>
      </w:r>
      <w:r>
        <w:rPr>
          <w:rFonts w:hint="eastAsia" w:ascii="宋体" w:hAnsi="宋体"/>
          <w:color w:val="000000"/>
          <w:sz w:val="24"/>
          <w:highlight w:val="none"/>
          <w:lang w:val="en-US" w:eastAsia="zh-CN"/>
        </w:rPr>
        <w:t>就业预期</w:t>
      </w:r>
      <w:r>
        <w:rPr>
          <w:rFonts w:hint="eastAsia" w:ascii="宋体" w:hAnsi="宋体"/>
          <w:color w:val="000000"/>
          <w:sz w:val="24"/>
          <w:highlight w:val="none"/>
        </w:rPr>
        <w:t>存在矛盾</w:t>
      </w:r>
      <w:r>
        <w:rPr>
          <w:rFonts w:hint="eastAsia" w:ascii="宋体" w:hAnsi="宋体"/>
          <w:color w:val="000000"/>
          <w:sz w:val="24"/>
          <w:highlight w:val="none"/>
          <w:lang w:eastAsia="zh-CN"/>
        </w:rPr>
        <w:t>：</w:t>
      </w:r>
      <w:r>
        <w:rPr>
          <w:rFonts w:hint="eastAsia" w:ascii="宋体" w:hAnsi="宋体"/>
          <w:color w:val="000000"/>
          <w:sz w:val="24"/>
          <w:highlight w:val="none"/>
          <w:lang w:val="en-US" w:eastAsia="zh-CN"/>
        </w:rPr>
        <w:t>工资待遇与学生期望存在矛盾，</w:t>
      </w:r>
      <w:r>
        <w:rPr>
          <w:rFonts w:hint="eastAsia" w:ascii="宋体" w:hAnsi="宋体"/>
          <w:color w:val="000000"/>
          <w:sz w:val="24"/>
          <w:highlight w:val="none"/>
        </w:rPr>
        <w:t>企业招聘</w:t>
      </w:r>
      <w:r>
        <w:rPr>
          <w:rFonts w:hint="eastAsia" w:ascii="宋体" w:hAnsi="宋体"/>
          <w:color w:val="000000"/>
          <w:sz w:val="24"/>
          <w:highlight w:val="none"/>
          <w:lang w:val="en-US" w:eastAsia="zh-CN"/>
        </w:rPr>
        <w:t>需求岗位</w:t>
      </w:r>
      <w:r>
        <w:rPr>
          <w:rFonts w:hint="eastAsia" w:ascii="宋体" w:hAnsi="宋体"/>
          <w:color w:val="000000"/>
          <w:sz w:val="24"/>
          <w:highlight w:val="none"/>
        </w:rPr>
        <w:t>与学生</w:t>
      </w:r>
      <w:r>
        <w:rPr>
          <w:rFonts w:hint="eastAsia" w:ascii="宋体" w:hAnsi="宋体"/>
          <w:color w:val="000000"/>
          <w:sz w:val="24"/>
          <w:highlight w:val="none"/>
          <w:lang w:val="en-US" w:eastAsia="zh-CN"/>
        </w:rPr>
        <w:t>就业意向岗位</w:t>
      </w:r>
      <w:r>
        <w:rPr>
          <w:rFonts w:hint="eastAsia" w:ascii="宋体" w:hAnsi="宋体"/>
          <w:color w:val="000000"/>
          <w:sz w:val="24"/>
          <w:highlight w:val="none"/>
        </w:rPr>
        <w:t>存在矛盾，企业招不到人与学生就不了业存在矛盾。202</w:t>
      </w:r>
      <w:r>
        <w:rPr>
          <w:rFonts w:hint="eastAsia" w:ascii="宋体" w:hAnsi="宋体"/>
          <w:color w:val="000000"/>
          <w:sz w:val="24"/>
          <w:highlight w:val="none"/>
          <w:lang w:val="en-US" w:eastAsia="zh-CN"/>
        </w:rPr>
        <w:t>1年研究生</w:t>
      </w:r>
      <w:r>
        <w:rPr>
          <w:rFonts w:hint="eastAsia" w:ascii="宋体" w:hAnsi="宋体"/>
          <w:color w:val="000000"/>
          <w:sz w:val="24"/>
          <w:highlight w:val="none"/>
        </w:rPr>
        <w:t>报考人数年再创新高，达</w:t>
      </w:r>
      <w:r>
        <w:rPr>
          <w:rFonts w:hint="eastAsia" w:ascii="宋体" w:hAnsi="宋体"/>
          <w:color w:val="000000"/>
          <w:sz w:val="24"/>
          <w:highlight w:val="none"/>
          <w:lang w:val="en-US" w:eastAsia="zh-CN"/>
        </w:rPr>
        <w:t>377</w:t>
      </w:r>
      <w:r>
        <w:rPr>
          <w:rFonts w:hint="eastAsia" w:ascii="宋体" w:hAnsi="宋体"/>
          <w:color w:val="000000"/>
          <w:sz w:val="24"/>
          <w:highlight w:val="none"/>
        </w:rPr>
        <w:t>万，较</w:t>
      </w:r>
      <w:r>
        <w:rPr>
          <w:rFonts w:hint="eastAsia" w:ascii="宋体" w:hAnsi="宋体"/>
          <w:color w:val="000000"/>
          <w:sz w:val="24"/>
          <w:highlight w:val="none"/>
          <w:lang w:val="en-US" w:eastAsia="zh-CN"/>
        </w:rPr>
        <w:t>2020</w:t>
      </w:r>
      <w:r>
        <w:rPr>
          <w:rFonts w:hint="eastAsia" w:ascii="宋体" w:hAnsi="宋体"/>
          <w:color w:val="000000"/>
          <w:sz w:val="24"/>
          <w:highlight w:val="none"/>
        </w:rPr>
        <w:t>年</w:t>
      </w:r>
      <w:r>
        <w:rPr>
          <w:rFonts w:hint="eastAsia" w:ascii="宋体" w:hAnsi="宋体"/>
          <w:color w:val="000000"/>
          <w:sz w:val="24"/>
          <w:highlight w:val="none"/>
          <w:lang w:val="en-US" w:eastAsia="zh-CN"/>
        </w:rPr>
        <w:t>341</w:t>
      </w:r>
      <w:r>
        <w:rPr>
          <w:rFonts w:hint="eastAsia" w:ascii="宋体" w:hAnsi="宋体"/>
          <w:color w:val="000000"/>
          <w:sz w:val="24"/>
          <w:highlight w:val="none"/>
        </w:rPr>
        <w:t>万</w:t>
      </w:r>
      <w:r>
        <w:rPr>
          <w:rFonts w:hint="eastAsia" w:ascii="宋体" w:hAnsi="宋体"/>
          <w:color w:val="000000"/>
          <w:sz w:val="24"/>
          <w:highlight w:val="none"/>
          <w:lang w:val="en-US" w:eastAsia="zh-CN"/>
        </w:rPr>
        <w:t>考研人数</w:t>
      </w:r>
      <w:r>
        <w:rPr>
          <w:rFonts w:hint="eastAsia" w:ascii="宋体" w:hAnsi="宋体"/>
          <w:color w:val="000000"/>
          <w:sz w:val="24"/>
          <w:highlight w:val="none"/>
        </w:rPr>
        <w:t>增加了</w:t>
      </w:r>
      <w:r>
        <w:rPr>
          <w:rFonts w:hint="eastAsia" w:ascii="宋体" w:hAnsi="宋体"/>
          <w:color w:val="000000"/>
          <w:sz w:val="24"/>
          <w:highlight w:val="none"/>
          <w:lang w:val="en-US" w:eastAsia="zh-CN"/>
        </w:rPr>
        <w:t>36</w:t>
      </w:r>
      <w:r>
        <w:rPr>
          <w:rFonts w:hint="eastAsia" w:ascii="宋体" w:hAnsi="宋体"/>
          <w:color w:val="000000"/>
          <w:sz w:val="24"/>
          <w:highlight w:val="none"/>
        </w:rPr>
        <w:t>万，</w:t>
      </w:r>
      <w:r>
        <w:rPr>
          <w:rFonts w:hint="eastAsia" w:ascii="宋体" w:hAnsi="宋体"/>
          <w:color w:val="000000"/>
          <w:sz w:val="24"/>
          <w:highlight w:val="none"/>
          <w:lang w:val="en-US" w:eastAsia="zh-CN"/>
        </w:rPr>
        <w:t>考研（硕士生）报录比27.87%</w:t>
      </w:r>
      <w:r>
        <w:rPr>
          <w:rFonts w:hint="eastAsia" w:ascii="宋体" w:hAnsi="宋体"/>
          <w:color w:val="000000"/>
          <w:sz w:val="24"/>
          <w:highlight w:val="none"/>
        </w:rPr>
        <w:t>。</w:t>
      </w:r>
      <w:r>
        <w:rPr>
          <w:rFonts w:hint="eastAsia" w:ascii="宋体" w:hAnsi="宋体"/>
          <w:color w:val="000000"/>
          <w:sz w:val="24"/>
          <w:highlight w:val="none"/>
          <w:lang w:val="en-US" w:eastAsia="zh-CN"/>
        </w:rPr>
        <w:t>2021年报考国家公务员通过审核人数达140万，较2020年127万报考审核通过人数新增13万人，录取比仅1.83%。</w:t>
      </w:r>
      <w:r>
        <w:rPr>
          <w:rFonts w:hint="eastAsia" w:ascii="宋体" w:hAnsi="宋体"/>
          <w:color w:val="000000"/>
          <w:sz w:val="24"/>
          <w:highlight w:val="none"/>
        </w:rPr>
        <w:t>越来越多的学生坚定考研、考公，</w:t>
      </w:r>
      <w:r>
        <w:rPr>
          <w:rFonts w:hint="eastAsia" w:ascii="宋体" w:hAnsi="宋体"/>
          <w:color w:val="000000"/>
          <w:sz w:val="24"/>
          <w:highlight w:val="none"/>
          <w:lang w:val="en-US" w:eastAsia="zh-CN"/>
        </w:rPr>
        <w:t>代</w:t>
      </w:r>
      <w:r>
        <w:rPr>
          <w:rFonts w:hint="eastAsia" w:ascii="宋体" w:hAnsi="宋体"/>
          <w:color w:val="000000"/>
          <w:sz w:val="24"/>
          <w:highlight w:val="none"/>
        </w:rPr>
        <w:t>就业，</w:t>
      </w:r>
      <w:r>
        <w:rPr>
          <w:rFonts w:hint="eastAsia" w:ascii="宋体" w:hAnsi="宋体"/>
          <w:color w:val="000000"/>
          <w:sz w:val="24"/>
          <w:highlight w:val="none"/>
          <w:lang w:val="en-US" w:eastAsia="zh-CN"/>
        </w:rPr>
        <w:t>不</w:t>
      </w:r>
      <w:r>
        <w:rPr>
          <w:rFonts w:hint="eastAsia" w:ascii="宋体" w:hAnsi="宋体"/>
          <w:color w:val="000000"/>
          <w:sz w:val="24"/>
          <w:highlight w:val="none"/>
        </w:rPr>
        <w:t>就业。考研</w:t>
      </w:r>
      <w:r>
        <w:rPr>
          <w:rFonts w:hint="eastAsia" w:ascii="宋体" w:hAnsi="宋体"/>
          <w:color w:val="000000"/>
          <w:sz w:val="24"/>
          <w:highlight w:val="none"/>
          <w:lang w:eastAsia="zh-CN"/>
        </w:rPr>
        <w:t>、</w:t>
      </w:r>
      <w:r>
        <w:rPr>
          <w:rFonts w:hint="eastAsia" w:ascii="宋体" w:hAnsi="宋体"/>
          <w:color w:val="000000"/>
          <w:sz w:val="24"/>
          <w:highlight w:val="none"/>
          <w:lang w:val="en-US" w:eastAsia="zh-CN"/>
        </w:rPr>
        <w:t>考公</w:t>
      </w:r>
      <w:r>
        <w:rPr>
          <w:rFonts w:hint="eastAsia" w:ascii="宋体" w:hAnsi="宋体"/>
          <w:color w:val="000000"/>
          <w:sz w:val="24"/>
          <w:highlight w:val="none"/>
        </w:rPr>
        <w:t>人数</w:t>
      </w:r>
      <w:r>
        <w:rPr>
          <w:rFonts w:hint="eastAsia" w:ascii="宋体" w:hAnsi="宋体"/>
          <w:color w:val="000000"/>
          <w:sz w:val="24"/>
          <w:highlight w:val="none"/>
          <w:lang w:val="en-US" w:eastAsia="zh-CN"/>
        </w:rPr>
        <w:t>年年攀升</w:t>
      </w:r>
      <w:r>
        <w:rPr>
          <w:rFonts w:hint="eastAsia" w:ascii="宋体" w:hAnsi="宋体"/>
          <w:color w:val="000000"/>
          <w:sz w:val="24"/>
          <w:highlight w:val="none"/>
        </w:rPr>
        <w:t>以及考研</w:t>
      </w:r>
      <w:r>
        <w:rPr>
          <w:rFonts w:hint="eastAsia" w:ascii="宋体" w:hAnsi="宋体"/>
          <w:color w:val="000000"/>
          <w:sz w:val="24"/>
          <w:highlight w:val="none"/>
          <w:lang w:val="en-US" w:eastAsia="zh-CN"/>
        </w:rPr>
        <w:t>报录比持续走低</w:t>
      </w:r>
      <w:r>
        <w:rPr>
          <w:rFonts w:hint="eastAsia" w:ascii="宋体" w:hAnsi="宋体"/>
          <w:color w:val="000000"/>
          <w:sz w:val="24"/>
          <w:highlight w:val="none"/>
        </w:rPr>
        <w:t>，导致</w:t>
      </w:r>
      <w:r>
        <w:rPr>
          <w:rFonts w:hint="eastAsia" w:ascii="宋体" w:hAnsi="宋体"/>
          <w:color w:val="000000"/>
          <w:sz w:val="24"/>
          <w:highlight w:val="none"/>
          <w:lang w:val="en-US" w:eastAsia="zh-CN"/>
        </w:rPr>
        <w:t>大批</w:t>
      </w:r>
      <w:r>
        <w:rPr>
          <w:rFonts w:hint="eastAsia" w:ascii="宋体" w:hAnsi="宋体"/>
          <w:color w:val="000000"/>
          <w:sz w:val="24"/>
          <w:highlight w:val="none"/>
        </w:rPr>
        <w:t>考研、考公失利的学生出现再就业难就业的情况发生。</w:t>
      </w:r>
      <w:r>
        <w:rPr>
          <w:rFonts w:hint="eastAsia" w:ascii="宋体" w:hAnsi="宋体"/>
          <w:color w:val="000000"/>
          <w:sz w:val="24"/>
          <w:highlight w:val="none"/>
          <w:lang w:val="en-US" w:eastAsia="zh-CN"/>
        </w:rPr>
        <w:t>大部分</w:t>
      </w:r>
      <w:r>
        <w:rPr>
          <w:rFonts w:hint="eastAsia" w:ascii="宋体" w:hAnsi="宋体"/>
          <w:color w:val="000000"/>
          <w:sz w:val="24"/>
          <w:highlight w:val="none"/>
        </w:rPr>
        <w:t>家庭</w:t>
      </w:r>
      <w:r>
        <w:rPr>
          <w:rFonts w:hint="eastAsia" w:ascii="宋体" w:hAnsi="宋体"/>
          <w:color w:val="000000"/>
          <w:sz w:val="24"/>
          <w:highlight w:val="none"/>
          <w:lang w:val="en-US" w:eastAsia="zh-CN"/>
        </w:rPr>
        <w:t>会</w:t>
      </w:r>
      <w:r>
        <w:rPr>
          <w:rFonts w:hint="eastAsia" w:ascii="宋体" w:hAnsi="宋体"/>
          <w:color w:val="000000"/>
          <w:sz w:val="24"/>
          <w:highlight w:val="none"/>
        </w:rPr>
        <w:t>对子女考研、考公</w:t>
      </w:r>
      <w:r>
        <w:rPr>
          <w:rFonts w:hint="eastAsia" w:ascii="宋体" w:hAnsi="宋体"/>
          <w:color w:val="000000"/>
          <w:sz w:val="24"/>
          <w:highlight w:val="none"/>
          <w:lang w:val="en-US" w:eastAsia="zh-CN"/>
        </w:rPr>
        <w:t>全力支持</w:t>
      </w:r>
      <w:r>
        <w:rPr>
          <w:rFonts w:hint="eastAsia" w:ascii="宋体" w:hAnsi="宋体"/>
          <w:color w:val="000000"/>
          <w:sz w:val="24"/>
          <w:highlight w:val="none"/>
        </w:rPr>
        <w:t>，</w:t>
      </w:r>
      <w:r>
        <w:rPr>
          <w:rFonts w:hint="eastAsia" w:ascii="宋体" w:hAnsi="宋体"/>
          <w:color w:val="000000"/>
          <w:sz w:val="24"/>
          <w:highlight w:val="none"/>
          <w:lang w:val="en-US" w:eastAsia="zh-CN"/>
        </w:rPr>
        <w:t>二次考研、考公</w:t>
      </w:r>
      <w:r>
        <w:rPr>
          <w:rFonts w:hint="eastAsia" w:ascii="宋体" w:hAnsi="宋体"/>
          <w:color w:val="000000"/>
          <w:sz w:val="24"/>
          <w:highlight w:val="none"/>
        </w:rPr>
        <w:t>成为较为</w:t>
      </w:r>
      <w:r>
        <w:rPr>
          <w:rFonts w:hint="eastAsia" w:ascii="宋体" w:hAnsi="宋体"/>
          <w:color w:val="000000"/>
          <w:sz w:val="24"/>
          <w:highlight w:val="none"/>
          <w:lang w:val="en-US" w:eastAsia="zh-CN"/>
        </w:rPr>
        <w:t>普遍</w:t>
      </w:r>
      <w:r>
        <w:rPr>
          <w:rFonts w:hint="eastAsia" w:ascii="宋体" w:hAnsi="宋体"/>
          <w:color w:val="000000"/>
          <w:sz w:val="24"/>
          <w:highlight w:val="none"/>
        </w:rPr>
        <w:t>现象。</w:t>
      </w:r>
    </w:p>
    <w:p>
      <w:pPr>
        <w:spacing w:line="360" w:lineRule="auto"/>
        <w:ind w:firstLine="480" w:firstLineChars="200"/>
        <w:rPr>
          <w:rFonts w:hint="eastAsia" w:ascii="宋体" w:hAnsi="宋体"/>
          <w:color w:val="000000"/>
          <w:sz w:val="24"/>
          <w:highlight w:val="none"/>
        </w:rPr>
      </w:pPr>
      <w:r>
        <w:rPr>
          <w:rFonts w:hint="eastAsia" w:ascii="宋体" w:hAnsi="宋体"/>
          <w:color w:val="000000"/>
          <w:sz w:val="24"/>
          <w:highlight w:val="none"/>
        </w:rPr>
        <w:t>202</w:t>
      </w:r>
      <w:r>
        <w:rPr>
          <w:rFonts w:hint="eastAsia" w:ascii="宋体" w:hAnsi="宋体"/>
          <w:color w:val="000000"/>
          <w:sz w:val="24"/>
          <w:highlight w:val="none"/>
          <w:lang w:val="en-US" w:eastAsia="zh-CN"/>
        </w:rPr>
        <w:t>2</w:t>
      </w:r>
      <w:r>
        <w:rPr>
          <w:rFonts w:hint="eastAsia" w:ascii="宋体" w:hAnsi="宋体"/>
          <w:color w:val="000000"/>
          <w:sz w:val="24"/>
          <w:highlight w:val="none"/>
        </w:rPr>
        <w:t>年9月，经济与管理学院对202</w:t>
      </w:r>
      <w:r>
        <w:rPr>
          <w:rFonts w:hint="eastAsia" w:ascii="宋体" w:hAnsi="宋体"/>
          <w:color w:val="000000"/>
          <w:sz w:val="24"/>
          <w:highlight w:val="none"/>
          <w:lang w:val="en-US" w:eastAsia="zh-CN"/>
        </w:rPr>
        <w:t>2</w:t>
      </w:r>
      <w:r>
        <w:rPr>
          <w:rFonts w:hint="eastAsia" w:ascii="宋体" w:hAnsi="宋体"/>
          <w:color w:val="000000"/>
          <w:sz w:val="24"/>
          <w:highlight w:val="none"/>
        </w:rPr>
        <w:t>届毕业生就业去向做了整体的分析，对202</w:t>
      </w:r>
      <w:r>
        <w:rPr>
          <w:rFonts w:hint="eastAsia" w:ascii="宋体" w:hAnsi="宋体"/>
          <w:color w:val="000000"/>
          <w:sz w:val="24"/>
          <w:highlight w:val="none"/>
          <w:lang w:val="en-US" w:eastAsia="zh-CN"/>
        </w:rPr>
        <w:t>2</w:t>
      </w:r>
      <w:r>
        <w:rPr>
          <w:rFonts w:hint="eastAsia" w:ascii="宋体" w:hAnsi="宋体"/>
          <w:color w:val="000000"/>
          <w:sz w:val="24"/>
          <w:highlight w:val="none"/>
        </w:rPr>
        <w:t>届毕业生、用人单位进行了调查回访。202</w:t>
      </w:r>
      <w:r>
        <w:rPr>
          <w:rFonts w:hint="eastAsia" w:ascii="宋体" w:hAnsi="宋体"/>
          <w:color w:val="000000"/>
          <w:sz w:val="24"/>
          <w:highlight w:val="none"/>
          <w:lang w:val="en-US" w:eastAsia="zh-CN"/>
        </w:rPr>
        <w:t>2</w:t>
      </w:r>
      <w:r>
        <w:rPr>
          <w:rFonts w:hint="eastAsia" w:ascii="宋体" w:hAnsi="宋体"/>
          <w:color w:val="000000"/>
          <w:sz w:val="24"/>
          <w:highlight w:val="none"/>
        </w:rPr>
        <w:t>届毕业生主要就业行业有：制造业</w:t>
      </w:r>
      <w:r>
        <w:rPr>
          <w:rFonts w:hint="eastAsia" w:ascii="宋体" w:hAnsi="宋体"/>
          <w:color w:val="000000"/>
          <w:sz w:val="24"/>
          <w:highlight w:val="none"/>
          <w:lang w:val="en-US" w:eastAsia="zh-CN"/>
        </w:rPr>
        <w:t>87</w:t>
      </w:r>
      <w:r>
        <w:rPr>
          <w:rFonts w:hint="eastAsia" w:ascii="宋体" w:hAnsi="宋体"/>
          <w:color w:val="000000"/>
          <w:sz w:val="24"/>
          <w:highlight w:val="none"/>
        </w:rPr>
        <w:t>人，批发和零售业</w:t>
      </w:r>
      <w:r>
        <w:rPr>
          <w:rFonts w:hint="eastAsia" w:ascii="宋体" w:hAnsi="宋体"/>
          <w:color w:val="000000"/>
          <w:sz w:val="24"/>
          <w:highlight w:val="none"/>
          <w:lang w:val="en-US" w:eastAsia="zh-CN"/>
        </w:rPr>
        <w:t>65</w:t>
      </w:r>
      <w:r>
        <w:rPr>
          <w:rFonts w:hint="eastAsia" w:ascii="宋体" w:hAnsi="宋体"/>
          <w:color w:val="000000"/>
          <w:sz w:val="24"/>
          <w:highlight w:val="none"/>
        </w:rPr>
        <w:t>人，建筑业</w:t>
      </w:r>
      <w:r>
        <w:rPr>
          <w:rFonts w:hint="eastAsia" w:ascii="宋体" w:hAnsi="宋体"/>
          <w:color w:val="000000"/>
          <w:sz w:val="24"/>
          <w:highlight w:val="none"/>
          <w:lang w:val="en-US" w:eastAsia="zh-CN"/>
        </w:rPr>
        <w:t>45</w:t>
      </w:r>
      <w:r>
        <w:rPr>
          <w:rFonts w:hint="eastAsia" w:ascii="宋体" w:hAnsi="宋体"/>
          <w:color w:val="000000"/>
          <w:sz w:val="24"/>
          <w:highlight w:val="none"/>
        </w:rPr>
        <w:t>人，租赁和商务服务业</w:t>
      </w:r>
      <w:r>
        <w:rPr>
          <w:rFonts w:hint="eastAsia" w:ascii="宋体" w:hAnsi="宋体"/>
          <w:color w:val="000000"/>
          <w:sz w:val="24"/>
          <w:highlight w:val="none"/>
          <w:lang w:val="en-US" w:eastAsia="zh-CN"/>
        </w:rPr>
        <w:t>42</w:t>
      </w:r>
      <w:r>
        <w:rPr>
          <w:rFonts w:hint="eastAsia" w:ascii="宋体" w:hAnsi="宋体"/>
          <w:color w:val="000000"/>
          <w:sz w:val="24"/>
          <w:highlight w:val="none"/>
        </w:rPr>
        <w:t>人，信息传输、软件和信息技术服务业</w:t>
      </w:r>
      <w:r>
        <w:rPr>
          <w:rFonts w:hint="eastAsia" w:ascii="宋体" w:hAnsi="宋体"/>
          <w:color w:val="000000"/>
          <w:sz w:val="24"/>
          <w:highlight w:val="none"/>
          <w:lang w:val="en-US" w:eastAsia="zh-CN"/>
        </w:rPr>
        <w:t>42</w:t>
      </w:r>
      <w:r>
        <w:rPr>
          <w:rFonts w:hint="eastAsia" w:ascii="宋体" w:hAnsi="宋体"/>
          <w:color w:val="000000"/>
          <w:sz w:val="24"/>
          <w:highlight w:val="none"/>
        </w:rPr>
        <w:t>人，金融行业</w:t>
      </w:r>
      <w:r>
        <w:rPr>
          <w:rFonts w:hint="eastAsia" w:ascii="宋体" w:hAnsi="宋体"/>
          <w:color w:val="000000"/>
          <w:sz w:val="24"/>
          <w:highlight w:val="none"/>
          <w:lang w:val="en-US" w:eastAsia="zh-CN"/>
        </w:rPr>
        <w:t>40</w:t>
      </w:r>
      <w:r>
        <w:rPr>
          <w:rFonts w:hint="eastAsia" w:ascii="宋体" w:hAnsi="宋体"/>
          <w:color w:val="000000"/>
          <w:sz w:val="24"/>
          <w:highlight w:val="none"/>
        </w:rPr>
        <w:t>人，交通运输、仓储和邮政业3</w:t>
      </w:r>
      <w:r>
        <w:rPr>
          <w:rFonts w:hint="eastAsia" w:ascii="宋体" w:hAnsi="宋体"/>
          <w:color w:val="000000"/>
          <w:sz w:val="24"/>
          <w:highlight w:val="none"/>
          <w:lang w:val="en-US" w:eastAsia="zh-CN"/>
        </w:rPr>
        <w:t>8</w:t>
      </w:r>
      <w:r>
        <w:rPr>
          <w:rFonts w:hint="eastAsia" w:ascii="宋体" w:hAnsi="宋体"/>
          <w:color w:val="000000"/>
          <w:sz w:val="24"/>
          <w:highlight w:val="none"/>
        </w:rPr>
        <w:t>人，房地产行业</w:t>
      </w:r>
      <w:r>
        <w:rPr>
          <w:rFonts w:hint="eastAsia" w:ascii="宋体" w:hAnsi="宋体"/>
          <w:color w:val="000000"/>
          <w:sz w:val="24"/>
          <w:highlight w:val="none"/>
          <w:lang w:val="en-US" w:eastAsia="zh-CN"/>
        </w:rPr>
        <w:t>17</w:t>
      </w:r>
      <w:r>
        <w:rPr>
          <w:rFonts w:hint="eastAsia" w:ascii="宋体" w:hAnsi="宋体"/>
          <w:color w:val="000000"/>
          <w:sz w:val="24"/>
          <w:highlight w:val="none"/>
        </w:rPr>
        <w:t>人，公共管理、社会保障和社会组织</w:t>
      </w:r>
      <w:r>
        <w:rPr>
          <w:rFonts w:hint="eastAsia" w:ascii="宋体" w:hAnsi="宋体"/>
          <w:color w:val="000000"/>
          <w:sz w:val="24"/>
          <w:highlight w:val="none"/>
          <w:lang w:val="en-US" w:eastAsia="zh-CN"/>
        </w:rPr>
        <w:t>16</w:t>
      </w:r>
      <w:r>
        <w:rPr>
          <w:rFonts w:hint="eastAsia" w:ascii="宋体" w:hAnsi="宋体"/>
          <w:color w:val="000000"/>
          <w:sz w:val="24"/>
          <w:highlight w:val="none"/>
        </w:rPr>
        <w:t>人</w:t>
      </w:r>
      <w:r>
        <w:rPr>
          <w:rFonts w:hint="eastAsia" w:ascii="宋体" w:hAnsi="宋体"/>
          <w:color w:val="000000"/>
          <w:sz w:val="24"/>
          <w:highlight w:val="none"/>
          <w:lang w:eastAsia="zh-CN"/>
        </w:rPr>
        <w:t>，</w:t>
      </w:r>
      <w:r>
        <w:rPr>
          <w:rFonts w:hint="eastAsia" w:ascii="宋体" w:hAnsi="宋体"/>
          <w:color w:val="000000"/>
          <w:sz w:val="24"/>
          <w:highlight w:val="none"/>
          <w:lang w:val="en-US" w:eastAsia="zh-CN"/>
        </w:rPr>
        <w:t>科学研究和技术服务业14人，</w:t>
      </w:r>
      <w:r>
        <w:rPr>
          <w:rFonts w:hint="eastAsia" w:ascii="宋体" w:hAnsi="宋体"/>
          <w:color w:val="000000"/>
          <w:sz w:val="24"/>
          <w:highlight w:val="none"/>
        </w:rPr>
        <w:t>教育行业</w:t>
      </w:r>
      <w:r>
        <w:rPr>
          <w:rFonts w:hint="eastAsia" w:ascii="宋体" w:hAnsi="宋体"/>
          <w:color w:val="000000"/>
          <w:sz w:val="24"/>
          <w:highlight w:val="none"/>
          <w:lang w:val="en-US" w:eastAsia="zh-CN"/>
        </w:rPr>
        <w:t>10</w:t>
      </w:r>
      <w:r>
        <w:rPr>
          <w:rFonts w:hint="eastAsia" w:ascii="宋体" w:hAnsi="宋体"/>
          <w:color w:val="000000"/>
          <w:sz w:val="24"/>
          <w:highlight w:val="none"/>
        </w:rPr>
        <w:t>人。岗位主要涉及基础业务、市场营销、商业服务、运营物流、行政人资、财务会计等岗位。学生整体就业对口度不高。</w:t>
      </w:r>
    </w:p>
    <w:p>
      <w:pPr>
        <w:spacing w:line="360" w:lineRule="auto"/>
        <w:ind w:firstLine="480" w:firstLineChars="200"/>
        <w:rPr>
          <w:rFonts w:ascii="宋体" w:hAnsi="宋体"/>
          <w:color w:val="000000"/>
          <w:sz w:val="24"/>
          <w:highlight w:val="yellow"/>
        </w:rPr>
      </w:pPr>
      <w:r>
        <w:rPr>
          <w:rFonts w:hint="eastAsia" w:ascii="宋体" w:hAnsi="宋体"/>
          <w:color w:val="000000"/>
          <w:sz w:val="24"/>
          <w:highlight w:val="none"/>
        </w:rPr>
        <w:t>高质量就业毕业生群体中，主要就业去向为升学、公务员</w:t>
      </w:r>
      <w:r>
        <w:rPr>
          <w:rFonts w:hint="eastAsia" w:ascii="宋体" w:hAnsi="宋体"/>
          <w:color w:val="000000"/>
          <w:sz w:val="24"/>
          <w:highlight w:val="none"/>
          <w:lang w:eastAsia="zh-CN"/>
        </w:rPr>
        <w:t>、</w:t>
      </w:r>
      <w:r>
        <w:rPr>
          <w:rFonts w:hint="eastAsia" w:ascii="宋体" w:hAnsi="宋体"/>
          <w:color w:val="000000"/>
          <w:sz w:val="24"/>
          <w:highlight w:val="none"/>
        </w:rPr>
        <w:t>基层项目</w:t>
      </w:r>
      <w:r>
        <w:rPr>
          <w:rFonts w:hint="eastAsia" w:ascii="宋体" w:hAnsi="宋体"/>
          <w:color w:val="000000"/>
          <w:sz w:val="24"/>
          <w:highlight w:val="none"/>
          <w:lang w:eastAsia="zh-CN"/>
        </w:rPr>
        <w:t>（</w:t>
      </w:r>
      <w:r>
        <w:rPr>
          <w:rFonts w:hint="eastAsia" w:ascii="宋体" w:hAnsi="宋体"/>
          <w:color w:val="000000"/>
          <w:sz w:val="24"/>
          <w:highlight w:val="none"/>
          <w:lang w:val="en-US" w:eastAsia="zh-CN"/>
        </w:rPr>
        <w:t>含政策性岗位</w:t>
      </w:r>
      <w:r>
        <w:rPr>
          <w:rFonts w:hint="eastAsia" w:ascii="宋体" w:hAnsi="宋体"/>
          <w:color w:val="000000"/>
          <w:sz w:val="24"/>
          <w:highlight w:val="none"/>
          <w:lang w:eastAsia="zh-CN"/>
        </w:rPr>
        <w:t>）</w:t>
      </w:r>
      <w:r>
        <w:rPr>
          <w:rFonts w:hint="eastAsia" w:ascii="宋体" w:hAnsi="宋体"/>
          <w:color w:val="000000"/>
          <w:sz w:val="24"/>
          <w:highlight w:val="none"/>
        </w:rPr>
        <w:t>、国企（含银行）</w:t>
      </w:r>
      <w:r>
        <w:rPr>
          <w:rFonts w:hint="eastAsia" w:ascii="宋体" w:hAnsi="宋体"/>
          <w:color w:val="000000"/>
          <w:sz w:val="24"/>
          <w:highlight w:val="none"/>
          <w:lang w:val="en-US" w:eastAsia="zh-CN"/>
        </w:rPr>
        <w:t>,</w:t>
      </w:r>
      <w:r>
        <w:rPr>
          <w:rFonts w:hint="eastAsia" w:ascii="宋体" w:hAnsi="宋体"/>
          <w:color w:val="000000"/>
          <w:sz w:val="24"/>
          <w:highlight w:val="none"/>
        </w:rPr>
        <w:t>他们主要是通过招考录用。毕业生进入工作岗位后，基本能够满足单位对人才的要求，工作态度端正，</w:t>
      </w:r>
      <w:r>
        <w:rPr>
          <w:rFonts w:hint="eastAsia" w:ascii="宋体" w:hAnsi="宋体"/>
          <w:color w:val="000000"/>
          <w:sz w:val="24"/>
          <w:highlight w:val="none"/>
          <w:lang w:val="en-US" w:eastAsia="zh-CN"/>
        </w:rPr>
        <w:t>立足</w:t>
      </w:r>
      <w:r>
        <w:rPr>
          <w:rFonts w:hint="eastAsia" w:ascii="宋体" w:hAnsi="宋体"/>
          <w:color w:val="000000"/>
          <w:sz w:val="24"/>
          <w:highlight w:val="none"/>
        </w:rPr>
        <w:t>本职工作</w:t>
      </w:r>
      <w:r>
        <w:rPr>
          <w:rFonts w:hint="eastAsia" w:ascii="宋体" w:hAnsi="宋体"/>
          <w:color w:val="000000"/>
          <w:sz w:val="24"/>
          <w:highlight w:val="none"/>
          <w:lang w:eastAsia="zh-CN"/>
        </w:rPr>
        <w:t>，</w:t>
      </w:r>
      <w:r>
        <w:rPr>
          <w:rFonts w:hint="eastAsia" w:ascii="宋体" w:hAnsi="宋体"/>
          <w:color w:val="000000"/>
          <w:sz w:val="24"/>
          <w:highlight w:val="none"/>
          <w:lang w:val="en-US" w:eastAsia="zh-CN"/>
        </w:rPr>
        <w:t>按时</w:t>
      </w:r>
      <w:r>
        <w:rPr>
          <w:rFonts w:hint="eastAsia" w:ascii="宋体" w:hAnsi="宋体"/>
          <w:color w:val="000000"/>
          <w:sz w:val="24"/>
          <w:highlight w:val="none"/>
        </w:rPr>
        <w:t>完成领导分配的任务。学生主动意识不强，工作能力有待提升；</w:t>
      </w:r>
      <w:r>
        <w:rPr>
          <w:rFonts w:hint="eastAsia" w:ascii="宋体" w:hAnsi="宋体"/>
          <w:color w:val="000000"/>
          <w:sz w:val="24"/>
          <w:highlight w:val="none"/>
          <w:lang w:val="en-US" w:eastAsia="zh-CN"/>
        </w:rPr>
        <w:t>学生适应工作节奏较慢，心态上容易产生失衡；</w:t>
      </w:r>
      <w:r>
        <w:rPr>
          <w:rFonts w:hint="eastAsia" w:ascii="宋体" w:hAnsi="宋体"/>
          <w:color w:val="000000"/>
          <w:sz w:val="24"/>
          <w:highlight w:val="none"/>
        </w:rPr>
        <w:t>专业知识与实际工作存在脱节</w:t>
      </w:r>
      <w:r>
        <w:rPr>
          <w:rFonts w:hint="eastAsia" w:ascii="宋体" w:hAnsi="宋体"/>
          <w:color w:val="000000"/>
          <w:sz w:val="24"/>
          <w:highlight w:val="none"/>
          <w:lang w:val="en-US" w:eastAsia="zh-CN"/>
        </w:rPr>
        <w:t>,工作中较易遇到发展障碍。</w:t>
      </w:r>
    </w:p>
    <w:p>
      <w:pPr>
        <w:spacing w:line="360" w:lineRule="auto"/>
        <w:ind w:firstLine="480" w:firstLineChars="200"/>
        <w:rPr>
          <w:rFonts w:hint="eastAsia" w:ascii="宋体" w:hAnsi="宋体"/>
          <w:color w:val="000000"/>
          <w:sz w:val="24"/>
          <w:highlight w:val="none"/>
        </w:rPr>
      </w:pPr>
      <w:r>
        <w:rPr>
          <w:rFonts w:hint="eastAsia" w:ascii="宋体" w:hAnsi="宋体"/>
          <w:color w:val="000000"/>
          <w:sz w:val="24"/>
          <w:highlight w:val="none"/>
        </w:rPr>
        <w:t>用人单位对经济与管理毕业生整体评价</w:t>
      </w:r>
      <w:r>
        <w:rPr>
          <w:rFonts w:hint="eastAsia" w:ascii="宋体" w:hAnsi="宋体"/>
          <w:color w:val="000000"/>
          <w:sz w:val="24"/>
          <w:highlight w:val="none"/>
          <w:lang w:val="en-US" w:eastAsia="zh-CN"/>
        </w:rPr>
        <w:t>较</w:t>
      </w:r>
      <w:r>
        <w:rPr>
          <w:rFonts w:hint="eastAsia" w:ascii="宋体" w:hAnsi="宋体"/>
          <w:color w:val="000000"/>
          <w:sz w:val="24"/>
          <w:highlight w:val="none"/>
        </w:rPr>
        <w:t>高，对</w:t>
      </w:r>
      <w:r>
        <w:rPr>
          <w:rFonts w:hint="eastAsia" w:ascii="宋体" w:hAnsi="宋体"/>
          <w:color w:val="000000"/>
          <w:sz w:val="24"/>
          <w:highlight w:val="none"/>
          <w:lang w:val="en-US" w:eastAsia="zh-CN"/>
        </w:rPr>
        <w:t>毕业生的专业</w:t>
      </w:r>
      <w:r>
        <w:rPr>
          <w:rFonts w:hint="eastAsia" w:ascii="宋体" w:hAnsi="宋体"/>
          <w:color w:val="000000"/>
          <w:sz w:val="24"/>
          <w:highlight w:val="none"/>
        </w:rPr>
        <w:t>知识</w:t>
      </w:r>
      <w:r>
        <w:rPr>
          <w:rFonts w:hint="eastAsia" w:ascii="宋体" w:hAnsi="宋体"/>
          <w:color w:val="000000"/>
          <w:sz w:val="24"/>
          <w:highlight w:val="none"/>
          <w:lang w:val="en-US" w:eastAsia="zh-CN"/>
        </w:rPr>
        <w:t>掌握</w:t>
      </w:r>
      <w:r>
        <w:rPr>
          <w:rFonts w:hint="eastAsia" w:ascii="宋体" w:hAnsi="宋体"/>
          <w:color w:val="000000"/>
          <w:sz w:val="24"/>
          <w:highlight w:val="none"/>
        </w:rPr>
        <w:t>、沟通与表达能力、团队协作能力等较为满意。同时，企业</w:t>
      </w:r>
      <w:r>
        <w:rPr>
          <w:rFonts w:hint="eastAsia" w:ascii="宋体" w:hAnsi="宋体"/>
          <w:color w:val="000000"/>
          <w:sz w:val="24"/>
          <w:highlight w:val="none"/>
          <w:lang w:val="en-US" w:eastAsia="zh-CN"/>
        </w:rPr>
        <w:t>对在校学生</w:t>
      </w:r>
      <w:r>
        <w:rPr>
          <w:rFonts w:hint="eastAsia" w:ascii="宋体" w:hAnsi="宋体"/>
          <w:color w:val="000000"/>
          <w:sz w:val="24"/>
          <w:highlight w:val="none"/>
        </w:rPr>
        <w:t>提出</w:t>
      </w:r>
      <w:r>
        <w:rPr>
          <w:rFonts w:hint="eastAsia" w:ascii="宋体" w:hAnsi="宋体"/>
          <w:color w:val="000000"/>
          <w:sz w:val="24"/>
          <w:highlight w:val="none"/>
          <w:lang w:val="en-US" w:eastAsia="zh-CN"/>
        </w:rPr>
        <w:t>了</w:t>
      </w:r>
      <w:r>
        <w:rPr>
          <w:rFonts w:hint="eastAsia" w:ascii="宋体" w:hAnsi="宋体"/>
          <w:color w:val="000000"/>
          <w:sz w:val="24"/>
          <w:highlight w:val="none"/>
        </w:rPr>
        <w:t>更高的要求：学生</w:t>
      </w:r>
      <w:r>
        <w:rPr>
          <w:rFonts w:hint="eastAsia" w:ascii="宋体" w:hAnsi="宋体"/>
          <w:color w:val="000000"/>
          <w:sz w:val="24"/>
          <w:highlight w:val="none"/>
          <w:lang w:val="en-US" w:eastAsia="zh-CN"/>
        </w:rPr>
        <w:t>亟需加强</w:t>
      </w:r>
      <w:r>
        <w:rPr>
          <w:rFonts w:hint="eastAsia" w:ascii="宋体" w:hAnsi="宋体"/>
          <w:color w:val="000000"/>
          <w:sz w:val="24"/>
          <w:highlight w:val="none"/>
        </w:rPr>
        <w:t>动手实践能力</w:t>
      </w:r>
      <w:r>
        <w:rPr>
          <w:rFonts w:hint="eastAsia" w:ascii="宋体" w:hAnsi="宋体"/>
          <w:color w:val="000000"/>
          <w:sz w:val="24"/>
          <w:highlight w:val="none"/>
          <w:lang w:eastAsia="zh-CN"/>
        </w:rPr>
        <w:t>、</w:t>
      </w:r>
      <w:r>
        <w:rPr>
          <w:rFonts w:hint="eastAsia" w:ascii="宋体" w:hAnsi="宋体"/>
          <w:color w:val="000000"/>
          <w:sz w:val="24"/>
          <w:highlight w:val="none"/>
        </w:rPr>
        <w:t>切实解决问题能力</w:t>
      </w:r>
      <w:r>
        <w:rPr>
          <w:rFonts w:hint="eastAsia" w:ascii="宋体" w:hAnsi="宋体"/>
          <w:color w:val="000000"/>
          <w:sz w:val="24"/>
          <w:highlight w:val="none"/>
          <w:lang w:eastAsia="zh-CN"/>
        </w:rPr>
        <w:t>，</w:t>
      </w:r>
      <w:r>
        <w:rPr>
          <w:rFonts w:hint="eastAsia" w:ascii="宋体" w:hAnsi="宋体"/>
          <w:color w:val="000000"/>
          <w:sz w:val="24"/>
          <w:highlight w:val="none"/>
          <w:lang w:val="en-US" w:eastAsia="zh-CN"/>
        </w:rPr>
        <w:t>树立</w:t>
      </w:r>
      <w:r>
        <w:rPr>
          <w:rFonts w:hint="eastAsia" w:ascii="宋体" w:hAnsi="宋体"/>
          <w:color w:val="000000"/>
          <w:sz w:val="24"/>
          <w:highlight w:val="none"/>
        </w:rPr>
        <w:t>敬业精神和责任感。</w:t>
      </w:r>
    </w:p>
    <w:p>
      <w:pPr>
        <w:spacing w:line="360" w:lineRule="auto"/>
        <w:ind w:firstLine="480" w:firstLineChars="200"/>
        <w:rPr>
          <w:rFonts w:ascii="宋体" w:hAnsi="宋体"/>
          <w:color w:val="000000"/>
          <w:sz w:val="24"/>
          <w:highlight w:val="none"/>
        </w:rPr>
      </w:pPr>
      <w:r>
        <w:rPr>
          <w:rFonts w:hint="eastAsia" w:ascii="宋体" w:hAnsi="宋体"/>
          <w:color w:val="000000"/>
          <w:sz w:val="24"/>
          <w:highlight w:val="none"/>
          <w:lang w:val="en-US" w:eastAsia="zh-CN"/>
        </w:rPr>
        <w:t>毕业生</w:t>
      </w:r>
      <w:r>
        <w:rPr>
          <w:rFonts w:hint="eastAsia" w:ascii="宋体" w:hAnsi="宋体"/>
          <w:color w:val="000000"/>
          <w:sz w:val="24"/>
          <w:highlight w:val="none"/>
        </w:rPr>
        <w:t>对</w:t>
      </w:r>
      <w:r>
        <w:rPr>
          <w:rFonts w:hint="eastAsia" w:ascii="宋体" w:hAnsi="宋体"/>
          <w:color w:val="000000"/>
          <w:sz w:val="24"/>
          <w:highlight w:val="none"/>
          <w:lang w:val="en-US" w:eastAsia="zh-CN"/>
        </w:rPr>
        <w:t>校</w:t>
      </w:r>
      <w:r>
        <w:rPr>
          <w:rFonts w:hint="eastAsia" w:ascii="宋体" w:hAnsi="宋体"/>
          <w:color w:val="000000"/>
          <w:sz w:val="24"/>
          <w:highlight w:val="none"/>
        </w:rPr>
        <w:t>院就业指导服务工作整体比较满意，也提出了几点意见和建议：一、邀请优秀</w:t>
      </w:r>
      <w:r>
        <w:rPr>
          <w:rFonts w:hint="eastAsia" w:ascii="宋体" w:hAnsi="宋体"/>
          <w:color w:val="000000"/>
          <w:sz w:val="24"/>
          <w:highlight w:val="none"/>
          <w:lang w:val="en-US" w:eastAsia="zh-CN"/>
        </w:rPr>
        <w:t>毕业生</w:t>
      </w:r>
      <w:r>
        <w:rPr>
          <w:rFonts w:hint="eastAsia" w:ascii="宋体" w:hAnsi="宋体"/>
          <w:color w:val="000000"/>
          <w:sz w:val="24"/>
          <w:highlight w:val="none"/>
        </w:rPr>
        <w:t>校友、企业</w:t>
      </w:r>
      <w:r>
        <w:rPr>
          <w:rFonts w:hint="eastAsia" w:ascii="宋体" w:hAnsi="宋体"/>
          <w:color w:val="000000"/>
          <w:sz w:val="24"/>
          <w:highlight w:val="none"/>
          <w:lang w:val="en-US" w:eastAsia="zh-CN"/>
        </w:rPr>
        <w:t>资深人资</w:t>
      </w:r>
      <w:r>
        <w:rPr>
          <w:rFonts w:hint="eastAsia" w:ascii="宋体" w:hAnsi="宋体"/>
          <w:color w:val="000000"/>
          <w:sz w:val="24"/>
          <w:highlight w:val="none"/>
        </w:rPr>
        <w:t>作专业化</w:t>
      </w:r>
      <w:r>
        <w:rPr>
          <w:rFonts w:hint="eastAsia" w:ascii="宋体" w:hAnsi="宋体"/>
          <w:color w:val="000000"/>
          <w:sz w:val="24"/>
          <w:highlight w:val="none"/>
          <w:lang w:val="en-US" w:eastAsia="zh-CN"/>
        </w:rPr>
        <w:t>的</w:t>
      </w:r>
      <w:r>
        <w:rPr>
          <w:rFonts w:hint="eastAsia" w:ascii="宋体" w:hAnsi="宋体"/>
          <w:color w:val="000000"/>
          <w:sz w:val="24"/>
          <w:highlight w:val="none"/>
        </w:rPr>
        <w:t>求职、择业培训；二、强化低年级学生就业意识，培养学生</w:t>
      </w:r>
      <w:r>
        <w:rPr>
          <w:rFonts w:hint="eastAsia" w:ascii="宋体" w:hAnsi="宋体"/>
          <w:color w:val="000000"/>
          <w:sz w:val="24"/>
          <w:highlight w:val="none"/>
          <w:lang w:val="en-US" w:eastAsia="zh-CN"/>
        </w:rPr>
        <w:t>专业技能</w:t>
      </w:r>
      <w:r>
        <w:rPr>
          <w:rFonts w:hint="eastAsia" w:ascii="宋体" w:hAnsi="宋体"/>
          <w:color w:val="000000"/>
          <w:sz w:val="24"/>
          <w:highlight w:val="none"/>
        </w:rPr>
        <w:t>，提高学生综合素养；三、</w:t>
      </w:r>
      <w:r>
        <w:rPr>
          <w:rFonts w:hint="eastAsia" w:ascii="宋体" w:hAnsi="宋体"/>
          <w:color w:val="000000"/>
          <w:sz w:val="24"/>
          <w:highlight w:val="none"/>
          <w:lang w:val="en-US" w:eastAsia="zh-CN"/>
        </w:rPr>
        <w:t>塑造</w:t>
      </w:r>
      <w:r>
        <w:rPr>
          <w:rFonts w:hint="eastAsia" w:ascii="宋体" w:hAnsi="宋体"/>
          <w:color w:val="000000"/>
          <w:sz w:val="24"/>
          <w:highlight w:val="none"/>
        </w:rPr>
        <w:t>学生自主学习</w:t>
      </w:r>
      <w:r>
        <w:rPr>
          <w:rFonts w:hint="eastAsia" w:ascii="宋体" w:hAnsi="宋体"/>
          <w:color w:val="000000"/>
          <w:sz w:val="24"/>
          <w:highlight w:val="none"/>
          <w:lang w:val="en-US" w:eastAsia="zh-CN"/>
        </w:rPr>
        <w:t>的意识</w:t>
      </w:r>
      <w:r>
        <w:rPr>
          <w:rFonts w:hint="eastAsia" w:ascii="宋体" w:hAnsi="宋体"/>
          <w:color w:val="000000"/>
          <w:sz w:val="24"/>
          <w:highlight w:val="none"/>
        </w:rPr>
        <w:t>，</w:t>
      </w:r>
      <w:r>
        <w:rPr>
          <w:rFonts w:hint="eastAsia" w:ascii="宋体" w:hAnsi="宋体"/>
          <w:color w:val="000000"/>
          <w:sz w:val="24"/>
          <w:highlight w:val="none"/>
          <w:lang w:val="en-US" w:eastAsia="zh-CN"/>
        </w:rPr>
        <w:t>养成自我学习的能力，</w:t>
      </w:r>
      <w:r>
        <w:rPr>
          <w:rFonts w:hint="eastAsia" w:ascii="宋体" w:hAnsi="宋体"/>
          <w:color w:val="000000"/>
          <w:sz w:val="24"/>
          <w:highlight w:val="none"/>
        </w:rPr>
        <w:t>营造良好</w:t>
      </w:r>
      <w:r>
        <w:rPr>
          <w:rFonts w:hint="eastAsia" w:ascii="宋体" w:hAnsi="宋体"/>
          <w:color w:val="000000"/>
          <w:sz w:val="24"/>
          <w:highlight w:val="none"/>
          <w:lang w:val="en-US" w:eastAsia="zh-CN"/>
        </w:rPr>
        <w:t>的学习</w:t>
      </w:r>
      <w:r>
        <w:rPr>
          <w:rFonts w:hint="eastAsia" w:ascii="宋体" w:hAnsi="宋体"/>
          <w:color w:val="000000"/>
          <w:sz w:val="24"/>
          <w:highlight w:val="none"/>
        </w:rPr>
        <w:t>氛围。</w:t>
      </w:r>
    </w:p>
    <w:p>
      <w:pPr>
        <w:spacing w:line="360" w:lineRule="auto"/>
        <w:ind w:firstLine="482" w:firstLineChars="200"/>
        <w:rPr>
          <w:rFonts w:hint="eastAsia" w:ascii="宋体" w:hAnsi="宋体"/>
          <w:b/>
          <w:color w:val="000000"/>
          <w:sz w:val="24"/>
        </w:rPr>
      </w:pPr>
      <w:r>
        <w:rPr>
          <w:rFonts w:hint="eastAsia" w:ascii="宋体" w:hAnsi="宋体"/>
          <w:b/>
          <w:color w:val="000000"/>
          <w:sz w:val="24"/>
        </w:rPr>
        <w:t>第七部分：经济与管理学院基层就业情况</w:t>
      </w:r>
    </w:p>
    <w:p>
      <w:pPr>
        <w:adjustRightInd w:val="0"/>
        <w:snapToGrid w:val="0"/>
        <w:spacing w:line="360" w:lineRule="auto"/>
        <w:ind w:firstLine="480" w:firstLineChars="200"/>
        <w:rPr>
          <w:rFonts w:hint="eastAsia" w:ascii="宋体" w:hAnsi="宋体"/>
          <w:color w:val="000000"/>
          <w:sz w:val="24"/>
          <w:highlight w:val="none"/>
        </w:rPr>
      </w:pPr>
      <w:r>
        <w:rPr>
          <w:rFonts w:hint="eastAsia" w:ascii="宋体" w:hAnsi="宋体"/>
          <w:color w:val="000000"/>
          <w:sz w:val="24"/>
          <w:highlight w:val="none"/>
        </w:rPr>
        <w:t>习近平总书记2020年给中国石油大学（北京）克拉玛依校区毕业生毕业生回信，勉励青年人到西部、到基层、到祖国最需要的地方去建功立业，努力成为可堪大用、能担重任的西部建设者。回信在社会各界特别是青年中引发强烈反响。总书记的回信，充分体现了党和国家对有志于到西部、到基层、到祖国最需要的地方去锻炼成长的广大青年学生和西部支教志愿者的亲切关怀和殷切期望，也为当代青年的成长指明了方向。</w:t>
      </w:r>
    </w:p>
    <w:p>
      <w:pPr>
        <w:adjustRightInd w:val="0"/>
        <w:snapToGrid w:val="0"/>
        <w:spacing w:line="360" w:lineRule="auto"/>
        <w:ind w:firstLine="480" w:firstLineChars="200"/>
        <w:rPr>
          <w:rFonts w:ascii="宋体" w:hAnsi="宋体"/>
          <w:color w:val="000000"/>
          <w:sz w:val="24"/>
          <w:highlight w:val="none"/>
        </w:rPr>
      </w:pPr>
      <w:r>
        <w:rPr>
          <w:rFonts w:hint="eastAsia" w:ascii="宋体" w:hAnsi="宋体"/>
          <w:color w:val="000000"/>
          <w:sz w:val="24"/>
          <w:highlight w:val="none"/>
        </w:rPr>
        <w:t>常态化疫情下，毕业生结构性矛盾突出。积极引导毕业生去基层就业、西部就业，把个人理想追求融入党和国家事业之中。积极宣传应征入伍兵役</w:t>
      </w:r>
      <w:r>
        <w:rPr>
          <w:rFonts w:hint="eastAsia" w:ascii="宋体" w:hAnsi="宋体"/>
          <w:color w:val="000000"/>
          <w:sz w:val="24"/>
          <w:highlight w:val="none"/>
          <w:lang w:eastAsia="zh-CN"/>
        </w:rPr>
        <w:t>、</w:t>
      </w:r>
      <w:r>
        <w:rPr>
          <w:rFonts w:hint="eastAsia" w:ascii="宋体" w:hAnsi="宋体"/>
          <w:color w:val="000000"/>
          <w:sz w:val="24"/>
          <w:highlight w:val="none"/>
        </w:rPr>
        <w:t>选调生、西部计划、新疆西藏</w:t>
      </w:r>
      <w:r>
        <w:rPr>
          <w:rFonts w:hint="eastAsia" w:ascii="宋体" w:hAnsi="宋体"/>
          <w:color w:val="000000"/>
          <w:sz w:val="24"/>
          <w:highlight w:val="none"/>
          <w:lang w:val="en-US" w:eastAsia="zh-CN"/>
        </w:rPr>
        <w:t>专</w:t>
      </w:r>
      <w:r>
        <w:rPr>
          <w:rFonts w:hint="eastAsia" w:ascii="宋体" w:hAnsi="宋体"/>
          <w:color w:val="000000"/>
          <w:sz w:val="24"/>
          <w:highlight w:val="none"/>
        </w:rPr>
        <w:t>招</w:t>
      </w:r>
      <w:r>
        <w:rPr>
          <w:rFonts w:hint="eastAsia" w:ascii="宋体" w:hAnsi="宋体"/>
          <w:color w:val="000000"/>
          <w:sz w:val="24"/>
          <w:highlight w:val="none"/>
          <w:lang w:eastAsia="zh-CN"/>
        </w:rPr>
        <w:t>、</w:t>
      </w:r>
      <w:r>
        <w:rPr>
          <w:rFonts w:hint="eastAsia" w:ascii="宋体" w:hAnsi="宋体"/>
          <w:color w:val="000000"/>
          <w:sz w:val="24"/>
          <w:highlight w:val="none"/>
        </w:rPr>
        <w:t>三支一扶、特岗教师、</w:t>
      </w:r>
      <w:r>
        <w:rPr>
          <w:rFonts w:hint="eastAsia" w:ascii="宋体" w:hAnsi="宋体"/>
          <w:color w:val="000000"/>
          <w:sz w:val="24"/>
          <w:highlight w:val="none"/>
          <w:lang w:val="en-US" w:eastAsia="zh-CN"/>
        </w:rPr>
        <w:t>农技特岗、</w:t>
      </w:r>
      <w:r>
        <w:rPr>
          <w:rFonts w:hint="eastAsia" w:ascii="宋体" w:hAnsi="宋体"/>
          <w:color w:val="000000"/>
          <w:sz w:val="24"/>
          <w:highlight w:val="none"/>
        </w:rPr>
        <w:t>大学生村官</w:t>
      </w:r>
      <w:r>
        <w:rPr>
          <w:rFonts w:hint="eastAsia" w:ascii="宋体" w:hAnsi="宋体"/>
          <w:color w:val="000000"/>
          <w:sz w:val="24"/>
          <w:highlight w:val="none"/>
          <w:lang w:eastAsia="zh-CN"/>
        </w:rPr>
        <w:t>、</w:t>
      </w:r>
      <w:r>
        <w:rPr>
          <w:rFonts w:hint="eastAsia" w:ascii="宋体" w:hAnsi="宋体"/>
          <w:color w:val="000000"/>
          <w:sz w:val="24"/>
          <w:highlight w:val="none"/>
          <w:lang w:val="en-US" w:eastAsia="zh-CN"/>
        </w:rPr>
        <w:t>合肥市社区“小管家”</w:t>
      </w:r>
      <w:r>
        <w:rPr>
          <w:rFonts w:hint="eastAsia" w:ascii="宋体" w:hAnsi="宋体"/>
          <w:color w:val="000000"/>
          <w:sz w:val="24"/>
          <w:highlight w:val="none"/>
        </w:rPr>
        <w:t>等招录工作。</w:t>
      </w:r>
    </w:p>
    <w:p>
      <w:pPr>
        <w:adjustRightInd w:val="0"/>
        <w:snapToGrid w:val="0"/>
        <w:spacing w:line="360" w:lineRule="auto"/>
        <w:ind w:firstLine="480" w:firstLineChars="200"/>
        <w:rPr>
          <w:rFonts w:hint="eastAsia" w:ascii="宋体" w:hAnsi="宋体"/>
          <w:color w:val="000000"/>
          <w:sz w:val="24"/>
          <w:highlight w:val="none"/>
        </w:rPr>
      </w:pPr>
      <w:r>
        <w:rPr>
          <w:rFonts w:hint="eastAsia" w:ascii="宋体" w:hAnsi="宋体"/>
          <w:color w:val="000000"/>
          <w:sz w:val="24"/>
          <w:highlight w:val="none"/>
        </w:rPr>
        <w:t>经济与管理学院202</w:t>
      </w:r>
      <w:r>
        <w:rPr>
          <w:rFonts w:hint="eastAsia" w:ascii="宋体" w:hAnsi="宋体"/>
          <w:color w:val="000000"/>
          <w:sz w:val="24"/>
          <w:highlight w:val="none"/>
          <w:lang w:val="en-US" w:eastAsia="zh-CN"/>
        </w:rPr>
        <w:t>2</w:t>
      </w:r>
      <w:r>
        <w:rPr>
          <w:rFonts w:hint="eastAsia" w:ascii="宋体" w:hAnsi="宋体"/>
          <w:color w:val="000000"/>
          <w:sz w:val="24"/>
          <w:highlight w:val="none"/>
        </w:rPr>
        <w:t>届</w:t>
      </w:r>
      <w:r>
        <w:rPr>
          <w:rFonts w:hint="eastAsia" w:ascii="宋体" w:hAnsi="宋体"/>
          <w:color w:val="000000"/>
          <w:sz w:val="24"/>
          <w:highlight w:val="none"/>
          <w:lang w:val="en-US" w:eastAsia="zh-CN"/>
        </w:rPr>
        <w:t>617</w:t>
      </w:r>
      <w:r>
        <w:rPr>
          <w:rFonts w:hint="eastAsia" w:ascii="宋体" w:hAnsi="宋体"/>
          <w:color w:val="000000"/>
          <w:sz w:val="24"/>
          <w:highlight w:val="none"/>
        </w:rPr>
        <w:t>名毕业生中，</w:t>
      </w:r>
      <w:r>
        <w:rPr>
          <w:rFonts w:hint="eastAsia" w:ascii="宋体" w:hAnsi="宋体"/>
          <w:color w:val="000000"/>
          <w:sz w:val="24"/>
          <w:highlight w:val="none"/>
          <w:lang w:val="en-US" w:eastAsia="zh-CN"/>
        </w:rPr>
        <w:t>征兵</w:t>
      </w:r>
      <w:r>
        <w:rPr>
          <w:rFonts w:hint="eastAsia" w:ascii="宋体" w:hAnsi="宋体"/>
          <w:color w:val="000000"/>
          <w:sz w:val="24"/>
          <w:highlight w:val="none"/>
        </w:rPr>
        <w:t>入伍</w:t>
      </w:r>
      <w:r>
        <w:rPr>
          <w:rFonts w:hint="eastAsia" w:ascii="宋体" w:hAnsi="宋体"/>
          <w:color w:val="000000"/>
          <w:sz w:val="24"/>
          <w:highlight w:val="none"/>
          <w:lang w:val="en-US" w:eastAsia="zh-CN"/>
        </w:rPr>
        <w:t>4</w:t>
      </w:r>
      <w:r>
        <w:rPr>
          <w:rFonts w:hint="eastAsia" w:ascii="宋体" w:hAnsi="宋体"/>
          <w:color w:val="000000"/>
          <w:sz w:val="24"/>
          <w:highlight w:val="none"/>
        </w:rPr>
        <w:t>人</w:t>
      </w:r>
      <w:r>
        <w:rPr>
          <w:rFonts w:hint="eastAsia" w:ascii="宋体" w:hAnsi="宋体"/>
          <w:color w:val="000000"/>
          <w:sz w:val="24"/>
          <w:highlight w:val="none"/>
          <w:lang w:eastAsia="zh-CN"/>
        </w:rPr>
        <w:t>，</w:t>
      </w:r>
      <w:r>
        <w:rPr>
          <w:rFonts w:hint="eastAsia" w:ascii="宋体" w:hAnsi="宋体"/>
          <w:color w:val="000000"/>
          <w:sz w:val="24"/>
          <w:highlight w:val="none"/>
        </w:rPr>
        <w:t>选调生录用</w:t>
      </w:r>
      <w:r>
        <w:rPr>
          <w:rFonts w:hint="eastAsia" w:ascii="宋体" w:hAnsi="宋体"/>
          <w:color w:val="000000"/>
          <w:sz w:val="24"/>
          <w:highlight w:val="none"/>
          <w:lang w:val="en-US" w:eastAsia="zh-CN"/>
        </w:rPr>
        <w:t>4</w:t>
      </w:r>
      <w:r>
        <w:rPr>
          <w:rFonts w:hint="eastAsia" w:ascii="宋体" w:hAnsi="宋体"/>
          <w:color w:val="000000"/>
          <w:sz w:val="24"/>
          <w:highlight w:val="none"/>
        </w:rPr>
        <w:t>人，西部计划</w:t>
      </w:r>
      <w:r>
        <w:rPr>
          <w:rFonts w:hint="eastAsia" w:ascii="宋体" w:hAnsi="宋体"/>
          <w:color w:val="000000"/>
          <w:sz w:val="24"/>
          <w:highlight w:val="none"/>
          <w:lang w:val="en-US" w:eastAsia="zh-CN"/>
        </w:rPr>
        <w:t>2</w:t>
      </w:r>
      <w:r>
        <w:rPr>
          <w:rFonts w:hint="eastAsia" w:ascii="宋体" w:hAnsi="宋体"/>
          <w:color w:val="000000"/>
          <w:sz w:val="24"/>
          <w:highlight w:val="none"/>
        </w:rPr>
        <w:t>人，</w:t>
      </w:r>
      <w:r>
        <w:rPr>
          <w:rFonts w:hint="eastAsia" w:ascii="宋体" w:hAnsi="宋体"/>
          <w:color w:val="000000"/>
          <w:sz w:val="24"/>
          <w:highlight w:val="none"/>
          <w:lang w:val="en-US" w:eastAsia="zh-CN"/>
        </w:rPr>
        <w:t>西藏专招1人，三支一扶</w:t>
      </w:r>
      <w:r>
        <w:rPr>
          <w:rFonts w:hint="eastAsia" w:ascii="宋体" w:hAnsi="宋体"/>
          <w:color w:val="000000"/>
          <w:sz w:val="24"/>
          <w:highlight w:val="none"/>
        </w:rPr>
        <w:t>1人，</w:t>
      </w:r>
      <w:r>
        <w:rPr>
          <w:rFonts w:hint="eastAsia" w:ascii="宋体" w:hAnsi="宋体"/>
          <w:color w:val="000000"/>
          <w:sz w:val="24"/>
          <w:highlight w:val="none"/>
          <w:lang w:val="en-US" w:eastAsia="zh-CN"/>
        </w:rPr>
        <w:t>农技特岗2人，社区工作者7人（其中1人在辽宁省大连市沙河口区社区工作）</w:t>
      </w:r>
      <w:r>
        <w:rPr>
          <w:rFonts w:hint="eastAsia" w:ascii="宋体" w:hAnsi="宋体"/>
          <w:color w:val="000000"/>
          <w:sz w:val="24"/>
          <w:highlight w:val="none"/>
        </w:rPr>
        <w:t>。现将基层就业学生代表情况介绍如下:</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2" w:firstLineChars="200"/>
        <w:jc w:val="left"/>
        <w:textAlignment w:val="auto"/>
        <w:rPr>
          <w:rFonts w:hint="default" w:ascii="宋体" w:hAnsi="宋体" w:eastAsia="宋体"/>
          <w:b/>
          <w:bCs/>
          <w:color w:val="000000"/>
          <w:sz w:val="24"/>
          <w:lang w:val="en-US" w:eastAsia="zh-CN"/>
        </w:rPr>
      </w:pPr>
      <w:r>
        <w:rPr>
          <w:rFonts w:hint="eastAsia" w:ascii="宋体" w:hAnsi="宋体"/>
          <w:b/>
          <w:bCs/>
          <w:color w:val="000000"/>
          <w:sz w:val="24"/>
          <w:lang w:val="en-US" w:eastAsia="zh-CN"/>
        </w:rPr>
        <w:t>征兵入伍案例一：</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left"/>
        <w:textAlignment w:val="auto"/>
        <w:rPr>
          <w:rFonts w:hint="eastAsia" w:ascii="宋体" w:hAnsi="宋体"/>
          <w:color w:val="000000"/>
          <w:sz w:val="24"/>
          <w:lang w:eastAsia="zh-CN"/>
        </w:rPr>
      </w:pPr>
      <w:r>
        <w:rPr>
          <w:rFonts w:hint="eastAsia" w:ascii="宋体" w:hAnsi="宋体"/>
          <w:color w:val="000000"/>
          <w:sz w:val="24"/>
        </w:rPr>
        <w:t>阎瀚文</w:t>
      </w:r>
      <w:r>
        <w:rPr>
          <w:rFonts w:hint="eastAsia" w:ascii="宋体" w:hAnsi="宋体"/>
          <w:color w:val="000000"/>
          <w:sz w:val="24"/>
          <w:lang w:eastAsia="zh-CN"/>
        </w:rPr>
        <w:t>，</w:t>
      </w:r>
      <w:r>
        <w:rPr>
          <w:rFonts w:hint="eastAsia" w:ascii="宋体" w:hAnsi="宋体"/>
          <w:color w:val="000000"/>
          <w:sz w:val="24"/>
        </w:rPr>
        <w:t>男</w:t>
      </w:r>
      <w:r>
        <w:rPr>
          <w:rFonts w:hint="eastAsia" w:ascii="宋体" w:hAnsi="宋体"/>
          <w:color w:val="000000"/>
          <w:sz w:val="24"/>
          <w:lang w:eastAsia="zh-CN"/>
        </w:rPr>
        <w:t>，</w:t>
      </w:r>
      <w:r>
        <w:rPr>
          <w:rFonts w:hint="eastAsia" w:ascii="宋体" w:hAnsi="宋体"/>
          <w:color w:val="000000"/>
          <w:sz w:val="24"/>
        </w:rPr>
        <w:t>18级中德物流管理</w:t>
      </w:r>
      <w:r>
        <w:rPr>
          <w:rFonts w:hint="eastAsia" w:ascii="宋体" w:hAnsi="宋体"/>
          <w:color w:val="000000"/>
          <w:sz w:val="24"/>
          <w:lang w:val="en-US" w:eastAsia="zh-CN"/>
        </w:rPr>
        <w:t>专业学生</w:t>
      </w:r>
      <w:r>
        <w:rPr>
          <w:rFonts w:hint="eastAsia" w:ascii="宋体" w:hAnsi="宋体"/>
          <w:color w:val="000000"/>
          <w:sz w:val="24"/>
        </w:rPr>
        <w:t>，2022年7月毕业。</w:t>
      </w:r>
      <w:r>
        <w:rPr>
          <w:rFonts w:hint="eastAsia" w:ascii="宋体" w:hAnsi="宋体"/>
          <w:color w:val="000000"/>
          <w:sz w:val="24"/>
          <w:lang w:eastAsia="zh-CN"/>
        </w:rPr>
        <w:t xml:space="preserve">  </w:t>
      </w:r>
    </w:p>
    <w:p>
      <w:pPr>
        <w:spacing w:line="360" w:lineRule="auto"/>
        <w:ind w:firstLine="480" w:firstLineChars="200"/>
        <w:jc w:val="left"/>
        <w:rPr>
          <w:rFonts w:hint="eastAsia" w:ascii="宋体" w:hAnsi="宋体"/>
          <w:color w:val="000000"/>
          <w:sz w:val="24"/>
        </w:rPr>
      </w:pPr>
      <w:r>
        <w:rPr>
          <w:rFonts w:hint="eastAsia" w:ascii="宋体" w:hAnsi="宋体"/>
          <w:color w:val="000000"/>
          <w:sz w:val="24"/>
          <w:lang w:val="en-US" w:eastAsia="zh-CN"/>
        </w:rPr>
        <w:t>在校期间，因</w:t>
      </w:r>
      <w:r>
        <w:rPr>
          <w:rFonts w:hint="eastAsia" w:ascii="宋体" w:hAnsi="宋体"/>
          <w:color w:val="000000"/>
          <w:sz w:val="24"/>
        </w:rPr>
        <w:t>家庭影响和个人理想，阎瀚文</w:t>
      </w:r>
      <w:r>
        <w:rPr>
          <w:rFonts w:hint="eastAsia" w:ascii="宋体" w:hAnsi="宋体"/>
          <w:color w:val="000000"/>
          <w:sz w:val="24"/>
          <w:lang w:val="en-US" w:eastAsia="zh-CN"/>
        </w:rPr>
        <w:t>便向往成为一名英姿煞爽的解放军人，</w:t>
      </w:r>
      <w:r>
        <w:rPr>
          <w:rFonts w:hint="eastAsia" w:ascii="宋体" w:hAnsi="宋体"/>
          <w:color w:val="000000"/>
          <w:sz w:val="24"/>
        </w:rPr>
        <w:t>对提笔从戎有了极大的憧憬。</w:t>
      </w:r>
    </w:p>
    <w:p>
      <w:pPr>
        <w:spacing w:line="360" w:lineRule="auto"/>
        <w:ind w:firstLine="480" w:firstLineChars="200"/>
        <w:jc w:val="left"/>
        <w:rPr>
          <w:rFonts w:hint="eastAsia" w:ascii="宋体" w:hAnsi="宋体"/>
          <w:color w:val="000000"/>
          <w:sz w:val="24"/>
        </w:rPr>
      </w:pPr>
      <w:r>
        <w:rPr>
          <w:rFonts w:hint="eastAsia" w:ascii="宋体" w:hAnsi="宋体"/>
          <w:color w:val="000000"/>
          <w:sz w:val="24"/>
        </w:rPr>
        <w:t>阎瀚文</w:t>
      </w:r>
      <w:r>
        <w:rPr>
          <w:rFonts w:hint="eastAsia" w:ascii="宋体" w:hAnsi="宋体"/>
          <w:color w:val="000000"/>
          <w:sz w:val="24"/>
          <w:lang w:val="en-US" w:eastAsia="zh-CN"/>
        </w:rPr>
        <w:t>毕业后</w:t>
      </w:r>
      <w:r>
        <w:rPr>
          <w:rFonts w:hint="eastAsia" w:ascii="宋体" w:hAnsi="宋体"/>
          <w:color w:val="000000"/>
          <w:sz w:val="24"/>
        </w:rPr>
        <w:t>参军入伍，</w:t>
      </w:r>
      <w:r>
        <w:rPr>
          <w:rFonts w:hint="eastAsia" w:ascii="宋体" w:hAnsi="宋体"/>
          <w:color w:val="000000"/>
          <w:sz w:val="24"/>
          <w:lang w:val="en-US" w:eastAsia="zh-CN"/>
        </w:rPr>
        <w:t>顺利地</w:t>
      </w:r>
      <w:r>
        <w:rPr>
          <w:rFonts w:hint="eastAsia" w:ascii="宋体" w:hAnsi="宋体"/>
          <w:color w:val="000000"/>
          <w:sz w:val="24"/>
        </w:rPr>
        <w:t>成为</w:t>
      </w:r>
      <w:r>
        <w:rPr>
          <w:rFonts w:hint="eastAsia" w:ascii="宋体" w:hAnsi="宋体"/>
          <w:color w:val="000000"/>
          <w:sz w:val="24"/>
          <w:lang w:val="en-US" w:eastAsia="zh-CN"/>
        </w:rPr>
        <w:t>了</w:t>
      </w:r>
      <w:r>
        <w:rPr>
          <w:rFonts w:hint="eastAsia" w:ascii="宋体" w:hAnsi="宋体"/>
          <w:color w:val="000000"/>
          <w:sz w:val="24"/>
        </w:rPr>
        <w:t>一名解放军战士，目前服役于北京某部。他认为，参军入伍，保卫首都，是公民义务也是荣誉。首战用我，用我必胜。绝不叛离军队，誓死保卫祖国是他的承诺和誓言。他将无怨无悔的奉献自己的青春和热血，为尽快建成世界一流军队贡献自己的力量。</w:t>
      </w:r>
    </w:p>
    <w:p>
      <w:pPr>
        <w:adjustRightInd w:val="0"/>
        <w:snapToGrid w:val="0"/>
        <w:spacing w:line="360" w:lineRule="auto"/>
        <w:jc w:val="center"/>
        <w:rPr>
          <w:rFonts w:ascii="宋体" w:hAnsi="宋体"/>
          <w:color w:val="000000"/>
          <w:sz w:val="24"/>
        </w:rPr>
      </w:pPr>
      <w:r>
        <w:rPr>
          <w:rFonts w:ascii="宋体" w:hAnsi="宋体"/>
          <w:color w:val="000000"/>
          <w:sz w:val="24"/>
        </w:rPr>
        <w:drawing>
          <wp:inline distT="0" distB="0" distL="114300" distR="114300">
            <wp:extent cx="2431415" cy="3259455"/>
            <wp:effectExtent l="0" t="0" r="6985" b="4445"/>
            <wp:docPr id="106" name="图片 42" descr="/private/var/mobile/Containers/Data/Application/C548743C-4CF5-41B6-843A-4141B4AB7813/tmp/insert_image_tmp_dir/2022-12-17 13:30:09.264000.png2022-12-17 13:30:09.264000"/>
            <wp:cNvGraphicFramePr/>
            <a:graphic xmlns:a="http://schemas.openxmlformats.org/drawingml/2006/main">
              <a:graphicData uri="http://schemas.openxmlformats.org/drawingml/2006/picture">
                <pic:pic xmlns:pic="http://schemas.openxmlformats.org/drawingml/2006/picture">
                  <pic:nvPicPr>
                    <pic:cNvPr id="106" name="图片 42" descr="/private/var/mobile/Containers/Data/Application/C548743C-4CF5-41B6-843A-4141B4AB7813/tmp/insert_image_tmp_dir/2022-12-17 13:30:09.264000.png2022-12-17 13:30:09.264000"/>
                    <pic:cNvPicPr/>
                  </pic:nvPicPr>
                  <pic:blipFill>
                    <a:blip r:embed="rId72"/>
                    <a:stretch>
                      <a:fillRect/>
                    </a:stretch>
                  </pic:blipFill>
                  <pic:spPr>
                    <a:xfrm>
                      <a:off x="0" y="0"/>
                      <a:ext cx="2431415" cy="325945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left="0" w:leftChars="0" w:firstLine="482" w:firstLineChars="200"/>
        <w:jc w:val="left"/>
        <w:textAlignment w:val="auto"/>
        <w:rPr>
          <w:rFonts w:hint="eastAsia" w:ascii="宋体" w:hAnsi="宋体"/>
          <w:b/>
          <w:bCs/>
          <w:color w:val="000000"/>
          <w:sz w:val="24"/>
          <w:lang w:val="en-US" w:eastAsia="zh-CN"/>
        </w:rPr>
      </w:pPr>
      <w:r>
        <w:rPr>
          <w:rFonts w:hint="eastAsia" w:ascii="宋体" w:hAnsi="宋体"/>
          <w:b/>
          <w:bCs/>
          <w:color w:val="000000"/>
          <w:sz w:val="24"/>
          <w:lang w:val="en-US" w:eastAsia="zh-CN"/>
        </w:rPr>
        <w:t>征兵入伍案例二：</w:t>
      </w:r>
    </w:p>
    <w:p>
      <w:pPr>
        <w:spacing w:line="360" w:lineRule="auto"/>
        <w:ind w:firstLine="480" w:firstLineChars="200"/>
        <w:jc w:val="left"/>
        <w:rPr>
          <w:rFonts w:ascii="宋体" w:hAnsi="宋体"/>
          <w:color w:val="000000"/>
          <w:sz w:val="24"/>
        </w:rPr>
      </w:pPr>
      <w:r>
        <w:rPr>
          <w:rFonts w:hint="eastAsia" w:ascii="宋体" w:hAnsi="宋体"/>
          <w:color w:val="000000"/>
          <w:sz w:val="24"/>
          <w:lang w:eastAsia="zh-CN"/>
        </w:rPr>
        <w:t>陈家辉</w:t>
      </w:r>
      <w:r>
        <w:rPr>
          <w:rFonts w:hint="eastAsia" w:ascii="宋体" w:hAnsi="宋体"/>
          <w:color w:val="000000"/>
          <w:sz w:val="24"/>
        </w:rPr>
        <w:t>，</w:t>
      </w:r>
      <w:r>
        <w:rPr>
          <w:rFonts w:hint="eastAsia" w:ascii="宋体" w:hAnsi="宋体"/>
          <w:color w:val="000000"/>
          <w:sz w:val="24"/>
          <w:lang w:eastAsia="zh-CN"/>
        </w:rPr>
        <w:t>男</w:t>
      </w:r>
      <w:r>
        <w:rPr>
          <w:rFonts w:hint="eastAsia" w:ascii="宋体" w:hAnsi="宋体"/>
          <w:color w:val="000000"/>
          <w:sz w:val="24"/>
        </w:rPr>
        <w:t>，1</w:t>
      </w:r>
      <w:r>
        <w:rPr>
          <w:rFonts w:hint="default" w:ascii="宋体" w:hAnsi="宋体"/>
          <w:color w:val="000000"/>
          <w:sz w:val="24"/>
          <w:lang w:val="en-US"/>
        </w:rPr>
        <w:t>8</w:t>
      </w:r>
      <w:r>
        <w:rPr>
          <w:rFonts w:hint="eastAsia" w:ascii="宋体" w:hAnsi="宋体"/>
          <w:color w:val="000000"/>
          <w:sz w:val="24"/>
        </w:rPr>
        <w:t>级</w:t>
      </w:r>
      <w:r>
        <w:rPr>
          <w:rFonts w:hint="eastAsia" w:ascii="宋体" w:hAnsi="宋体"/>
          <w:color w:val="000000"/>
          <w:sz w:val="24"/>
          <w:lang w:eastAsia="zh-CN"/>
        </w:rPr>
        <w:t>会计</w:t>
      </w:r>
      <w:r>
        <w:rPr>
          <w:rFonts w:hint="eastAsia" w:ascii="宋体" w:hAnsi="宋体"/>
          <w:color w:val="000000"/>
          <w:sz w:val="24"/>
        </w:rPr>
        <w:t>学</w:t>
      </w:r>
      <w:r>
        <w:rPr>
          <w:rFonts w:hint="eastAsia" w:ascii="宋体" w:hAnsi="宋体"/>
          <w:color w:val="000000"/>
          <w:sz w:val="24"/>
          <w:lang w:val="en-US" w:eastAsia="zh-CN"/>
        </w:rPr>
        <w:t>专业学生</w:t>
      </w:r>
      <w:r>
        <w:rPr>
          <w:rFonts w:hint="eastAsia" w:ascii="宋体" w:hAnsi="宋体"/>
          <w:color w:val="000000"/>
          <w:sz w:val="24"/>
        </w:rPr>
        <w:t>，</w:t>
      </w:r>
      <w:r>
        <w:rPr>
          <w:rFonts w:ascii="宋体" w:hAnsi="宋体"/>
          <w:color w:val="000000"/>
          <w:sz w:val="24"/>
        </w:rPr>
        <w:t>202</w:t>
      </w:r>
      <w:r>
        <w:rPr>
          <w:rFonts w:ascii="宋体" w:hAnsi="宋体"/>
          <w:color w:val="000000"/>
          <w:sz w:val="24"/>
          <w:lang w:val="en-US"/>
        </w:rPr>
        <w:t>2</w:t>
      </w:r>
      <w:r>
        <w:rPr>
          <w:rFonts w:hint="eastAsia" w:ascii="宋体" w:hAnsi="宋体"/>
          <w:color w:val="000000"/>
          <w:sz w:val="24"/>
        </w:rPr>
        <w:t>年</w:t>
      </w:r>
      <w:r>
        <w:rPr>
          <w:rFonts w:ascii="宋体" w:hAnsi="宋体"/>
          <w:color w:val="000000"/>
          <w:sz w:val="24"/>
        </w:rPr>
        <w:t>7</w:t>
      </w:r>
      <w:r>
        <w:rPr>
          <w:rFonts w:hint="eastAsia" w:ascii="宋体" w:hAnsi="宋体"/>
          <w:color w:val="000000"/>
          <w:sz w:val="24"/>
        </w:rPr>
        <w:t>月毕业。</w:t>
      </w:r>
    </w:p>
    <w:p>
      <w:pPr>
        <w:spacing w:line="360" w:lineRule="auto"/>
        <w:ind w:firstLine="480" w:firstLineChars="200"/>
        <w:jc w:val="left"/>
        <w:rPr>
          <w:rFonts w:ascii="宋体" w:hAnsi="宋体"/>
          <w:color w:val="000000"/>
          <w:sz w:val="24"/>
        </w:rPr>
      </w:pPr>
      <w:r>
        <w:rPr>
          <w:rFonts w:hint="eastAsia" w:ascii="宋体" w:hAnsi="宋体"/>
          <w:color w:val="000000"/>
          <w:sz w:val="24"/>
          <w:lang w:val="en-US" w:eastAsia="zh-CN"/>
        </w:rPr>
        <w:t>思想方面，</w:t>
      </w:r>
      <w:r>
        <w:rPr>
          <w:rFonts w:hint="eastAsia" w:ascii="宋体" w:hAnsi="宋体"/>
          <w:color w:val="000000"/>
          <w:sz w:val="24"/>
          <w:lang w:eastAsia="zh-CN"/>
        </w:rPr>
        <w:t>陈家辉</w:t>
      </w:r>
      <w:r>
        <w:rPr>
          <w:rFonts w:hint="eastAsia" w:ascii="宋体" w:hAnsi="宋体"/>
          <w:color w:val="000000"/>
          <w:sz w:val="24"/>
        </w:rPr>
        <w:t>作为一名</w:t>
      </w:r>
      <w:r>
        <w:rPr>
          <w:rFonts w:hint="eastAsia" w:ascii="宋体" w:hAnsi="宋体"/>
          <w:color w:val="000000"/>
          <w:sz w:val="24"/>
          <w:lang w:eastAsia="zh-CN"/>
        </w:rPr>
        <w:t>共青团员</w:t>
      </w:r>
      <w:r>
        <w:rPr>
          <w:rFonts w:hint="eastAsia" w:ascii="宋体" w:hAnsi="宋体"/>
          <w:color w:val="000000"/>
          <w:sz w:val="24"/>
        </w:rPr>
        <w:t>，坚决拥护中国共产党的领导，积极学习党的最新理论知识，自觉用习近平新时代中国特色社会主义思想武装自己</w:t>
      </w:r>
      <w:r>
        <w:rPr>
          <w:rFonts w:hint="eastAsia" w:ascii="宋体" w:hAnsi="宋体"/>
          <w:color w:val="000000"/>
          <w:sz w:val="24"/>
          <w:lang w:eastAsia="zh-CN"/>
        </w:rPr>
        <w:t>，</w:t>
      </w:r>
      <w:r>
        <w:rPr>
          <w:rFonts w:hint="eastAsia" w:ascii="宋体" w:hAnsi="宋体"/>
          <w:color w:val="000000"/>
          <w:sz w:val="24"/>
        </w:rPr>
        <w:t>指导实践。</w:t>
      </w:r>
      <w:r>
        <w:rPr>
          <w:rFonts w:hint="eastAsia" w:ascii="宋体" w:hAnsi="宋体"/>
          <w:color w:val="000000"/>
          <w:sz w:val="24"/>
          <w:lang w:val="en-US" w:eastAsia="zh-CN"/>
        </w:rPr>
        <w:t>生活方面</w:t>
      </w:r>
      <w:r>
        <w:rPr>
          <w:rFonts w:hint="eastAsia" w:ascii="宋体" w:hAnsi="宋体"/>
          <w:color w:val="000000"/>
          <w:sz w:val="24"/>
        </w:rPr>
        <w:t>，能够做到勤奋努力、团结他人，充分利用课余时间积极参与志愿服务活动。</w:t>
      </w:r>
    </w:p>
    <w:p>
      <w:pPr>
        <w:spacing w:line="360" w:lineRule="auto"/>
        <w:ind w:firstLine="480" w:firstLineChars="200"/>
        <w:rPr>
          <w:rFonts w:hint="eastAsia" w:ascii="宋体" w:hAnsi="宋体"/>
          <w:color w:val="000000"/>
          <w:sz w:val="24"/>
          <w:lang w:eastAsia="zh-CN"/>
        </w:rPr>
      </w:pPr>
      <w:r>
        <w:rPr>
          <w:rFonts w:hint="eastAsia" w:ascii="宋体" w:hAnsi="宋体"/>
          <w:color w:val="000000"/>
          <w:sz w:val="24"/>
        </w:rPr>
        <w:t>因被无数</w:t>
      </w:r>
      <w:r>
        <w:rPr>
          <w:rFonts w:hint="eastAsia" w:ascii="宋体" w:hAnsi="宋体"/>
          <w:color w:val="000000"/>
          <w:sz w:val="24"/>
          <w:lang w:eastAsia="zh-CN"/>
        </w:rPr>
        <w:t>保家卫国前辈先烈</w:t>
      </w:r>
      <w:r>
        <w:rPr>
          <w:rFonts w:hint="eastAsia" w:ascii="宋体" w:hAnsi="宋体"/>
          <w:color w:val="000000"/>
          <w:sz w:val="24"/>
        </w:rPr>
        <w:t>所</w:t>
      </w:r>
      <w:r>
        <w:rPr>
          <w:rFonts w:hint="eastAsia" w:ascii="宋体" w:hAnsi="宋体"/>
          <w:color w:val="000000"/>
          <w:sz w:val="24"/>
          <w:lang w:eastAsia="zh-CN"/>
        </w:rPr>
        <w:t>感染</w:t>
      </w:r>
      <w:r>
        <w:rPr>
          <w:rFonts w:hint="eastAsia" w:ascii="宋体" w:hAnsi="宋体"/>
          <w:color w:val="000000"/>
          <w:sz w:val="24"/>
        </w:rPr>
        <w:t>，</w:t>
      </w:r>
      <w:r>
        <w:rPr>
          <w:rFonts w:hint="eastAsia" w:ascii="宋体" w:hAnsi="宋体"/>
          <w:color w:val="000000"/>
          <w:sz w:val="24"/>
          <w:lang w:eastAsia="zh-CN"/>
        </w:rPr>
        <w:t>陈家辉</w:t>
      </w:r>
      <w:r>
        <w:rPr>
          <w:rFonts w:hint="eastAsia" w:ascii="宋体" w:hAnsi="宋体"/>
          <w:color w:val="000000"/>
          <w:sz w:val="24"/>
        </w:rPr>
        <w:t>产生了对</w:t>
      </w:r>
      <w:r>
        <w:rPr>
          <w:rFonts w:hint="eastAsia" w:ascii="宋体" w:hAnsi="宋体"/>
          <w:color w:val="000000"/>
          <w:sz w:val="24"/>
          <w:lang w:eastAsia="zh-CN"/>
        </w:rPr>
        <w:t>军旅生涯</w:t>
      </w:r>
      <w:r>
        <w:rPr>
          <w:rFonts w:hint="eastAsia" w:ascii="宋体" w:hAnsi="宋体"/>
          <w:color w:val="000000"/>
          <w:sz w:val="24"/>
        </w:rPr>
        <w:t>的向往。</w:t>
      </w:r>
      <w:r>
        <w:rPr>
          <w:rFonts w:hint="eastAsia" w:ascii="宋体" w:hAnsi="宋体"/>
          <w:color w:val="000000"/>
          <w:sz w:val="24"/>
          <w:lang w:eastAsia="zh-CN"/>
        </w:rPr>
        <w:t>陈家辉</w:t>
      </w:r>
      <w:r>
        <w:rPr>
          <w:rFonts w:hint="eastAsia" w:ascii="宋体" w:hAnsi="宋体"/>
          <w:color w:val="000000"/>
          <w:sz w:val="24"/>
          <w:lang w:val="en-US" w:eastAsia="zh-CN"/>
        </w:rPr>
        <w:t>在毕业之际</w:t>
      </w:r>
      <w:r>
        <w:rPr>
          <w:rFonts w:hint="eastAsia" w:ascii="宋体" w:hAnsi="宋体"/>
          <w:color w:val="000000"/>
          <w:sz w:val="24"/>
        </w:rPr>
        <w:t>选择了</w:t>
      </w:r>
      <w:r>
        <w:rPr>
          <w:rFonts w:hint="eastAsia" w:ascii="宋体" w:hAnsi="宋体"/>
          <w:color w:val="000000"/>
          <w:sz w:val="24"/>
          <w:lang w:eastAsia="zh-CN"/>
        </w:rPr>
        <w:t>参军</w:t>
      </w:r>
      <w:r>
        <w:rPr>
          <w:rFonts w:hint="eastAsia" w:ascii="宋体" w:hAnsi="宋体"/>
          <w:color w:val="000000"/>
          <w:sz w:val="24"/>
          <w:lang w:val="en-US" w:eastAsia="zh-CN"/>
        </w:rPr>
        <w:t>入伍</w:t>
      </w:r>
      <w:r>
        <w:rPr>
          <w:rFonts w:hint="eastAsia" w:ascii="宋体" w:hAnsi="宋体"/>
          <w:color w:val="000000"/>
          <w:sz w:val="24"/>
        </w:rPr>
        <w:t>，成为</w:t>
      </w:r>
      <w:r>
        <w:rPr>
          <w:rFonts w:hint="eastAsia" w:ascii="宋体" w:hAnsi="宋体"/>
          <w:color w:val="000000"/>
          <w:sz w:val="24"/>
          <w:lang w:eastAsia="zh-CN"/>
        </w:rPr>
        <w:t>了</w:t>
      </w:r>
      <w:r>
        <w:rPr>
          <w:rFonts w:hint="eastAsia" w:ascii="宋体" w:hAnsi="宋体"/>
          <w:color w:val="000000"/>
          <w:sz w:val="24"/>
        </w:rPr>
        <w:t>一名</w:t>
      </w:r>
      <w:r>
        <w:rPr>
          <w:rFonts w:hint="eastAsia" w:ascii="宋体" w:hAnsi="宋体"/>
          <w:color w:val="000000"/>
          <w:sz w:val="24"/>
          <w:lang w:eastAsia="zh-CN"/>
        </w:rPr>
        <w:t>光荣的新兵。</w:t>
      </w:r>
      <w:r>
        <w:rPr>
          <w:rFonts w:hint="eastAsia" w:ascii="宋体" w:hAnsi="宋体"/>
          <w:color w:val="000000"/>
          <w:sz w:val="24"/>
        </w:rPr>
        <w:t>在</w:t>
      </w:r>
      <w:r>
        <w:rPr>
          <w:rFonts w:hint="eastAsia" w:ascii="宋体" w:hAnsi="宋体"/>
          <w:color w:val="000000"/>
          <w:sz w:val="24"/>
          <w:lang w:eastAsia="zh-CN"/>
        </w:rPr>
        <w:t>训练</w:t>
      </w:r>
      <w:r>
        <w:rPr>
          <w:rFonts w:hint="eastAsia" w:ascii="宋体" w:hAnsi="宋体"/>
          <w:color w:val="000000"/>
          <w:sz w:val="24"/>
        </w:rPr>
        <w:t>中不断增强责任</w:t>
      </w:r>
      <w:r>
        <w:rPr>
          <w:rFonts w:hint="eastAsia" w:ascii="宋体" w:hAnsi="宋体"/>
          <w:color w:val="000000"/>
          <w:sz w:val="24"/>
          <w:lang w:eastAsia="zh-CN"/>
        </w:rPr>
        <w:t>感</w:t>
      </w:r>
      <w:r>
        <w:rPr>
          <w:rFonts w:hint="eastAsia" w:ascii="宋体" w:hAnsi="宋体"/>
          <w:color w:val="000000"/>
          <w:sz w:val="24"/>
        </w:rPr>
        <w:t>、使命感，</w:t>
      </w:r>
      <w:r>
        <w:rPr>
          <w:rFonts w:hint="eastAsia" w:ascii="宋体" w:hAnsi="宋体"/>
          <w:color w:val="000000"/>
          <w:sz w:val="24"/>
          <w:lang w:eastAsia="zh-CN"/>
        </w:rPr>
        <w:t>努力成为一名听党指挥、能打胜仗、作风优良的新时代革命军人。</w:t>
      </w:r>
    </w:p>
    <w:p>
      <w:pPr>
        <w:spacing w:line="360" w:lineRule="auto"/>
        <w:jc w:val="center"/>
        <w:rPr>
          <w:rFonts w:hint="eastAsia" w:ascii="宋体" w:hAnsi="宋体"/>
          <w:color w:val="000000"/>
          <w:sz w:val="24"/>
          <w:lang w:eastAsia="zh-CN"/>
        </w:rPr>
      </w:pPr>
      <w:r>
        <w:rPr>
          <w:rFonts w:hint="eastAsia" w:ascii="宋体" w:hAnsi="宋体"/>
          <w:color w:val="000000"/>
          <w:sz w:val="24"/>
          <w:lang w:eastAsia="zh-CN"/>
        </w:rPr>
        <w:drawing>
          <wp:inline distT="0" distB="0" distL="114300" distR="114300">
            <wp:extent cx="1986915" cy="2649855"/>
            <wp:effectExtent l="0" t="0" r="6985" b="4445"/>
            <wp:docPr id="107" name="图片 43" descr="7C738CF94F922EEF7E232842AE8F951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43" descr="7C738CF94F922EEF7E232842AE8F951E"/>
                    <pic:cNvPicPr>
                      <a:picLocks noChangeAspect="1"/>
                    </pic:cNvPicPr>
                  </pic:nvPicPr>
                  <pic:blipFill>
                    <a:blip r:embed="rId73"/>
                    <a:stretch>
                      <a:fillRect/>
                    </a:stretch>
                  </pic:blipFill>
                  <pic:spPr>
                    <a:xfrm>
                      <a:off x="0" y="0"/>
                      <a:ext cx="1986915" cy="264985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left="0" w:leftChars="0" w:firstLine="482" w:firstLineChars="200"/>
        <w:jc w:val="left"/>
        <w:textAlignment w:val="auto"/>
        <w:rPr>
          <w:rFonts w:hint="eastAsia"/>
          <w:lang w:eastAsia="zh-CN"/>
        </w:rPr>
      </w:pPr>
      <w:r>
        <w:rPr>
          <w:rFonts w:hint="eastAsia" w:ascii="宋体" w:hAnsi="宋体"/>
          <w:b/>
          <w:bCs/>
          <w:color w:val="000000"/>
          <w:sz w:val="24"/>
          <w:lang w:val="en-US" w:eastAsia="zh-CN"/>
        </w:rPr>
        <w:t>选调生案例一：</w:t>
      </w:r>
    </w:p>
    <w:p>
      <w:pPr>
        <w:spacing w:line="360" w:lineRule="auto"/>
        <w:ind w:firstLine="480" w:firstLineChars="200"/>
        <w:jc w:val="left"/>
        <w:rPr>
          <w:rFonts w:hint="eastAsia" w:ascii="宋体" w:hAnsi="宋体" w:eastAsia="宋体" w:cs="Times New Roman"/>
          <w:color w:val="000000"/>
          <w:sz w:val="24"/>
          <w:highlight w:val="none"/>
          <w:lang w:val="en-US" w:eastAsia="zh-CN"/>
        </w:rPr>
      </w:pPr>
      <w:r>
        <w:rPr>
          <w:rFonts w:hint="eastAsia" w:ascii="宋体" w:hAnsi="宋体" w:eastAsia="宋体" w:cs="Times New Roman"/>
          <w:color w:val="000000"/>
          <w:sz w:val="24"/>
          <w:highlight w:val="none"/>
          <w:lang w:eastAsia="zh-CN"/>
        </w:rPr>
        <w:t>秦璠，女，</w:t>
      </w:r>
      <w:r>
        <w:rPr>
          <w:rFonts w:hint="eastAsia" w:ascii="宋体" w:hAnsi="宋体" w:eastAsia="宋体" w:cs="Times New Roman"/>
          <w:color w:val="000000"/>
          <w:sz w:val="24"/>
          <w:highlight w:val="none"/>
          <w:lang w:val="en-US" w:eastAsia="zh-CN"/>
        </w:rPr>
        <w:t>18级物流管理专业学生，2022年7月毕业。</w:t>
      </w:r>
    </w:p>
    <w:p>
      <w:pPr>
        <w:spacing w:line="360" w:lineRule="auto"/>
        <w:ind w:firstLine="480" w:firstLineChars="200"/>
        <w:jc w:val="left"/>
        <w:rPr>
          <w:rFonts w:hint="eastAsia" w:ascii="宋体" w:hAnsi="宋体" w:eastAsia="宋体" w:cs="Times New Roman"/>
          <w:color w:val="000000"/>
          <w:sz w:val="24"/>
          <w:highlight w:val="none"/>
          <w:lang w:val="en-US" w:eastAsia="zh-CN"/>
        </w:rPr>
      </w:pPr>
      <w:r>
        <w:rPr>
          <w:rFonts w:hint="eastAsia" w:ascii="宋体" w:hAnsi="宋体" w:eastAsia="宋体" w:cs="Times New Roman"/>
          <w:color w:val="000000"/>
          <w:sz w:val="24"/>
          <w:highlight w:val="none"/>
          <w:lang w:val="en-US" w:eastAsia="zh-CN"/>
        </w:rPr>
        <w:t>在校期间，秦璠思想上，政治立场坚定，坚决拥护共产党的领导，有较高的党性修养。学习上，认真刻苦，踏实上进，有明确的学习目标，始终保持学习意识。工作上，积极参加各类赛事活动，全面提升自我能力，开拓视野。生活上，真诚待人，积极乐观，有良好的人际关系。</w:t>
      </w:r>
    </w:p>
    <w:p>
      <w:pPr>
        <w:spacing w:line="360" w:lineRule="auto"/>
        <w:ind w:firstLine="480" w:firstLineChars="200"/>
        <w:jc w:val="left"/>
        <w:rPr>
          <w:rFonts w:hint="eastAsia" w:ascii="宋体" w:hAnsi="宋体" w:eastAsia="宋体" w:cs="Times New Roman"/>
          <w:color w:val="000000"/>
          <w:sz w:val="24"/>
          <w:highlight w:val="none"/>
          <w:lang w:val="en-US" w:eastAsia="zh-CN"/>
        </w:rPr>
      </w:pPr>
      <w:r>
        <w:rPr>
          <w:rFonts w:hint="eastAsia" w:ascii="宋体" w:hAnsi="宋体" w:eastAsia="宋体" w:cs="Times New Roman"/>
          <w:color w:val="000000"/>
          <w:sz w:val="24"/>
          <w:highlight w:val="none"/>
          <w:lang w:val="en-US" w:eastAsia="zh-CN"/>
        </w:rPr>
        <w:t>谈及为何报考选调生，她说道，自己来自农村，从小跟着爷爷奶奶在农村长大，对于农村有着更加深厚的感情，对扎根基层和服务群众有着强烈的意愿。对可能面临的困难有着充分的认识和思想准备，愿意将自己在大学时期学习到的知识运用到农村，充分发挥自己的专业知识和能力。</w:t>
      </w:r>
    </w:p>
    <w:p>
      <w:pPr>
        <w:spacing w:line="360" w:lineRule="auto"/>
        <w:ind w:firstLine="480" w:firstLineChars="200"/>
        <w:jc w:val="left"/>
        <w:rPr>
          <w:rFonts w:hint="eastAsia" w:ascii="宋体" w:hAnsi="宋体" w:eastAsia="宋体" w:cs="Times New Roman"/>
          <w:color w:val="000000"/>
          <w:sz w:val="24"/>
          <w:highlight w:val="none"/>
          <w:lang w:val="en-US" w:eastAsia="zh-CN"/>
        </w:rPr>
      </w:pPr>
      <w:r>
        <w:rPr>
          <w:rFonts w:hint="eastAsia" w:ascii="宋体" w:hAnsi="宋体" w:eastAsia="宋体" w:cs="Times New Roman"/>
          <w:color w:val="000000"/>
          <w:sz w:val="24"/>
          <w:highlight w:val="none"/>
          <w:lang w:val="en-US" w:eastAsia="zh-CN"/>
        </w:rPr>
        <w:t>秦璠成功录取为选调生。她表明，能够回到自己的家乡，这是一种幸运，更是一种责任。在今后的工作和生活中，一是要牢固树立为民思想，全心全意为人民服务，解决好人民群众的急难愁盼；二是要坚定理想信念，读原著、学原文、悟原理，补足精神之钙、把稳思想之舵，不断提升“政治三力”；三是要把工作岗位作为实现人生价值的舞台，主动作为、敢于担当，坚持在干中学、学中干，不断提升自我，为建设家乡贡献自己的一份力量。</w:t>
      </w:r>
    </w:p>
    <w:p>
      <w:pPr>
        <w:pStyle w:val="12"/>
        <w:rPr>
          <w:rFonts w:hint="eastAsia"/>
          <w:lang w:val="en-US" w:eastAsia="zh-CN"/>
        </w:rPr>
      </w:pPr>
      <w:r>
        <w:rPr>
          <w:rFonts w:hint="eastAsia"/>
          <w:lang w:val="en-US" w:eastAsia="zh-CN"/>
        </w:rPr>
        <w:drawing>
          <wp:inline distT="0" distB="0" distL="114300" distR="114300">
            <wp:extent cx="1990725" cy="2786380"/>
            <wp:effectExtent l="0" t="0" r="3175" b="7620"/>
            <wp:docPr id="116" name="图片 44" descr="2022-12-21 13:49:48.595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44" descr="2022-12-21 13:49:48.595000"/>
                    <pic:cNvPicPr>
                      <a:picLocks noChangeAspect="1"/>
                    </pic:cNvPicPr>
                  </pic:nvPicPr>
                  <pic:blipFill>
                    <a:blip r:embed="rId74"/>
                    <a:stretch>
                      <a:fillRect/>
                    </a:stretch>
                  </pic:blipFill>
                  <pic:spPr>
                    <a:xfrm>
                      <a:off x="0" y="0"/>
                      <a:ext cx="1990725" cy="278638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left="0" w:leftChars="0" w:firstLine="482" w:firstLineChars="200"/>
        <w:jc w:val="left"/>
        <w:textAlignment w:val="auto"/>
        <w:rPr>
          <w:rFonts w:hint="eastAsia"/>
          <w:lang w:eastAsia="zh-CN"/>
        </w:rPr>
      </w:pPr>
      <w:r>
        <w:rPr>
          <w:rFonts w:hint="eastAsia" w:ascii="宋体" w:hAnsi="宋体"/>
          <w:b/>
          <w:bCs/>
          <w:color w:val="000000"/>
          <w:sz w:val="24"/>
          <w:lang w:val="en-US" w:eastAsia="zh-CN"/>
        </w:rPr>
        <w:t>选调生案例二：</w:t>
      </w:r>
    </w:p>
    <w:p>
      <w:pPr>
        <w:spacing w:line="360" w:lineRule="auto"/>
        <w:ind w:firstLine="480" w:firstLineChars="200"/>
        <w:jc w:val="left"/>
        <w:rPr>
          <w:rFonts w:hint="eastAsia" w:ascii="宋体" w:hAnsi="宋体" w:eastAsia="宋体" w:cs="Times New Roman"/>
          <w:color w:val="000000"/>
          <w:sz w:val="24"/>
          <w:highlight w:val="none"/>
          <w:lang w:val="en-US" w:eastAsia="zh-CN"/>
        </w:rPr>
      </w:pPr>
      <w:r>
        <w:rPr>
          <w:rFonts w:hint="eastAsia" w:ascii="宋体" w:hAnsi="宋体" w:eastAsia="宋体" w:cs="Times New Roman"/>
          <w:color w:val="000000"/>
          <w:sz w:val="24"/>
          <w:highlight w:val="none"/>
          <w:lang w:val="en-US" w:eastAsia="zh-CN"/>
        </w:rPr>
        <w:t>吴磊，男，18级物流管理专业学生，2022年7月毕业。</w:t>
      </w:r>
    </w:p>
    <w:p>
      <w:pPr>
        <w:spacing w:line="360" w:lineRule="auto"/>
        <w:ind w:firstLine="480" w:firstLineChars="200"/>
        <w:jc w:val="left"/>
        <w:rPr>
          <w:rFonts w:hint="eastAsia" w:ascii="宋体" w:hAnsi="宋体" w:eastAsia="宋体" w:cs="Times New Roman"/>
          <w:color w:val="000000"/>
          <w:sz w:val="24"/>
          <w:highlight w:val="none"/>
          <w:lang w:val="en-US" w:eastAsia="zh-CN"/>
        </w:rPr>
      </w:pPr>
      <w:r>
        <w:rPr>
          <w:rFonts w:hint="eastAsia" w:ascii="宋体" w:hAnsi="宋体" w:eastAsia="宋体" w:cs="Times New Roman"/>
          <w:color w:val="000000"/>
          <w:sz w:val="24"/>
          <w:highlight w:val="none"/>
          <w:lang w:val="en-US" w:eastAsia="zh-CN"/>
        </w:rPr>
        <w:t>在校期间，吴磊有着坚定的理想信仰，秉持着认真工作、学习的态度，努力学习，积极工作。同时，他也非常热衷于帮助同学，团结同学，积极参加志愿活动。</w:t>
      </w:r>
    </w:p>
    <w:p>
      <w:pPr>
        <w:spacing w:line="360" w:lineRule="auto"/>
        <w:ind w:firstLine="480" w:firstLineChars="200"/>
        <w:jc w:val="left"/>
        <w:rPr>
          <w:rFonts w:hint="eastAsia" w:ascii="宋体" w:hAnsi="宋体" w:eastAsia="宋体" w:cs="Times New Roman"/>
          <w:color w:val="000000"/>
          <w:sz w:val="24"/>
          <w:highlight w:val="none"/>
          <w:lang w:val="en-US" w:eastAsia="zh-CN"/>
        </w:rPr>
      </w:pPr>
      <w:r>
        <w:rPr>
          <w:rFonts w:hint="eastAsia" w:ascii="宋体" w:hAnsi="宋体" w:eastAsia="宋体" w:cs="Times New Roman"/>
          <w:color w:val="000000"/>
          <w:sz w:val="24"/>
          <w:highlight w:val="none"/>
          <w:lang w:val="en-US" w:eastAsia="zh-CN"/>
        </w:rPr>
        <w:t>谈及为何报考选调生，他说道，自己从小学习、生活都在乡镇。一路走来，家乡发生了翻天覆地的变化：人居环境改善，公共设施提升等。这些变化记录在了他的眼里，刻在了他的心里。他也想像家乡的那些党员干部一样，在基层播撒汗水，耕耘未来。</w:t>
      </w:r>
    </w:p>
    <w:p>
      <w:pPr>
        <w:spacing w:line="360" w:lineRule="auto"/>
        <w:ind w:firstLine="480" w:firstLineChars="200"/>
        <w:jc w:val="left"/>
        <w:rPr>
          <w:rFonts w:hint="eastAsia"/>
          <w:lang w:val="en-US" w:eastAsia="zh-CN"/>
        </w:rPr>
      </w:pPr>
      <w:r>
        <w:rPr>
          <w:rFonts w:hint="eastAsia" w:ascii="宋体" w:hAnsi="宋体" w:eastAsia="宋体" w:cs="Times New Roman"/>
          <w:color w:val="000000"/>
          <w:sz w:val="24"/>
          <w:highlight w:val="none"/>
          <w:lang w:val="en-US" w:eastAsia="zh-CN"/>
        </w:rPr>
        <w:t>吴磊顺利地成为了一名选调生。他表明自己将坚定政治信念，不忘初心，时刻将为民服务宗旨内化于心，外化于行。在今后的工作中，将继续保持一颗“学徒”心态，饱含工作热情，将工作中的每一件小事办好办细，将群众反映的每一件大事办快办实，以实践增本领，以实践显担当！</w:t>
      </w:r>
    </w:p>
    <w:p>
      <w:pPr>
        <w:jc w:val="center"/>
        <w:rPr>
          <w:rFonts w:hint="eastAsia"/>
        </w:rPr>
      </w:pPr>
      <w:r>
        <w:rPr>
          <w:rFonts w:hint="eastAsia"/>
        </w:rPr>
        <w:drawing>
          <wp:inline distT="0" distB="0" distL="114300" distR="114300">
            <wp:extent cx="1980565" cy="2775585"/>
            <wp:effectExtent l="0" t="0" r="635" b="5715"/>
            <wp:docPr id="119" name="图片 45" descr="3f325c5586408ec33414a4ff21f3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45" descr="3f325c5586408ec33414a4ff21f3447"/>
                    <pic:cNvPicPr>
                      <a:picLocks noChangeAspect="1"/>
                    </pic:cNvPicPr>
                  </pic:nvPicPr>
                  <pic:blipFill>
                    <a:blip r:embed="rId75"/>
                    <a:stretch>
                      <a:fillRect/>
                    </a:stretch>
                  </pic:blipFill>
                  <pic:spPr>
                    <a:xfrm>
                      <a:off x="0" y="0"/>
                      <a:ext cx="1980565" cy="277558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left="0" w:leftChars="0" w:firstLine="482" w:firstLineChars="200"/>
        <w:jc w:val="left"/>
        <w:textAlignment w:val="auto"/>
        <w:rPr>
          <w:rFonts w:hint="eastAsia"/>
          <w:lang w:eastAsia="zh-CN"/>
        </w:rPr>
      </w:pPr>
      <w:r>
        <w:rPr>
          <w:rFonts w:hint="eastAsia" w:ascii="宋体" w:hAnsi="宋体"/>
          <w:b/>
          <w:bCs/>
          <w:color w:val="000000"/>
          <w:sz w:val="24"/>
          <w:lang w:val="en-US" w:eastAsia="zh-CN"/>
        </w:rPr>
        <w:t>选调生案例三：</w:t>
      </w:r>
    </w:p>
    <w:p>
      <w:pPr>
        <w:spacing w:line="360" w:lineRule="auto"/>
        <w:ind w:firstLine="480" w:firstLineChars="200"/>
        <w:jc w:val="left"/>
        <w:rPr>
          <w:rFonts w:hint="eastAsia" w:ascii="宋体" w:hAnsi="宋体" w:eastAsia="宋体" w:cs="Times New Roman"/>
          <w:color w:val="000000"/>
          <w:sz w:val="24"/>
          <w:szCs w:val="24"/>
        </w:rPr>
      </w:pPr>
      <w:r>
        <w:rPr>
          <w:rFonts w:hint="eastAsia" w:ascii="宋体" w:hAnsi="宋体" w:eastAsia="宋体" w:cs="Times New Roman"/>
          <w:color w:val="000000"/>
          <w:sz w:val="24"/>
          <w:szCs w:val="24"/>
        </w:rPr>
        <w:t>杨雪晴,女,18级金融学</w:t>
      </w:r>
      <w:r>
        <w:rPr>
          <w:rFonts w:hint="eastAsia" w:ascii="宋体" w:hAnsi="宋体" w:eastAsia="宋体" w:cs="Times New Roman"/>
          <w:color w:val="000000"/>
          <w:sz w:val="24"/>
          <w:szCs w:val="24"/>
          <w:lang w:val="en-US" w:eastAsia="zh-CN"/>
        </w:rPr>
        <w:t>专业学生</w:t>
      </w:r>
      <w:r>
        <w:rPr>
          <w:rFonts w:hint="eastAsia" w:ascii="宋体" w:hAnsi="宋体" w:eastAsia="宋体" w:cs="Times New Roman"/>
          <w:color w:val="000000"/>
          <w:sz w:val="24"/>
          <w:szCs w:val="24"/>
        </w:rPr>
        <w:t>,2022年7月毕业。</w:t>
      </w:r>
    </w:p>
    <w:p>
      <w:pPr>
        <w:spacing w:line="360" w:lineRule="auto"/>
        <w:ind w:firstLine="480" w:firstLineChars="200"/>
        <w:jc w:val="left"/>
        <w:rPr>
          <w:rFonts w:hint="eastAsia" w:ascii="宋体" w:hAnsi="宋体" w:eastAsia="宋体" w:cs="Times New Roman"/>
          <w:color w:val="000000"/>
          <w:sz w:val="24"/>
          <w:szCs w:val="24"/>
        </w:rPr>
      </w:pPr>
      <w:r>
        <w:rPr>
          <w:rFonts w:hint="eastAsia" w:ascii="宋体" w:hAnsi="宋体" w:eastAsia="宋体" w:cs="Times New Roman"/>
          <w:color w:val="000000"/>
          <w:sz w:val="24"/>
          <w:szCs w:val="24"/>
        </w:rPr>
        <w:t>作为一名年轻的中共党员，杨雪晴同志深知</w:t>
      </w:r>
      <w:r>
        <w:rPr>
          <w:rFonts w:ascii="宋体" w:hAnsi="宋体" w:eastAsia="宋体" w:cs="Times New Roman"/>
          <w:color w:val="000000"/>
          <w:sz w:val="24"/>
          <w:szCs w:val="24"/>
        </w:rPr>
        <w:t>“</w:t>
      </w:r>
      <w:r>
        <w:rPr>
          <w:rFonts w:hint="eastAsia" w:ascii="宋体" w:hAnsi="宋体" w:eastAsia="宋体" w:cs="Times New Roman"/>
          <w:color w:val="000000"/>
          <w:sz w:val="24"/>
          <w:szCs w:val="24"/>
        </w:rPr>
        <w:t>参天之木，必有其根；怀山之水，必有其源</w:t>
      </w:r>
      <w:r>
        <w:rPr>
          <w:rFonts w:ascii="宋体" w:hAnsi="宋体" w:eastAsia="宋体" w:cs="Times New Roman"/>
          <w:color w:val="000000"/>
          <w:sz w:val="24"/>
          <w:szCs w:val="24"/>
        </w:rPr>
        <w:t>”</w:t>
      </w:r>
      <w:r>
        <w:rPr>
          <w:rFonts w:hint="eastAsia" w:ascii="宋体" w:hAnsi="宋体" w:eastAsia="宋体" w:cs="Times New Roman"/>
          <w:color w:val="000000"/>
          <w:sz w:val="24"/>
          <w:szCs w:val="24"/>
        </w:rPr>
        <w:t>。“向下扎根”是青年人成长最美的姿态。基层是最好的课堂，实践是最好的教材，群众是最好的老师。只有身上少些书卷气息、多些泥土芳香，到基层去</w:t>
      </w:r>
      <w:r>
        <w:rPr>
          <w:rFonts w:hint="eastAsia" w:ascii="宋体" w:hAnsi="宋体" w:eastAsia="宋体" w:cs="Times New Roman"/>
          <w:color w:val="000000"/>
          <w:sz w:val="24"/>
          <w:szCs w:val="24"/>
          <w:lang w:eastAsia="zh-CN"/>
        </w:rPr>
        <w:t>，</w:t>
      </w:r>
      <w:r>
        <w:rPr>
          <w:rFonts w:hint="eastAsia" w:ascii="宋体" w:hAnsi="宋体" w:eastAsia="宋体" w:cs="Times New Roman"/>
          <w:color w:val="000000"/>
          <w:sz w:val="24"/>
          <w:szCs w:val="24"/>
        </w:rPr>
        <w:t>扎根在泥土中，用脚步丈量大地，用</w:t>
      </w:r>
      <w:r>
        <w:rPr>
          <w:rFonts w:hint="eastAsia" w:ascii="宋体" w:hAnsi="宋体" w:eastAsia="宋体" w:cs="Times New Roman"/>
          <w:color w:val="000000"/>
          <w:sz w:val="24"/>
          <w:szCs w:val="24"/>
          <w:lang w:val="en-US" w:eastAsia="zh-CN"/>
        </w:rPr>
        <w:t>行动</w:t>
      </w:r>
      <w:r>
        <w:rPr>
          <w:rFonts w:hint="eastAsia" w:ascii="宋体" w:hAnsi="宋体" w:eastAsia="宋体" w:cs="Times New Roman"/>
          <w:color w:val="000000"/>
          <w:sz w:val="24"/>
          <w:szCs w:val="24"/>
        </w:rPr>
        <w:t>诠释青春，才能</w:t>
      </w:r>
      <w:r>
        <w:rPr>
          <w:rFonts w:hint="eastAsia" w:ascii="宋体" w:hAnsi="宋体" w:eastAsia="宋体" w:cs="Times New Roman"/>
          <w:color w:val="000000"/>
          <w:sz w:val="24"/>
          <w:szCs w:val="24"/>
          <w:lang w:val="en-US" w:eastAsia="zh-CN"/>
        </w:rPr>
        <w:t>体会</w:t>
      </w:r>
      <w:r>
        <w:rPr>
          <w:rFonts w:hint="eastAsia" w:ascii="宋体" w:hAnsi="宋体" w:eastAsia="宋体" w:cs="Times New Roman"/>
          <w:color w:val="000000"/>
          <w:sz w:val="24"/>
          <w:szCs w:val="24"/>
        </w:rPr>
        <w:t>不一样的人生，收获不一样的成长。</w:t>
      </w:r>
    </w:p>
    <w:p>
      <w:pPr>
        <w:spacing w:line="360" w:lineRule="auto"/>
        <w:ind w:firstLine="480" w:firstLineChars="200"/>
        <w:jc w:val="left"/>
        <w:rPr>
          <w:rFonts w:hint="eastAsia" w:ascii="宋体" w:hAnsi="宋体" w:eastAsia="宋体" w:cs="Times New Roman"/>
          <w:color w:val="000000"/>
          <w:sz w:val="24"/>
          <w:szCs w:val="24"/>
          <w:lang w:eastAsia="zh-CN"/>
        </w:rPr>
      </w:pPr>
      <w:r>
        <w:rPr>
          <w:rFonts w:hint="eastAsia" w:ascii="宋体" w:hAnsi="宋体" w:eastAsia="宋体" w:cs="Times New Roman"/>
          <w:color w:val="000000"/>
          <w:sz w:val="24"/>
          <w:szCs w:val="24"/>
        </w:rPr>
        <w:t>正是因为怀着一腔“向下扎根”的热情，杨雪晴同志选择了加入</w:t>
      </w:r>
      <w:r>
        <w:rPr>
          <w:rFonts w:hint="eastAsia" w:ascii="宋体" w:hAnsi="宋体" w:eastAsia="宋体" w:cs="Times New Roman"/>
          <w:color w:val="000000"/>
          <w:sz w:val="24"/>
          <w:szCs w:val="24"/>
          <w:lang w:val="en-US" w:eastAsia="zh-CN"/>
        </w:rPr>
        <w:t>基层</w:t>
      </w:r>
      <w:r>
        <w:rPr>
          <w:rFonts w:hint="eastAsia" w:ascii="宋体" w:hAnsi="宋体" w:eastAsia="宋体" w:cs="Times New Roman"/>
          <w:color w:val="000000"/>
          <w:sz w:val="24"/>
          <w:szCs w:val="24"/>
        </w:rPr>
        <w:t>队伍，目前服务于合肥市庐阳区大杨镇。脚下沾有多少泥土，心中就沉淀多少真情</w:t>
      </w:r>
      <w:r>
        <w:rPr>
          <w:rFonts w:hint="eastAsia" w:ascii="宋体" w:hAnsi="宋体" w:eastAsia="宋体" w:cs="Times New Roman"/>
          <w:color w:val="000000"/>
          <w:sz w:val="24"/>
          <w:szCs w:val="24"/>
          <w:lang w:eastAsia="zh-CN"/>
        </w:rPr>
        <w:t>。</w:t>
      </w:r>
      <w:r>
        <w:rPr>
          <w:rFonts w:hint="eastAsia" w:ascii="宋体" w:hAnsi="宋体" w:eastAsia="宋体" w:cs="Times New Roman"/>
          <w:color w:val="000000"/>
          <w:sz w:val="24"/>
          <w:szCs w:val="24"/>
        </w:rPr>
        <w:t>她说，自己是幸运的，恰好拥有了宝贵的建设家乡机会</w:t>
      </w:r>
      <w:r>
        <w:rPr>
          <w:rFonts w:hint="eastAsia" w:ascii="宋体" w:hAnsi="宋体" w:eastAsia="宋体" w:cs="Times New Roman"/>
          <w:color w:val="000000"/>
          <w:sz w:val="24"/>
          <w:szCs w:val="24"/>
          <w:lang w:eastAsia="zh-CN"/>
        </w:rPr>
        <w:t>。“</w:t>
      </w:r>
      <w:r>
        <w:rPr>
          <w:rFonts w:hint="eastAsia" w:ascii="宋体" w:hAnsi="宋体" w:eastAsia="宋体" w:cs="Times New Roman"/>
          <w:color w:val="000000"/>
          <w:sz w:val="24"/>
          <w:szCs w:val="24"/>
        </w:rPr>
        <w:t>世界那么大，我想去看看，基层那么广，更该去访访。</w:t>
      </w:r>
      <w:r>
        <w:rPr>
          <w:rFonts w:hint="eastAsia" w:ascii="宋体" w:hAnsi="宋体" w:eastAsia="宋体" w:cs="Times New Roman"/>
          <w:color w:val="000000"/>
          <w:sz w:val="24"/>
          <w:szCs w:val="24"/>
          <w:lang w:eastAsia="zh-CN"/>
        </w:rPr>
        <w:t>”</w:t>
      </w:r>
    </w:p>
    <w:p>
      <w:pPr>
        <w:jc w:val="center"/>
        <w:rPr>
          <w:rFonts w:hint="eastAsia"/>
          <w:lang w:eastAsia="zh-CN"/>
        </w:rPr>
      </w:pPr>
      <w:r>
        <w:rPr>
          <w:rFonts w:ascii="宋体" w:hAnsi="宋体" w:eastAsia="宋体" w:cs="Times New Roman"/>
          <w:color w:val="000000"/>
          <w:sz w:val="24"/>
          <w:szCs w:val="24"/>
        </w:rPr>
        <w:drawing>
          <wp:inline distT="0" distB="0" distL="114300" distR="114300">
            <wp:extent cx="2426335" cy="3232785"/>
            <wp:effectExtent l="0" t="0" r="12065" b="5715"/>
            <wp:docPr id="113" name="图片 46" descr="C:\Users\ADMINI~1\AppData\Local\Temp\WeChat Files\8848f9362a6aa8b7fd9d5fb45aa4fc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46" descr="C:\Users\ADMINI~1\AppData\Local\Temp\WeChat Files\8848f9362a6aa8b7fd9d5fb45aa4fc6.jpg"/>
                    <pic:cNvPicPr>
                      <a:picLocks noChangeAspect="1"/>
                    </pic:cNvPicPr>
                  </pic:nvPicPr>
                  <pic:blipFill>
                    <a:blip r:embed="rId76"/>
                    <a:stretch>
                      <a:fillRect/>
                    </a:stretch>
                  </pic:blipFill>
                  <pic:spPr>
                    <a:xfrm>
                      <a:off x="0" y="0"/>
                      <a:ext cx="2426335" cy="323278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left="0" w:leftChars="0" w:firstLine="482" w:firstLineChars="200"/>
        <w:jc w:val="left"/>
        <w:textAlignment w:val="auto"/>
        <w:rPr>
          <w:rFonts w:hint="eastAsia" w:ascii="宋体" w:hAnsi="宋体"/>
          <w:b/>
          <w:bCs/>
          <w:color w:val="000000"/>
          <w:sz w:val="24"/>
          <w:lang w:val="en-US" w:eastAsia="zh-CN"/>
        </w:rPr>
      </w:pPr>
      <w:r>
        <w:rPr>
          <w:rFonts w:hint="eastAsia" w:ascii="宋体" w:hAnsi="宋体"/>
          <w:b/>
          <w:bCs/>
          <w:color w:val="000000"/>
          <w:sz w:val="24"/>
          <w:lang w:val="en-US" w:eastAsia="zh-CN"/>
        </w:rPr>
        <w:t>西部计划案例一：</w:t>
      </w:r>
    </w:p>
    <w:p>
      <w:pPr>
        <w:spacing w:line="360" w:lineRule="auto"/>
        <w:ind w:firstLine="480" w:firstLineChars="200"/>
        <w:jc w:val="left"/>
        <w:rPr>
          <w:rFonts w:hint="default" w:ascii="宋体" w:hAnsi="宋体" w:eastAsia="宋体" w:cs="Times New Roman"/>
          <w:color w:val="000000"/>
          <w:sz w:val="24"/>
          <w:lang w:val="en-US" w:eastAsia="zh-CN"/>
        </w:rPr>
      </w:pPr>
      <w:r>
        <w:rPr>
          <w:rFonts w:hint="eastAsia" w:ascii="宋体" w:hAnsi="宋体" w:eastAsia="宋体" w:cs="Times New Roman"/>
          <w:color w:val="000000"/>
          <w:sz w:val="24"/>
          <w:lang w:val="en-US" w:eastAsia="zh-CN"/>
        </w:rPr>
        <w:t>杨俊杰，男，18级国贸专业学生，2022年7月毕业。</w:t>
      </w:r>
    </w:p>
    <w:p>
      <w:pPr>
        <w:spacing w:line="360" w:lineRule="auto"/>
        <w:ind w:firstLine="480" w:firstLineChars="200"/>
        <w:jc w:val="left"/>
        <w:rPr>
          <w:rFonts w:hint="eastAsia" w:ascii="宋体" w:hAnsi="宋体" w:eastAsia="宋体" w:cs="Times New Roman"/>
          <w:color w:val="000000"/>
          <w:sz w:val="24"/>
        </w:rPr>
      </w:pPr>
      <w:r>
        <w:rPr>
          <w:rFonts w:hint="eastAsia" w:ascii="宋体" w:hAnsi="宋体" w:eastAsia="宋体" w:cs="Times New Roman"/>
          <w:color w:val="000000"/>
          <w:sz w:val="24"/>
        </w:rPr>
        <w:t>大学毕业后，</w:t>
      </w:r>
      <w:r>
        <w:rPr>
          <w:rFonts w:hint="eastAsia" w:ascii="宋体" w:hAnsi="宋体" w:eastAsia="宋体" w:cs="Times New Roman"/>
          <w:color w:val="000000"/>
          <w:sz w:val="24"/>
          <w:lang w:val="en-US" w:eastAsia="zh-CN"/>
        </w:rPr>
        <w:t>杨俊杰</w:t>
      </w:r>
      <w:r>
        <w:rPr>
          <w:rFonts w:hint="eastAsia" w:ascii="宋体" w:hAnsi="宋体" w:eastAsia="宋体" w:cs="Times New Roman"/>
          <w:color w:val="000000"/>
          <w:sz w:val="24"/>
        </w:rPr>
        <w:t>参加了大学生志愿服务西部计划，成为</w:t>
      </w:r>
      <w:r>
        <w:rPr>
          <w:rFonts w:hint="eastAsia" w:ascii="宋体" w:hAnsi="宋体" w:eastAsia="宋体" w:cs="Times New Roman"/>
          <w:color w:val="000000"/>
          <w:sz w:val="24"/>
          <w:lang w:val="en-US" w:eastAsia="zh-CN"/>
        </w:rPr>
        <w:t>服务乡村建设</w:t>
      </w:r>
      <w:r>
        <w:rPr>
          <w:rFonts w:hint="eastAsia" w:ascii="宋体" w:hAnsi="宋体" w:eastAsia="宋体" w:cs="Times New Roman"/>
          <w:color w:val="000000"/>
          <w:sz w:val="24"/>
        </w:rPr>
        <w:t>专项的一名西部计划志愿者</w:t>
      </w:r>
      <w:r>
        <w:rPr>
          <w:rFonts w:hint="eastAsia" w:ascii="宋体" w:hAnsi="宋体" w:eastAsia="宋体" w:cs="Times New Roman"/>
          <w:color w:val="000000"/>
          <w:sz w:val="24"/>
          <w:lang w:eastAsia="zh-CN"/>
        </w:rPr>
        <w:t>，</w:t>
      </w:r>
      <w:r>
        <w:rPr>
          <w:rFonts w:hint="eastAsia" w:ascii="宋体" w:hAnsi="宋体" w:eastAsia="宋体" w:cs="Times New Roman"/>
          <w:color w:val="000000"/>
          <w:sz w:val="24"/>
          <w:lang w:val="en-US" w:eastAsia="zh-CN"/>
        </w:rPr>
        <w:t>现服务于四川省巴中市恩阳区上八庙镇</w:t>
      </w:r>
      <w:r>
        <w:rPr>
          <w:rFonts w:hint="eastAsia" w:ascii="宋体" w:hAnsi="宋体" w:eastAsia="宋体" w:cs="Times New Roman"/>
          <w:color w:val="000000"/>
          <w:sz w:val="24"/>
          <w:lang w:eastAsia="zh-CN"/>
        </w:rPr>
        <w:t>。</w:t>
      </w:r>
      <w:r>
        <w:rPr>
          <w:rFonts w:hint="eastAsia" w:ascii="宋体" w:hAnsi="宋体" w:eastAsia="宋体" w:cs="Times New Roman"/>
          <w:color w:val="000000"/>
          <w:sz w:val="24"/>
          <w:lang w:val="en-US" w:eastAsia="zh-CN"/>
        </w:rPr>
        <w:t>作为一名乡镇食药所的工作人员，杨俊杰已累计完成了食药品日常检查百余次，经手宴席监管二百余场，以实际行动守护人民群众“舌尖上的安全”</w:t>
      </w:r>
      <w:r>
        <w:rPr>
          <w:rFonts w:hint="eastAsia" w:ascii="宋体" w:hAnsi="宋体" w:eastAsia="宋体" w:cs="Times New Roman"/>
          <w:color w:val="000000"/>
          <w:sz w:val="24"/>
        </w:rPr>
        <w:t>；作为一名一线防疫工作者，六个多月的时间</w:t>
      </w:r>
      <w:r>
        <w:rPr>
          <w:rFonts w:hint="eastAsia" w:ascii="宋体" w:hAnsi="宋体" w:eastAsia="宋体" w:cs="Times New Roman"/>
          <w:color w:val="000000"/>
          <w:sz w:val="24"/>
          <w:lang w:val="en-US" w:eastAsia="zh-CN"/>
        </w:rPr>
        <w:t>里</w:t>
      </w:r>
      <w:r>
        <w:rPr>
          <w:rFonts w:hint="eastAsia" w:ascii="宋体" w:hAnsi="宋体" w:eastAsia="宋体" w:cs="Times New Roman"/>
          <w:color w:val="000000"/>
          <w:sz w:val="24"/>
        </w:rPr>
        <w:t>，</w:t>
      </w:r>
      <w:r>
        <w:rPr>
          <w:rFonts w:hint="eastAsia" w:ascii="宋体" w:hAnsi="宋体" w:eastAsia="宋体" w:cs="Times New Roman"/>
          <w:color w:val="000000"/>
          <w:sz w:val="24"/>
          <w:lang w:val="en-US" w:eastAsia="zh-CN"/>
        </w:rPr>
        <w:t>杨俊杰累计高速执勤二十余次，查验车辆百余辆、人数上千人，</w:t>
      </w:r>
      <w:r>
        <w:rPr>
          <w:rFonts w:hint="eastAsia" w:ascii="宋体" w:hAnsi="宋体" w:eastAsia="宋体" w:cs="Times New Roman"/>
          <w:color w:val="000000"/>
          <w:sz w:val="24"/>
        </w:rPr>
        <w:t>为筑牢疫情防控屏障保驾护航；作为一名青年志愿者，</w:t>
      </w:r>
      <w:r>
        <w:rPr>
          <w:rFonts w:hint="eastAsia" w:ascii="宋体" w:hAnsi="宋体" w:eastAsia="宋体" w:cs="Times New Roman"/>
          <w:color w:val="000000"/>
          <w:sz w:val="24"/>
          <w:lang w:val="en-US" w:eastAsia="zh-CN"/>
        </w:rPr>
        <w:t>杨俊杰</w:t>
      </w:r>
      <w:r>
        <w:rPr>
          <w:rFonts w:hint="eastAsia" w:ascii="宋体" w:hAnsi="宋体" w:eastAsia="宋体" w:cs="Times New Roman"/>
          <w:color w:val="000000"/>
          <w:sz w:val="24"/>
        </w:rPr>
        <w:t>积极参加团委</w:t>
      </w:r>
      <w:r>
        <w:rPr>
          <w:rFonts w:hint="eastAsia" w:ascii="宋体" w:hAnsi="宋体" w:eastAsia="宋体" w:cs="Times New Roman"/>
          <w:color w:val="000000"/>
          <w:sz w:val="24"/>
          <w:lang w:val="en-US" w:eastAsia="zh-CN"/>
        </w:rPr>
        <w:t>和区县</w:t>
      </w:r>
      <w:r>
        <w:rPr>
          <w:rFonts w:hint="eastAsia" w:ascii="宋体" w:hAnsi="宋体" w:eastAsia="宋体" w:cs="Times New Roman"/>
          <w:color w:val="000000"/>
          <w:sz w:val="24"/>
        </w:rPr>
        <w:t>组织的</w:t>
      </w:r>
      <w:r>
        <w:rPr>
          <w:rFonts w:hint="eastAsia" w:ascii="宋体" w:hAnsi="宋体" w:eastAsia="宋体" w:cs="Times New Roman"/>
          <w:color w:val="000000"/>
          <w:sz w:val="24"/>
          <w:lang w:val="en-US" w:eastAsia="zh-CN"/>
        </w:rPr>
        <w:t>进校园、进养老院、进村、森林防火灭火教育等志愿活动。</w:t>
      </w:r>
      <w:r>
        <w:rPr>
          <w:rFonts w:hint="eastAsia" w:ascii="宋体" w:hAnsi="宋体" w:eastAsia="宋体" w:cs="Times New Roman"/>
          <w:color w:val="000000"/>
          <w:sz w:val="24"/>
        </w:rPr>
        <w:t>身着那件志愿者马甲，成为人群中最亮的一抹红色。</w:t>
      </w:r>
    </w:p>
    <w:p>
      <w:pPr>
        <w:spacing w:line="360" w:lineRule="auto"/>
        <w:ind w:firstLine="480" w:firstLineChars="200"/>
        <w:jc w:val="left"/>
        <w:rPr>
          <w:rFonts w:hint="eastAsia" w:ascii="宋体" w:hAnsi="宋体" w:eastAsia="宋体" w:cs="Times New Roman"/>
          <w:color w:val="000000"/>
          <w:sz w:val="24"/>
        </w:rPr>
      </w:pPr>
      <w:r>
        <w:rPr>
          <w:rFonts w:hint="eastAsia" w:ascii="宋体" w:hAnsi="宋体" w:eastAsia="宋体" w:cs="Times New Roman"/>
          <w:color w:val="000000"/>
          <w:sz w:val="24"/>
        </w:rPr>
        <w:t>习近平总书记在党的二十大报告中指出</w:t>
      </w:r>
      <w:r>
        <w:rPr>
          <w:rFonts w:hint="eastAsia" w:ascii="宋体" w:hAnsi="宋体" w:eastAsia="宋体" w:cs="Times New Roman"/>
          <w:color w:val="000000"/>
          <w:sz w:val="24"/>
          <w:lang w:val="en-US" w:eastAsia="zh-CN"/>
        </w:rPr>
        <w:t>:</w:t>
      </w:r>
      <w:r>
        <w:rPr>
          <w:rFonts w:hint="eastAsia" w:ascii="宋体" w:hAnsi="宋体" w:eastAsia="宋体" w:cs="Times New Roman"/>
          <w:color w:val="000000"/>
          <w:sz w:val="24"/>
        </w:rPr>
        <w:t>“当代中国青年生逢其时，施展才干的舞台无比广阔，实现梦想的前景无比光明”。</w:t>
      </w:r>
      <w:r>
        <w:rPr>
          <w:rFonts w:hint="eastAsia" w:ascii="宋体" w:hAnsi="宋体" w:eastAsia="宋体" w:cs="Times New Roman"/>
          <w:color w:val="000000"/>
          <w:sz w:val="24"/>
          <w:lang w:val="en-US" w:eastAsia="zh-CN"/>
        </w:rPr>
        <w:t>杨俊杰</w:t>
      </w:r>
      <w:r>
        <w:rPr>
          <w:rFonts w:hint="eastAsia" w:ascii="宋体" w:hAnsi="宋体" w:eastAsia="宋体" w:cs="Times New Roman"/>
          <w:color w:val="000000"/>
          <w:sz w:val="24"/>
        </w:rPr>
        <w:t>将时刻牢记为人民服务的初心和使命，在党和人民最需要的时刻冲得出来、顶得上去，在平凡岗位上干好不平凡的工作。青春逢盛世，奋斗正当时</w:t>
      </w:r>
      <w:r>
        <w:rPr>
          <w:rFonts w:hint="eastAsia" w:ascii="宋体" w:hAnsi="宋体" w:eastAsia="宋体" w:cs="Times New Roman"/>
          <w:color w:val="000000"/>
          <w:sz w:val="24"/>
          <w:lang w:eastAsia="zh-CN"/>
        </w:rPr>
        <w:t>。</w:t>
      </w:r>
      <w:r>
        <w:rPr>
          <w:rFonts w:hint="eastAsia" w:ascii="宋体" w:hAnsi="宋体" w:eastAsia="宋体" w:cs="Times New Roman"/>
          <w:color w:val="000000"/>
          <w:sz w:val="24"/>
          <w:lang w:val="en-US" w:eastAsia="zh-CN"/>
        </w:rPr>
        <w:t>杨俊杰</w:t>
      </w:r>
      <w:r>
        <w:rPr>
          <w:rFonts w:hint="eastAsia" w:ascii="宋体" w:hAnsi="宋体" w:eastAsia="宋体" w:cs="Times New Roman"/>
          <w:color w:val="000000"/>
          <w:sz w:val="24"/>
        </w:rPr>
        <w:t>将在最好的时代，用行动书写业绩，成就更好的自己。</w:t>
      </w:r>
    </w:p>
    <w:p>
      <w:pPr>
        <w:pStyle w:val="12"/>
        <w:rPr>
          <w:rFonts w:hint="eastAsia"/>
        </w:rPr>
      </w:pPr>
    </w:p>
    <w:p>
      <w:pPr>
        <w:spacing w:line="360" w:lineRule="auto"/>
        <w:ind w:firstLine="420" w:firstLineChars="200"/>
        <w:jc w:val="left"/>
        <w:rPr>
          <w:rFonts w:hint="eastAsia" w:ascii="宋体" w:hAnsi="宋体" w:eastAsia="宋体" w:cs="Times New Roman"/>
          <w:color w:val="000000"/>
          <w:sz w:val="24"/>
        </w:rPr>
      </w:pPr>
      <w:r>
        <w:rPr>
          <w:rFonts w:hint="eastAsia" w:eastAsia="宋体"/>
          <w:lang w:eastAsia="zh-CN"/>
        </w:rPr>
        <w:drawing>
          <wp:inline distT="0" distB="0" distL="114300" distR="114300">
            <wp:extent cx="4677410" cy="2551430"/>
            <wp:effectExtent l="0" t="0" r="8890" b="1270"/>
            <wp:docPr id="108" name="图片 47" descr="志愿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47" descr="志愿4"/>
                    <pic:cNvPicPr>
                      <a:picLocks noChangeAspect="1"/>
                    </pic:cNvPicPr>
                  </pic:nvPicPr>
                  <pic:blipFill>
                    <a:blip r:embed="rId77"/>
                    <a:stretch>
                      <a:fillRect/>
                    </a:stretch>
                  </pic:blipFill>
                  <pic:spPr>
                    <a:xfrm>
                      <a:off x="0" y="0"/>
                      <a:ext cx="4677410" cy="255143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left="0" w:leftChars="0" w:firstLine="482" w:firstLineChars="200"/>
        <w:jc w:val="left"/>
        <w:textAlignment w:val="auto"/>
        <w:rPr>
          <w:rFonts w:hint="default" w:ascii="宋体" w:hAnsi="宋体" w:eastAsia="宋体"/>
          <w:b/>
          <w:bCs/>
          <w:color w:val="000000"/>
          <w:sz w:val="24"/>
          <w:lang w:val="en-US" w:eastAsia="zh-CN"/>
        </w:rPr>
      </w:pPr>
      <w:r>
        <w:rPr>
          <w:rFonts w:hint="eastAsia" w:ascii="宋体" w:hAnsi="宋体"/>
          <w:b/>
          <w:bCs/>
          <w:color w:val="000000"/>
          <w:sz w:val="24"/>
          <w:lang w:val="en-US" w:eastAsia="zh-CN"/>
        </w:rPr>
        <w:t>西部计划案例二：</w:t>
      </w:r>
    </w:p>
    <w:p>
      <w:pPr>
        <w:spacing w:line="360" w:lineRule="auto"/>
        <w:ind w:firstLine="480" w:firstLineChars="200"/>
        <w:jc w:val="left"/>
        <w:rPr>
          <w:rFonts w:ascii="宋体" w:hAnsi="宋体"/>
          <w:color w:val="000000"/>
          <w:sz w:val="24"/>
        </w:rPr>
      </w:pPr>
      <w:r>
        <w:rPr>
          <w:rFonts w:hint="eastAsia" w:ascii="宋体" w:hAnsi="宋体"/>
          <w:color w:val="000000"/>
          <w:sz w:val="24"/>
          <w:lang w:val="en-US" w:eastAsia="zh-CN"/>
        </w:rPr>
        <w:t>罗勇</w:t>
      </w:r>
      <w:r>
        <w:rPr>
          <w:rFonts w:hint="eastAsia" w:ascii="宋体" w:hAnsi="宋体"/>
          <w:color w:val="000000"/>
          <w:sz w:val="24"/>
        </w:rPr>
        <w:t>，</w:t>
      </w:r>
      <w:r>
        <w:rPr>
          <w:rFonts w:hint="eastAsia" w:ascii="宋体" w:hAnsi="宋体"/>
          <w:color w:val="000000"/>
          <w:sz w:val="24"/>
          <w:lang w:val="en-US" w:eastAsia="zh-CN"/>
        </w:rPr>
        <w:t>男</w:t>
      </w:r>
      <w:r>
        <w:rPr>
          <w:rFonts w:hint="eastAsia" w:ascii="宋体" w:hAnsi="宋体"/>
          <w:color w:val="000000"/>
          <w:sz w:val="24"/>
        </w:rPr>
        <w:t>，1</w:t>
      </w:r>
      <w:r>
        <w:rPr>
          <w:rFonts w:hint="eastAsia" w:ascii="宋体" w:hAnsi="宋体"/>
          <w:color w:val="000000"/>
          <w:sz w:val="24"/>
          <w:lang w:val="en-US" w:eastAsia="zh-CN"/>
        </w:rPr>
        <w:t>8</w:t>
      </w:r>
      <w:r>
        <w:rPr>
          <w:rFonts w:hint="eastAsia" w:ascii="宋体" w:hAnsi="宋体"/>
          <w:color w:val="000000"/>
          <w:sz w:val="24"/>
        </w:rPr>
        <w:t>级经济学</w:t>
      </w:r>
      <w:r>
        <w:rPr>
          <w:rFonts w:hint="eastAsia" w:ascii="宋体" w:hAnsi="宋体"/>
          <w:color w:val="000000"/>
          <w:sz w:val="24"/>
          <w:lang w:val="en-US" w:eastAsia="zh-CN"/>
        </w:rPr>
        <w:t>专业学生</w:t>
      </w:r>
      <w:r>
        <w:rPr>
          <w:rFonts w:hint="eastAsia" w:ascii="宋体" w:hAnsi="宋体"/>
          <w:color w:val="000000"/>
          <w:sz w:val="24"/>
        </w:rPr>
        <w:t>，</w:t>
      </w:r>
      <w:r>
        <w:rPr>
          <w:rFonts w:ascii="宋体" w:hAnsi="宋体"/>
          <w:color w:val="000000"/>
          <w:sz w:val="24"/>
        </w:rPr>
        <w:t>202</w:t>
      </w:r>
      <w:r>
        <w:rPr>
          <w:rFonts w:hint="eastAsia" w:ascii="宋体" w:hAnsi="宋体"/>
          <w:color w:val="000000"/>
          <w:sz w:val="24"/>
          <w:lang w:val="en-US" w:eastAsia="zh-CN"/>
        </w:rPr>
        <w:t>2</w:t>
      </w:r>
      <w:r>
        <w:rPr>
          <w:rFonts w:hint="eastAsia" w:ascii="宋体" w:hAnsi="宋体"/>
          <w:color w:val="000000"/>
          <w:sz w:val="24"/>
        </w:rPr>
        <w:t>年</w:t>
      </w:r>
      <w:r>
        <w:rPr>
          <w:rFonts w:ascii="宋体" w:hAnsi="宋体"/>
          <w:color w:val="000000"/>
          <w:sz w:val="24"/>
        </w:rPr>
        <w:t>7</w:t>
      </w:r>
      <w:r>
        <w:rPr>
          <w:rFonts w:hint="eastAsia" w:ascii="宋体" w:hAnsi="宋体"/>
          <w:color w:val="000000"/>
          <w:sz w:val="24"/>
        </w:rPr>
        <w:t>月毕业。</w:t>
      </w:r>
    </w:p>
    <w:p>
      <w:pPr>
        <w:spacing w:line="360" w:lineRule="auto"/>
        <w:ind w:firstLine="480" w:firstLineChars="200"/>
        <w:jc w:val="left"/>
        <w:rPr>
          <w:rFonts w:ascii="宋体" w:hAnsi="宋体"/>
          <w:color w:val="000000"/>
          <w:sz w:val="24"/>
        </w:rPr>
      </w:pPr>
      <w:r>
        <w:rPr>
          <w:rFonts w:hint="eastAsia" w:ascii="宋体" w:hAnsi="宋体"/>
          <w:color w:val="000000"/>
          <w:sz w:val="24"/>
          <w:lang w:val="en-US" w:eastAsia="zh-CN"/>
        </w:rPr>
        <w:t>罗勇在得知西部计划中央基层项目后，通过宣传片、公众号等进行了深入了解，</w:t>
      </w:r>
      <w:r>
        <w:rPr>
          <w:rFonts w:hint="eastAsia" w:ascii="宋体" w:hAnsi="宋体"/>
          <w:color w:val="000000"/>
          <w:sz w:val="24"/>
        </w:rPr>
        <w:t>被无数投身基层服务的党员干部所吸引，</w:t>
      </w:r>
      <w:r>
        <w:rPr>
          <w:rFonts w:hint="eastAsia" w:ascii="宋体" w:hAnsi="宋体"/>
          <w:color w:val="000000"/>
          <w:sz w:val="24"/>
          <w:lang w:val="en-US" w:eastAsia="zh-CN"/>
        </w:rPr>
        <w:t>被无数进取奋斗的身影所感动，便</w:t>
      </w:r>
      <w:r>
        <w:rPr>
          <w:rFonts w:hint="eastAsia" w:ascii="宋体" w:hAnsi="宋体"/>
          <w:color w:val="000000"/>
          <w:sz w:val="24"/>
        </w:rPr>
        <w:t>产生了对西部的向往。</w:t>
      </w:r>
    </w:p>
    <w:p>
      <w:pPr>
        <w:spacing w:line="360" w:lineRule="auto"/>
        <w:ind w:firstLine="480" w:firstLineChars="200"/>
        <w:rPr>
          <w:rFonts w:hint="eastAsia" w:ascii="宋体" w:hAnsi="宋体" w:eastAsia="宋体"/>
          <w:color w:val="000000"/>
          <w:sz w:val="24"/>
          <w:lang w:eastAsia="zh-CN"/>
        </w:rPr>
      </w:pPr>
      <w:r>
        <w:rPr>
          <w:rFonts w:hint="eastAsia" w:ascii="宋体" w:hAnsi="宋体"/>
          <w:color w:val="000000"/>
          <w:sz w:val="24"/>
          <w:lang w:val="en-US" w:eastAsia="zh-CN"/>
        </w:rPr>
        <w:t>罗勇最终</w:t>
      </w:r>
      <w:r>
        <w:rPr>
          <w:rFonts w:hint="eastAsia" w:ascii="宋体" w:hAnsi="宋体"/>
          <w:color w:val="000000"/>
          <w:sz w:val="24"/>
        </w:rPr>
        <w:t>选择了西部计划</w:t>
      </w:r>
      <w:r>
        <w:rPr>
          <w:rFonts w:hint="eastAsia" w:ascii="宋体" w:hAnsi="宋体"/>
          <w:color w:val="000000"/>
          <w:sz w:val="24"/>
          <w:lang w:val="en-US" w:eastAsia="zh-CN"/>
        </w:rPr>
        <w:t>中央基层项目</w:t>
      </w:r>
      <w:r>
        <w:rPr>
          <w:rFonts w:hint="eastAsia" w:ascii="宋体" w:hAnsi="宋体"/>
          <w:color w:val="000000"/>
          <w:sz w:val="24"/>
        </w:rPr>
        <w:t>，目前服务于</w:t>
      </w:r>
      <w:r>
        <w:rPr>
          <w:rFonts w:hint="eastAsia" w:ascii="宋体" w:hAnsi="宋体"/>
          <w:color w:val="000000"/>
          <w:sz w:val="24"/>
          <w:lang w:val="en-US" w:eastAsia="zh-CN"/>
        </w:rPr>
        <w:t>绵竹市富新镇人民政府综合行政执法办</w:t>
      </w:r>
      <w:r>
        <w:rPr>
          <w:rFonts w:hint="eastAsia" w:ascii="宋体" w:hAnsi="宋体"/>
          <w:color w:val="000000"/>
          <w:sz w:val="24"/>
        </w:rPr>
        <w:t>。</w:t>
      </w:r>
      <w:r>
        <w:rPr>
          <w:rFonts w:hint="eastAsia" w:ascii="宋体" w:hAnsi="宋体"/>
          <w:color w:val="000000"/>
          <w:sz w:val="24"/>
          <w:lang w:val="en-US" w:eastAsia="zh-CN"/>
        </w:rPr>
        <w:t>服务期间，参加了疫情防控工作。他说只有当自己参与到其中，才能真正感受到灾难来临时我党始终冲在第一线的决心与毅力。在今后的</w:t>
      </w:r>
      <w:r>
        <w:rPr>
          <w:rFonts w:hint="eastAsia" w:ascii="宋体" w:hAnsi="宋体"/>
          <w:color w:val="000000"/>
          <w:sz w:val="24"/>
        </w:rPr>
        <w:t>工作中</w:t>
      </w:r>
      <w:r>
        <w:rPr>
          <w:rFonts w:hint="eastAsia" w:ascii="宋体" w:hAnsi="宋体"/>
          <w:color w:val="000000"/>
          <w:sz w:val="24"/>
          <w:lang w:eastAsia="zh-CN"/>
        </w:rPr>
        <w:t>，</w:t>
      </w:r>
      <w:r>
        <w:rPr>
          <w:rFonts w:hint="eastAsia" w:ascii="宋体" w:hAnsi="宋体"/>
          <w:color w:val="000000"/>
          <w:sz w:val="24"/>
          <w:lang w:val="en-US" w:eastAsia="zh-CN"/>
        </w:rPr>
        <w:t>仍要不断学习，努力奋斗，</w:t>
      </w:r>
      <w:r>
        <w:rPr>
          <w:rFonts w:hint="eastAsia" w:ascii="宋体" w:hAnsi="宋体"/>
          <w:color w:val="000000"/>
          <w:sz w:val="24"/>
        </w:rPr>
        <w:t>为西部建设贡献自己的</w:t>
      </w:r>
      <w:r>
        <w:rPr>
          <w:rFonts w:hint="eastAsia" w:ascii="宋体" w:hAnsi="宋体"/>
          <w:color w:val="000000"/>
          <w:sz w:val="24"/>
          <w:lang w:val="en-US" w:eastAsia="zh-CN"/>
        </w:rPr>
        <w:t>微薄之力</w:t>
      </w:r>
      <w:r>
        <w:rPr>
          <w:rFonts w:hint="eastAsia" w:ascii="宋体" w:hAnsi="宋体"/>
          <w:color w:val="000000"/>
          <w:sz w:val="24"/>
          <w:lang w:eastAsia="zh-CN"/>
        </w:rPr>
        <w:t>。</w:t>
      </w:r>
    </w:p>
    <w:p>
      <w:pPr>
        <w:spacing w:line="360" w:lineRule="auto"/>
        <w:jc w:val="center"/>
        <w:rPr>
          <w:rFonts w:ascii="宋体" w:hAnsi="宋体"/>
          <w:color w:val="000000"/>
          <w:sz w:val="24"/>
        </w:rPr>
      </w:pPr>
      <w:r>
        <w:rPr>
          <w:rFonts w:ascii="宋体" w:hAnsi="宋体"/>
          <w:color w:val="000000"/>
          <w:sz w:val="24"/>
        </w:rPr>
        <w:drawing>
          <wp:inline distT="0" distB="0" distL="114300" distR="114300">
            <wp:extent cx="1988185" cy="2784475"/>
            <wp:effectExtent l="0" t="0" r="5715" b="9525"/>
            <wp:docPr id="118" name="图片 48" descr="C:\Users\a\Desktop\图片1.png图片1"/>
            <wp:cNvGraphicFramePr/>
            <a:graphic xmlns:a="http://schemas.openxmlformats.org/drawingml/2006/main">
              <a:graphicData uri="http://schemas.openxmlformats.org/drawingml/2006/picture">
                <pic:pic xmlns:pic="http://schemas.openxmlformats.org/drawingml/2006/picture">
                  <pic:nvPicPr>
                    <pic:cNvPr id="118" name="图片 48" descr="C:\Users\a\Desktop\图片1.png图片1"/>
                    <pic:cNvPicPr/>
                  </pic:nvPicPr>
                  <pic:blipFill>
                    <a:blip r:embed="rId78"/>
                    <a:stretch>
                      <a:fillRect/>
                    </a:stretch>
                  </pic:blipFill>
                  <pic:spPr>
                    <a:xfrm>
                      <a:off x="0" y="0"/>
                      <a:ext cx="1988185" cy="278447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both"/>
        <w:textAlignment w:val="auto"/>
        <w:rPr>
          <w:rFonts w:hint="eastAsia" w:ascii="宋体" w:hAnsi="宋体" w:eastAsia="宋体" w:cs="Times New Roman"/>
          <w:b/>
          <w:bCs/>
          <w:color w:val="000000"/>
          <w:sz w:val="24"/>
          <w:lang w:val="en-US" w:eastAsia="zh-CN"/>
        </w:rPr>
      </w:pPr>
      <w:r>
        <w:rPr>
          <w:rFonts w:hint="eastAsia" w:ascii="宋体" w:hAnsi="宋体" w:eastAsia="宋体" w:cs="Times New Roman"/>
          <w:b/>
          <w:bCs/>
          <w:color w:val="000000"/>
          <w:sz w:val="24"/>
          <w:lang w:val="en-US" w:eastAsia="zh-CN"/>
        </w:rPr>
        <w:t>西藏专招案例一：</w:t>
      </w:r>
    </w:p>
    <w:p>
      <w:pPr>
        <w:spacing w:line="360" w:lineRule="auto"/>
        <w:ind w:firstLine="480" w:firstLineChars="200"/>
        <w:jc w:val="left"/>
        <w:rPr>
          <w:rFonts w:ascii="宋体" w:hAnsi="宋体"/>
          <w:color w:val="000000"/>
          <w:sz w:val="24"/>
        </w:rPr>
      </w:pPr>
      <w:r>
        <w:rPr>
          <w:rFonts w:hint="eastAsia" w:ascii="宋体" w:hAnsi="宋体"/>
          <w:color w:val="000000"/>
          <w:sz w:val="24"/>
          <w:lang w:val="en-US" w:eastAsia="zh-CN"/>
        </w:rPr>
        <w:t>叶晨</w:t>
      </w:r>
      <w:r>
        <w:rPr>
          <w:rFonts w:hint="eastAsia" w:ascii="宋体" w:hAnsi="宋体"/>
          <w:color w:val="000000"/>
          <w:sz w:val="24"/>
        </w:rPr>
        <w:t>，女，</w:t>
      </w:r>
      <w:r>
        <w:rPr>
          <w:rFonts w:hint="eastAsia" w:ascii="宋体" w:hAnsi="宋体"/>
          <w:color w:val="000000"/>
          <w:sz w:val="24"/>
          <w:lang w:val="en-US" w:eastAsia="zh-CN"/>
        </w:rPr>
        <w:t>18</w:t>
      </w:r>
      <w:r>
        <w:rPr>
          <w:rFonts w:hint="eastAsia" w:ascii="宋体" w:hAnsi="宋体"/>
          <w:color w:val="000000"/>
          <w:sz w:val="24"/>
        </w:rPr>
        <w:t>级</w:t>
      </w:r>
      <w:r>
        <w:rPr>
          <w:rFonts w:hint="eastAsia" w:ascii="宋体" w:hAnsi="宋体"/>
          <w:color w:val="000000"/>
          <w:sz w:val="24"/>
          <w:lang w:val="en-US" w:eastAsia="zh-CN"/>
        </w:rPr>
        <w:t>工商管理专业学生</w:t>
      </w:r>
      <w:r>
        <w:rPr>
          <w:rFonts w:hint="eastAsia" w:ascii="宋体" w:hAnsi="宋体"/>
          <w:color w:val="000000"/>
          <w:sz w:val="24"/>
        </w:rPr>
        <w:t>，</w:t>
      </w:r>
      <w:r>
        <w:rPr>
          <w:rFonts w:ascii="宋体" w:hAnsi="宋体"/>
          <w:color w:val="000000"/>
          <w:sz w:val="24"/>
        </w:rPr>
        <w:t>202</w:t>
      </w:r>
      <w:r>
        <w:rPr>
          <w:rFonts w:hint="eastAsia" w:ascii="宋体" w:hAnsi="宋体"/>
          <w:color w:val="000000"/>
          <w:sz w:val="24"/>
          <w:lang w:val="en-US" w:eastAsia="zh-CN"/>
        </w:rPr>
        <w:t>2</w:t>
      </w:r>
      <w:r>
        <w:rPr>
          <w:rFonts w:hint="eastAsia" w:ascii="宋体" w:hAnsi="宋体"/>
          <w:color w:val="000000"/>
          <w:sz w:val="24"/>
        </w:rPr>
        <w:t>年</w:t>
      </w:r>
      <w:r>
        <w:rPr>
          <w:rFonts w:ascii="宋体" w:hAnsi="宋体"/>
          <w:color w:val="000000"/>
          <w:sz w:val="24"/>
        </w:rPr>
        <w:t>7</w:t>
      </w:r>
      <w:r>
        <w:rPr>
          <w:rFonts w:hint="eastAsia" w:ascii="宋体" w:hAnsi="宋体"/>
          <w:color w:val="000000"/>
          <w:sz w:val="24"/>
        </w:rPr>
        <w:t>月毕业。</w:t>
      </w:r>
    </w:p>
    <w:p>
      <w:pPr>
        <w:spacing w:line="360" w:lineRule="auto"/>
        <w:ind w:firstLine="480" w:firstLineChars="200"/>
        <w:rPr>
          <w:rFonts w:ascii="宋体" w:hAnsi="宋体"/>
          <w:color w:val="000000"/>
          <w:sz w:val="24"/>
        </w:rPr>
      </w:pPr>
      <w:r>
        <w:rPr>
          <w:rFonts w:hint="eastAsia" w:ascii="宋体" w:hAnsi="宋体"/>
          <w:color w:val="000000"/>
          <w:sz w:val="24"/>
          <w:lang w:val="en-US" w:eastAsia="zh-CN"/>
        </w:rPr>
        <w:t>叶晨说道，选择入藏做一名基层工作者，将个人的职业发展与国家战略相结合，是时代需求，也是使命担当。在西藏从事基层工作不仅是一份工作，是一份宏伟的事业。在以后的工作中，将努力继承和发扬“特别能吃苦、特别能战斗、特别能忍耐、特别能团结、特别能奉献”的老西藏精神，争做一名合格基层干部，为西藏的发展、祖国的团结稳定尽绵薄之力。</w:t>
      </w:r>
    </w:p>
    <w:p>
      <w:pPr>
        <w:spacing w:line="360" w:lineRule="auto"/>
        <w:jc w:val="center"/>
        <w:rPr>
          <w:rFonts w:hint="eastAsia" w:ascii="宋体" w:hAnsi="宋体" w:eastAsia="宋体"/>
          <w:sz w:val="24"/>
          <w:lang w:eastAsia="zh-CN"/>
        </w:rPr>
      </w:pPr>
      <w:r>
        <w:rPr>
          <w:rFonts w:hint="eastAsia" w:ascii="宋体" w:hAnsi="宋体" w:eastAsia="宋体"/>
          <w:sz w:val="24"/>
          <w:lang w:eastAsia="zh-CN"/>
        </w:rPr>
        <w:drawing>
          <wp:inline distT="0" distB="0" distL="114300" distR="114300">
            <wp:extent cx="1986915" cy="2782570"/>
            <wp:effectExtent l="0" t="0" r="6985" b="11430"/>
            <wp:docPr id="109" name="图片 49" descr="1寸蓝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49" descr="1寸蓝底"/>
                    <pic:cNvPicPr>
                      <a:picLocks noChangeAspect="1"/>
                    </pic:cNvPicPr>
                  </pic:nvPicPr>
                  <pic:blipFill>
                    <a:blip r:embed="rId79"/>
                    <a:stretch>
                      <a:fillRect/>
                    </a:stretch>
                  </pic:blipFill>
                  <pic:spPr>
                    <a:xfrm>
                      <a:off x="0" y="0"/>
                      <a:ext cx="1986915" cy="278257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both"/>
        <w:textAlignment w:val="auto"/>
        <w:rPr>
          <w:rFonts w:hint="eastAsia" w:ascii="宋体" w:hAnsi="宋体" w:eastAsia="宋体" w:cs="Times New Roman"/>
          <w:b/>
          <w:bCs/>
          <w:color w:val="000000"/>
          <w:sz w:val="24"/>
          <w:lang w:val="en-US" w:eastAsia="zh-CN"/>
        </w:rPr>
      </w:pPr>
      <w:r>
        <w:rPr>
          <w:rFonts w:hint="eastAsia" w:ascii="宋体" w:hAnsi="宋体" w:eastAsia="宋体" w:cs="Times New Roman"/>
          <w:b/>
          <w:bCs/>
          <w:color w:val="000000"/>
          <w:sz w:val="24"/>
          <w:lang w:val="en-US" w:eastAsia="zh-CN"/>
        </w:rPr>
        <w:t>三支一扶案例一：</w:t>
      </w:r>
    </w:p>
    <w:p>
      <w:pPr>
        <w:adjustRightInd w:val="0"/>
        <w:snapToGrid w:val="0"/>
        <w:spacing w:line="360" w:lineRule="auto"/>
        <w:ind w:firstLine="480" w:firstLineChars="200"/>
        <w:rPr>
          <w:rFonts w:hint="eastAsia" w:ascii="宋体" w:hAnsi="宋体" w:eastAsia="宋体"/>
          <w:color w:val="000000"/>
          <w:sz w:val="24"/>
          <w:highlight w:val="none"/>
          <w:lang w:val="en-US" w:eastAsia="zh-CN"/>
        </w:rPr>
      </w:pPr>
      <w:r>
        <w:rPr>
          <w:rFonts w:hint="eastAsia" w:ascii="宋体" w:hAnsi="宋体"/>
          <w:color w:val="000000"/>
          <w:sz w:val="24"/>
          <w:highlight w:val="none"/>
          <w:lang w:val="en-US" w:eastAsia="zh-CN"/>
        </w:rPr>
        <w:t>崔紫萍</w:t>
      </w:r>
      <w:r>
        <w:rPr>
          <w:rFonts w:hint="eastAsia" w:ascii="宋体" w:hAnsi="宋体"/>
          <w:color w:val="000000"/>
          <w:sz w:val="24"/>
          <w:highlight w:val="none"/>
        </w:rPr>
        <w:t>，1</w:t>
      </w:r>
      <w:r>
        <w:rPr>
          <w:rFonts w:hint="eastAsia" w:ascii="宋体" w:hAnsi="宋体"/>
          <w:color w:val="000000"/>
          <w:sz w:val="24"/>
          <w:highlight w:val="none"/>
          <w:lang w:val="en-US" w:eastAsia="zh-CN"/>
        </w:rPr>
        <w:t>8</w:t>
      </w:r>
      <w:r>
        <w:rPr>
          <w:rFonts w:hint="eastAsia" w:ascii="宋体" w:hAnsi="宋体"/>
          <w:color w:val="000000"/>
          <w:sz w:val="24"/>
          <w:highlight w:val="none"/>
        </w:rPr>
        <w:t>级</w:t>
      </w:r>
      <w:r>
        <w:rPr>
          <w:rFonts w:hint="eastAsia" w:ascii="宋体" w:hAnsi="宋体"/>
          <w:color w:val="000000"/>
          <w:sz w:val="24"/>
          <w:highlight w:val="none"/>
          <w:lang w:val="en-US" w:eastAsia="zh-CN"/>
        </w:rPr>
        <w:t>物流管理专业</w:t>
      </w:r>
      <w:r>
        <w:rPr>
          <w:rFonts w:hint="eastAsia" w:ascii="宋体" w:hAnsi="宋体"/>
          <w:color w:val="000000"/>
          <w:sz w:val="24"/>
          <w:highlight w:val="none"/>
        </w:rPr>
        <w:t>学生，</w:t>
      </w:r>
      <w:r>
        <w:rPr>
          <w:rFonts w:ascii="宋体" w:hAnsi="宋体"/>
          <w:color w:val="000000"/>
          <w:sz w:val="24"/>
          <w:highlight w:val="none"/>
        </w:rPr>
        <w:t>202</w:t>
      </w:r>
      <w:r>
        <w:rPr>
          <w:rFonts w:hint="eastAsia" w:ascii="宋体" w:hAnsi="宋体"/>
          <w:color w:val="000000"/>
          <w:sz w:val="24"/>
          <w:highlight w:val="none"/>
          <w:lang w:val="en-US" w:eastAsia="zh-CN"/>
        </w:rPr>
        <w:t>2</w:t>
      </w:r>
      <w:r>
        <w:rPr>
          <w:rFonts w:hint="eastAsia" w:ascii="宋体" w:hAnsi="宋体"/>
          <w:color w:val="000000"/>
          <w:sz w:val="24"/>
          <w:highlight w:val="none"/>
        </w:rPr>
        <w:t>年</w:t>
      </w:r>
      <w:r>
        <w:rPr>
          <w:rFonts w:ascii="宋体" w:hAnsi="宋体"/>
          <w:color w:val="000000"/>
          <w:sz w:val="24"/>
          <w:highlight w:val="none"/>
        </w:rPr>
        <w:t>7</w:t>
      </w:r>
      <w:r>
        <w:rPr>
          <w:rFonts w:hint="eastAsia" w:ascii="宋体" w:hAnsi="宋体"/>
          <w:color w:val="000000"/>
          <w:sz w:val="24"/>
          <w:highlight w:val="none"/>
        </w:rPr>
        <w:t>月毕业。</w:t>
      </w:r>
      <w:r>
        <w:rPr>
          <w:rFonts w:hint="eastAsia" w:ascii="宋体" w:hAnsi="宋体"/>
          <w:color w:val="000000"/>
          <w:sz w:val="24"/>
          <w:highlight w:val="none"/>
          <w:lang w:val="en-US" w:eastAsia="zh-CN"/>
        </w:rPr>
        <w:t xml:space="preserve"> </w:t>
      </w:r>
    </w:p>
    <w:p>
      <w:pPr>
        <w:adjustRightInd w:val="0"/>
        <w:snapToGrid w:val="0"/>
        <w:spacing w:line="360" w:lineRule="auto"/>
        <w:ind w:firstLine="480" w:firstLineChars="200"/>
        <w:rPr>
          <w:rFonts w:hint="default" w:ascii="宋体" w:hAnsi="宋体"/>
          <w:color w:val="000000"/>
          <w:sz w:val="24"/>
          <w:highlight w:val="none"/>
          <w:lang w:val="en-US" w:eastAsia="zh-CN"/>
        </w:rPr>
      </w:pPr>
      <w:r>
        <w:rPr>
          <w:rFonts w:hint="eastAsia" w:ascii="宋体" w:hAnsi="宋体"/>
          <w:color w:val="000000"/>
          <w:sz w:val="24"/>
          <w:highlight w:val="none"/>
          <w:lang w:val="en-US" w:eastAsia="zh-CN"/>
        </w:rPr>
        <w:t>在毕业季，很多同学想去大城市大展拳脚。她认为施展才华不一定要在大城市，基层也是大有可为的。自新冠肺炎疫情发生以来，她看到了无数奋战在一线的白衣天使、默默奉献的基层工作者，深刻地感受到了他们的伟大。这对她来说是一种感召，是一种鼓舞，让她有了服务基层的勇气和决心。最后，通过报考三支一扶，成为家乡的一名基层工作人员。</w:t>
      </w:r>
    </w:p>
    <w:p>
      <w:pPr>
        <w:adjustRightInd w:val="0"/>
        <w:snapToGrid w:val="0"/>
        <w:spacing w:line="360" w:lineRule="auto"/>
        <w:ind w:firstLine="480" w:firstLineChars="200"/>
        <w:rPr>
          <w:rFonts w:hint="eastAsia" w:ascii="宋体" w:hAnsi="宋体"/>
          <w:color w:val="000000"/>
          <w:sz w:val="24"/>
          <w:highlight w:val="none"/>
          <w:lang w:val="en-US" w:eastAsia="zh-CN"/>
        </w:rPr>
      </w:pPr>
      <w:r>
        <w:rPr>
          <w:rFonts w:hint="eastAsia" w:ascii="宋体" w:hAnsi="宋体"/>
          <w:color w:val="000000"/>
          <w:sz w:val="24"/>
          <w:highlight w:val="none"/>
          <w:lang w:val="en-US" w:eastAsia="zh-CN"/>
        </w:rPr>
        <w:t>作为一名三支一扶人员，崔紫萍表示在今后的工作中将脚踏实地，努力地将每一件事情做好、做细、做实。时刻铭记为人民服务的宗旨，并将其贯彻到日常工作中去。她坚信在任何一个岗位上都可以耕耘出自己的一番天地，实现自己的人生价值。</w:t>
      </w:r>
    </w:p>
    <w:p>
      <w:pPr>
        <w:pStyle w:val="12"/>
        <w:rPr>
          <w:rFonts w:hint="default"/>
          <w:lang w:val="en-US" w:eastAsia="zh-CN"/>
        </w:rPr>
      </w:pPr>
      <w:r>
        <w:drawing>
          <wp:inline distT="0" distB="0" distL="114300" distR="114300">
            <wp:extent cx="1986915" cy="2782570"/>
            <wp:effectExtent l="0" t="0" r="6985" b="11430"/>
            <wp:docPr id="117" name="图片 50" descr="C:\Users\jinhe\Desktop\1.pn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50" descr="C:\Users\jinhe\Desktop\1.png1"/>
                    <pic:cNvPicPr>
                      <a:picLocks noChangeAspect="1"/>
                    </pic:cNvPicPr>
                  </pic:nvPicPr>
                  <pic:blipFill>
                    <a:blip r:embed="rId80"/>
                    <a:stretch>
                      <a:fillRect/>
                    </a:stretch>
                  </pic:blipFill>
                  <pic:spPr>
                    <a:xfrm>
                      <a:off x="0" y="0"/>
                      <a:ext cx="1986915" cy="278257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both"/>
        <w:textAlignment w:val="auto"/>
        <w:rPr>
          <w:rFonts w:hint="eastAsia" w:ascii="宋体" w:hAnsi="宋体" w:eastAsia="宋体" w:cs="Times New Roman"/>
          <w:b/>
          <w:bCs/>
          <w:color w:val="000000"/>
          <w:sz w:val="24"/>
          <w:lang w:val="en-US" w:eastAsia="zh-CN"/>
        </w:rPr>
      </w:pPr>
      <w:r>
        <w:rPr>
          <w:rFonts w:hint="eastAsia" w:ascii="宋体" w:hAnsi="宋体" w:eastAsia="宋体" w:cs="Times New Roman"/>
          <w:b/>
          <w:bCs/>
          <w:color w:val="000000"/>
          <w:sz w:val="24"/>
          <w:lang w:val="en-US" w:eastAsia="zh-CN"/>
        </w:rPr>
        <w:t>农技特岗案例一：</w:t>
      </w:r>
    </w:p>
    <w:p>
      <w:pPr>
        <w:spacing w:line="360" w:lineRule="auto"/>
        <w:ind w:firstLine="480" w:firstLineChars="200"/>
        <w:jc w:val="left"/>
        <w:rPr>
          <w:rFonts w:hint="eastAsia" w:ascii="宋体" w:hAnsi="宋体"/>
          <w:color w:val="000000"/>
          <w:sz w:val="24"/>
        </w:rPr>
      </w:pPr>
      <w:r>
        <w:rPr>
          <w:rFonts w:hint="eastAsia" w:ascii="宋体" w:hAnsi="宋体"/>
          <w:color w:val="000000"/>
          <w:sz w:val="24"/>
          <w:lang w:eastAsia="zh-CN"/>
        </w:rPr>
        <w:t>胡倩</w:t>
      </w:r>
      <w:r>
        <w:rPr>
          <w:rFonts w:hint="eastAsia" w:ascii="宋体" w:hAnsi="宋体"/>
          <w:color w:val="000000"/>
          <w:sz w:val="24"/>
        </w:rPr>
        <w:t>，女，1</w:t>
      </w:r>
      <w:r>
        <w:rPr>
          <w:rFonts w:hint="eastAsia" w:ascii="宋体" w:hAnsi="宋体"/>
          <w:color w:val="000000"/>
          <w:sz w:val="24"/>
          <w:lang w:val="en-US" w:eastAsia="zh-CN"/>
        </w:rPr>
        <w:t>8</w:t>
      </w:r>
      <w:r>
        <w:rPr>
          <w:rFonts w:hint="eastAsia" w:ascii="宋体" w:hAnsi="宋体"/>
          <w:color w:val="000000"/>
          <w:sz w:val="24"/>
        </w:rPr>
        <w:t>级</w:t>
      </w:r>
      <w:r>
        <w:rPr>
          <w:rFonts w:hint="eastAsia" w:ascii="宋体" w:hAnsi="宋体"/>
          <w:color w:val="000000"/>
          <w:sz w:val="24"/>
          <w:lang w:eastAsia="zh-CN"/>
        </w:rPr>
        <w:t>经济工程</w:t>
      </w:r>
      <w:r>
        <w:rPr>
          <w:rFonts w:hint="eastAsia" w:ascii="宋体" w:hAnsi="宋体"/>
          <w:color w:val="000000"/>
          <w:sz w:val="24"/>
          <w:lang w:val="en-US" w:eastAsia="zh-CN"/>
        </w:rPr>
        <w:t>专业学生</w:t>
      </w:r>
      <w:r>
        <w:rPr>
          <w:rFonts w:hint="eastAsia" w:ascii="宋体" w:hAnsi="宋体"/>
          <w:color w:val="000000"/>
          <w:sz w:val="24"/>
        </w:rPr>
        <w:t>，</w:t>
      </w:r>
      <w:r>
        <w:rPr>
          <w:rFonts w:ascii="宋体" w:hAnsi="宋体"/>
          <w:color w:val="000000"/>
          <w:sz w:val="24"/>
        </w:rPr>
        <w:t>202</w:t>
      </w:r>
      <w:r>
        <w:rPr>
          <w:rFonts w:hint="eastAsia" w:ascii="宋体" w:hAnsi="宋体"/>
          <w:color w:val="000000"/>
          <w:sz w:val="24"/>
          <w:lang w:val="en-US" w:eastAsia="zh-CN"/>
        </w:rPr>
        <w:t>2</w:t>
      </w:r>
      <w:r>
        <w:rPr>
          <w:rFonts w:hint="eastAsia" w:ascii="宋体" w:hAnsi="宋体"/>
          <w:color w:val="000000"/>
          <w:sz w:val="24"/>
        </w:rPr>
        <w:t>年</w:t>
      </w:r>
      <w:r>
        <w:rPr>
          <w:rFonts w:hint="eastAsia" w:ascii="宋体" w:hAnsi="宋体"/>
          <w:color w:val="000000"/>
          <w:sz w:val="24"/>
          <w:lang w:val="en-US" w:eastAsia="zh-CN"/>
        </w:rPr>
        <w:t>7</w:t>
      </w:r>
      <w:r>
        <w:rPr>
          <w:rFonts w:hint="eastAsia" w:ascii="宋体" w:hAnsi="宋体"/>
          <w:color w:val="000000"/>
          <w:sz w:val="24"/>
        </w:rPr>
        <w:t>月毕业。</w:t>
      </w:r>
    </w:p>
    <w:p>
      <w:pPr>
        <w:spacing w:line="360" w:lineRule="auto"/>
        <w:ind w:firstLine="480" w:firstLineChars="200"/>
        <w:jc w:val="left"/>
        <w:rPr>
          <w:rFonts w:hint="eastAsia" w:ascii="宋体" w:hAnsi="宋体"/>
          <w:color w:val="000000"/>
          <w:sz w:val="24"/>
          <w:lang w:eastAsia="zh-CN"/>
        </w:rPr>
      </w:pPr>
      <w:r>
        <w:rPr>
          <w:rFonts w:hint="eastAsia" w:ascii="宋体" w:hAnsi="宋体"/>
          <w:color w:val="000000"/>
          <w:sz w:val="24"/>
        </w:rPr>
        <w:t>“让青春在祖国和人民最需要的地方绽放绚丽之花。”这是习近平总书记对当代青年的殷切期盼。</w:t>
      </w:r>
      <w:r>
        <w:rPr>
          <w:rFonts w:hint="eastAsia" w:ascii="宋体" w:hAnsi="宋体"/>
          <w:color w:val="000000"/>
          <w:sz w:val="24"/>
          <w:lang w:eastAsia="zh-CN"/>
        </w:rPr>
        <w:t>基层</w:t>
      </w:r>
      <w:r>
        <w:rPr>
          <w:rFonts w:hint="eastAsia" w:ascii="宋体" w:hAnsi="宋体"/>
          <w:color w:val="000000"/>
          <w:sz w:val="24"/>
        </w:rPr>
        <w:t>岗位是一个展示自我、提升自我的最佳平台</w:t>
      </w:r>
      <w:r>
        <w:rPr>
          <w:rFonts w:hint="eastAsia" w:ascii="宋体" w:hAnsi="宋体"/>
          <w:color w:val="000000"/>
          <w:sz w:val="24"/>
          <w:lang w:eastAsia="zh-CN"/>
        </w:rPr>
        <w:t>。胡倩</w:t>
      </w:r>
      <w:r>
        <w:rPr>
          <w:rFonts w:hint="eastAsia" w:ascii="宋体" w:hAnsi="宋体"/>
          <w:color w:val="000000"/>
          <w:sz w:val="24"/>
        </w:rPr>
        <w:t>选择基层作为职业生涯的</w:t>
      </w:r>
      <w:r>
        <w:rPr>
          <w:rFonts w:hint="eastAsia" w:ascii="宋体" w:hAnsi="宋体"/>
          <w:color w:val="000000"/>
          <w:sz w:val="24"/>
          <w:lang w:val="en-US" w:eastAsia="zh-CN"/>
        </w:rPr>
        <w:t>起点</w:t>
      </w:r>
      <w:r>
        <w:rPr>
          <w:rFonts w:hint="eastAsia" w:ascii="宋体" w:hAnsi="宋体"/>
          <w:color w:val="000000"/>
          <w:sz w:val="24"/>
          <w:lang w:eastAsia="zh-CN"/>
        </w:rPr>
        <w:t>，目前服务于安徽省滁州市定远县西卅店镇政府。</w:t>
      </w:r>
    </w:p>
    <w:p>
      <w:pPr>
        <w:spacing w:line="360" w:lineRule="auto"/>
        <w:ind w:firstLine="480" w:firstLineChars="200"/>
        <w:jc w:val="left"/>
        <w:rPr>
          <w:rFonts w:hint="eastAsia" w:ascii="宋体" w:hAnsi="宋体" w:eastAsia="宋体" w:cs="Times New Roman"/>
          <w:color w:val="000000"/>
          <w:sz w:val="24"/>
          <w:lang w:eastAsia="zh-CN"/>
        </w:rPr>
      </w:pPr>
      <w:r>
        <w:rPr>
          <w:rFonts w:hint="eastAsia" w:ascii="宋体" w:hAnsi="宋体"/>
          <w:color w:val="000000"/>
          <w:sz w:val="24"/>
          <w:lang w:eastAsia="zh-CN"/>
        </w:rPr>
        <w:t>她认为“无冥冥之志者，无昭昭之明；无惛惛之事者，无赫赫之功。”读懂基层这部厚重的“无字之书”，是</w:t>
      </w:r>
      <w:r>
        <w:rPr>
          <w:rFonts w:hint="eastAsia" w:ascii="宋体" w:hAnsi="宋体" w:eastAsia="宋体" w:cs="Times New Roman"/>
          <w:color w:val="000000"/>
          <w:sz w:val="24"/>
          <w:lang w:eastAsia="zh-CN"/>
        </w:rPr>
        <w:t>每名</w:t>
      </w:r>
      <w:r>
        <w:rPr>
          <w:rFonts w:hint="eastAsia" w:ascii="宋体" w:hAnsi="宋体" w:eastAsia="宋体" w:cs="Times New Roman"/>
          <w:color w:val="000000"/>
          <w:sz w:val="24"/>
          <w:lang w:val="en-US" w:eastAsia="zh-CN"/>
        </w:rPr>
        <w:t>年轻</w:t>
      </w:r>
      <w:r>
        <w:rPr>
          <w:rFonts w:hint="eastAsia" w:ascii="宋体" w:hAnsi="宋体" w:eastAsia="宋体" w:cs="Times New Roman"/>
          <w:color w:val="000000"/>
          <w:sz w:val="24"/>
          <w:lang w:eastAsia="zh-CN"/>
        </w:rPr>
        <w:t>干部都应做好的必答题。作为一名年轻</w:t>
      </w:r>
      <w:r>
        <w:rPr>
          <w:rFonts w:hint="eastAsia" w:ascii="宋体" w:hAnsi="宋体" w:eastAsia="宋体" w:cs="Times New Roman"/>
          <w:color w:val="000000"/>
          <w:sz w:val="24"/>
          <w:lang w:val="en-US" w:eastAsia="zh-CN"/>
        </w:rPr>
        <w:t>的基层工作者</w:t>
      </w:r>
      <w:r>
        <w:rPr>
          <w:rFonts w:hint="eastAsia" w:ascii="宋体" w:hAnsi="宋体" w:eastAsia="宋体" w:cs="Times New Roman"/>
          <w:color w:val="000000"/>
          <w:sz w:val="24"/>
          <w:lang w:eastAsia="zh-CN"/>
        </w:rPr>
        <w:t>，要下沉一线，始终保持奋发昂扬的精神状态，在实践的磨砺中守初心、担使命，想干事、能干事、干成事。</w:t>
      </w:r>
    </w:p>
    <w:p>
      <w:pPr>
        <w:spacing w:line="360" w:lineRule="auto"/>
        <w:ind w:firstLine="480" w:firstLineChars="200"/>
        <w:jc w:val="center"/>
        <w:rPr>
          <w:rFonts w:hint="eastAsia" w:ascii="宋体" w:hAnsi="宋体"/>
          <w:color w:val="000000"/>
          <w:sz w:val="24"/>
          <w:lang w:eastAsia="zh-CN"/>
        </w:rPr>
      </w:pPr>
      <w:r>
        <w:rPr>
          <w:rFonts w:hint="eastAsia" w:ascii="宋体" w:hAnsi="宋体"/>
          <w:color w:val="000000"/>
          <w:sz w:val="24"/>
          <w:lang w:eastAsia="zh-CN"/>
        </w:rPr>
        <w:drawing>
          <wp:inline distT="0" distB="0" distL="114300" distR="114300">
            <wp:extent cx="2430145" cy="3239770"/>
            <wp:effectExtent l="0" t="0" r="8255" b="11430"/>
            <wp:docPr id="110" name="图片 51" descr="d58fe013dba65b38bad9dd1882e8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51" descr="d58fe013dba65b38bad9dd1882e8017"/>
                    <pic:cNvPicPr>
                      <a:picLocks noChangeAspect="1"/>
                    </pic:cNvPicPr>
                  </pic:nvPicPr>
                  <pic:blipFill>
                    <a:blip r:embed="rId81"/>
                    <a:stretch>
                      <a:fillRect/>
                    </a:stretch>
                  </pic:blipFill>
                  <pic:spPr>
                    <a:xfrm>
                      <a:off x="0" y="0"/>
                      <a:ext cx="2430145" cy="323977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both"/>
        <w:textAlignment w:val="auto"/>
        <w:rPr>
          <w:rFonts w:hint="eastAsia" w:ascii="宋体" w:hAnsi="宋体" w:eastAsia="宋体" w:cs="Times New Roman"/>
          <w:b/>
          <w:bCs/>
          <w:color w:val="000000"/>
          <w:sz w:val="24"/>
          <w:lang w:val="en-US" w:eastAsia="zh-CN"/>
        </w:rPr>
      </w:pPr>
      <w:r>
        <w:rPr>
          <w:rFonts w:hint="eastAsia" w:ascii="宋体" w:hAnsi="宋体" w:eastAsia="宋体" w:cs="Times New Roman"/>
          <w:b/>
          <w:bCs/>
          <w:color w:val="000000"/>
          <w:sz w:val="24"/>
          <w:lang w:val="en-US" w:eastAsia="zh-CN"/>
        </w:rPr>
        <w:t>农技特岗案例二：</w:t>
      </w:r>
    </w:p>
    <w:p>
      <w:pPr>
        <w:spacing w:line="360" w:lineRule="auto"/>
        <w:ind w:firstLine="480" w:firstLineChars="200"/>
        <w:rPr>
          <w:rFonts w:hint="default" w:ascii="宋体" w:hAnsi="宋体" w:eastAsia="宋体" w:cs="Times New Roman"/>
          <w:color w:val="000000"/>
          <w:sz w:val="24"/>
          <w:lang w:val="en-US" w:eastAsia="zh-CN"/>
        </w:rPr>
      </w:pPr>
      <w:r>
        <w:rPr>
          <w:rFonts w:hint="eastAsia" w:ascii="宋体" w:hAnsi="宋体" w:eastAsia="宋体" w:cs="Times New Roman"/>
          <w:color w:val="000000"/>
          <w:sz w:val="24"/>
          <w:lang w:val="en-US" w:eastAsia="zh-CN"/>
        </w:rPr>
        <w:t>房圆，女，18级会计学专业学生，2022年7月毕业。</w:t>
      </w:r>
    </w:p>
    <w:p>
      <w:pPr>
        <w:spacing w:line="360" w:lineRule="auto"/>
        <w:ind w:firstLine="480" w:firstLineChars="200"/>
        <w:rPr>
          <w:rFonts w:hint="eastAsia" w:ascii="宋体" w:hAnsi="宋体" w:eastAsia="宋体" w:cs="Times New Roman"/>
          <w:color w:val="000000"/>
          <w:sz w:val="24"/>
          <w:lang w:val="en-US" w:eastAsia="zh-CN"/>
        </w:rPr>
      </w:pPr>
      <w:r>
        <w:rPr>
          <w:rFonts w:hint="eastAsia" w:ascii="宋体" w:hAnsi="宋体" w:eastAsia="宋体" w:cs="Times New Roman"/>
          <w:color w:val="000000"/>
          <w:sz w:val="24"/>
          <w:lang w:val="en-US" w:eastAsia="zh-CN"/>
        </w:rPr>
        <w:t>在校期间，思想上，房圆作为一名共产党员，积极学习党的最新理论知识，努力做好模范带头作用。学习上，认真学习专业课程，多次获得奖学金和“三好学生”荣誉称号。生活上，尊敬师长，关心同学；积极参加社团活动,努力为别人提供力所能及的帮助。</w:t>
      </w:r>
    </w:p>
    <w:p>
      <w:pPr>
        <w:spacing w:line="360" w:lineRule="auto"/>
        <w:ind w:firstLine="480" w:firstLineChars="200"/>
        <w:rPr>
          <w:rFonts w:hint="eastAsia" w:ascii="宋体" w:hAnsi="宋体" w:eastAsia="宋体" w:cs="Times New Roman"/>
          <w:color w:val="000000"/>
          <w:sz w:val="24"/>
          <w:lang w:val="en-US" w:eastAsia="zh-CN"/>
        </w:rPr>
      </w:pPr>
      <w:r>
        <w:rPr>
          <w:rFonts w:hint="eastAsia" w:ascii="宋体" w:hAnsi="宋体" w:eastAsia="宋体" w:cs="Times New Roman"/>
          <w:color w:val="000000"/>
          <w:sz w:val="24"/>
          <w:lang w:val="en-US" w:eastAsia="zh-CN"/>
        </w:rPr>
        <w:t>毕业后，房圆选择回到了家乡，服务于青阳县农业技术推广中心，从青阳县杨田镇开始工作。正所谓“百姓利益无小事，枝枝叶叶总关情”，虽然乡镇工作纷繁复杂，但工作的点点滴滴都是在努力回应百姓的实际诉求。自今年9月份以来，走上为人民服务的幸福之路，感悟颇深。在重阳节的时候，镇里组织了党员及青年志愿者到镇里敬老院开展“情暖重阳，爱老敬老”活动，为他们送去了节日慰问和祝福。老人殷切期盼的眼神和发自肺腑的感谢，深刻地让她感觉在做一件有意义的事情，收获满满。</w:t>
      </w:r>
    </w:p>
    <w:p>
      <w:pPr>
        <w:pStyle w:val="12"/>
        <w:rPr>
          <w:rFonts w:hint="eastAsia"/>
          <w:lang w:val="en-US" w:eastAsia="zh-CN"/>
        </w:rPr>
      </w:pPr>
      <w:r>
        <w:rPr>
          <w:rFonts w:hint="eastAsia"/>
          <w:b/>
          <w:bCs/>
          <w:sz w:val="36"/>
          <w:szCs w:val="36"/>
          <w:lang w:eastAsia="zh-CN"/>
        </w:rPr>
        <w:drawing>
          <wp:inline distT="0" distB="0" distL="114300" distR="114300">
            <wp:extent cx="4276725" cy="3207385"/>
            <wp:effectExtent l="0" t="0" r="3175" b="5715"/>
            <wp:docPr id="115" name="图片 52" descr="0b2f008201d461038b401ed8ec9f3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52" descr="0b2f008201d461038b401ed8ec9f39a"/>
                    <pic:cNvPicPr>
                      <a:picLocks noChangeAspect="1"/>
                    </pic:cNvPicPr>
                  </pic:nvPicPr>
                  <pic:blipFill>
                    <a:blip r:embed="rId82"/>
                    <a:stretch>
                      <a:fillRect/>
                    </a:stretch>
                  </pic:blipFill>
                  <pic:spPr>
                    <a:xfrm>
                      <a:off x="0" y="0"/>
                      <a:ext cx="4276725" cy="320738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both"/>
        <w:textAlignment w:val="auto"/>
        <w:rPr>
          <w:rFonts w:hint="eastAsia" w:ascii="宋体" w:hAnsi="宋体"/>
          <w:b/>
          <w:bCs/>
          <w:color w:val="000000"/>
          <w:sz w:val="24"/>
          <w:lang w:val="en-US" w:eastAsia="zh-CN"/>
        </w:rPr>
      </w:pPr>
      <w:r>
        <w:rPr>
          <w:rFonts w:hint="eastAsia" w:ascii="宋体" w:hAnsi="宋体"/>
          <w:b/>
          <w:bCs/>
          <w:color w:val="000000"/>
          <w:sz w:val="24"/>
          <w:lang w:val="en-US" w:eastAsia="zh-CN"/>
        </w:rPr>
        <w:t>社区工作者案例一：</w:t>
      </w:r>
    </w:p>
    <w:p>
      <w:pPr>
        <w:spacing w:line="360" w:lineRule="auto"/>
        <w:ind w:firstLine="480" w:firstLineChars="200"/>
        <w:jc w:val="left"/>
        <w:rPr>
          <w:rFonts w:hint="eastAsia" w:ascii="宋体" w:hAnsi="宋体" w:eastAsia="宋体" w:cs="Times New Roman"/>
          <w:color w:val="000000"/>
          <w:sz w:val="24"/>
          <w:highlight w:val="none"/>
          <w:lang w:val="en-US" w:eastAsia="zh-CN"/>
        </w:rPr>
      </w:pPr>
      <w:r>
        <w:rPr>
          <w:rFonts w:hint="eastAsia" w:ascii="宋体" w:hAnsi="宋体" w:eastAsia="宋体" w:cs="Times New Roman"/>
          <w:color w:val="000000"/>
          <w:sz w:val="24"/>
          <w:highlight w:val="none"/>
          <w:lang w:val="en-US" w:eastAsia="zh-CN"/>
        </w:rPr>
        <w:t>庄志辉，男，18级经济工程（3+1）专业学生，2022年7月毕业。</w:t>
      </w:r>
    </w:p>
    <w:p>
      <w:pPr>
        <w:spacing w:line="360" w:lineRule="auto"/>
        <w:ind w:firstLine="480" w:firstLineChars="200"/>
        <w:jc w:val="left"/>
        <w:rPr>
          <w:rFonts w:hint="eastAsia" w:ascii="宋体" w:hAnsi="宋体" w:eastAsia="宋体" w:cs="Times New Roman"/>
          <w:color w:val="000000"/>
          <w:sz w:val="24"/>
          <w:highlight w:val="none"/>
          <w:lang w:val="en-US" w:eastAsia="zh-CN"/>
        </w:rPr>
      </w:pPr>
      <w:r>
        <w:rPr>
          <w:rFonts w:hint="eastAsia" w:ascii="宋体" w:hAnsi="宋体" w:eastAsia="宋体" w:cs="Times New Roman"/>
          <w:color w:val="000000"/>
          <w:sz w:val="24"/>
          <w:highlight w:val="none"/>
          <w:lang w:val="en-US" w:eastAsia="zh-CN"/>
        </w:rPr>
        <w:t>在校期间，庄志辉同志各方面表现都很优异，坚定正确的政治方向，积极入党，性格沉稳，踏实学习，获得多项荣誉；办事认真负责，乐于助人，乐于分享，是一名优秀的当代大学生。</w:t>
      </w:r>
    </w:p>
    <w:p>
      <w:pPr>
        <w:spacing w:line="360" w:lineRule="auto"/>
        <w:ind w:firstLine="480" w:firstLineChars="200"/>
        <w:jc w:val="left"/>
        <w:rPr>
          <w:rFonts w:hint="eastAsia" w:ascii="宋体" w:hAnsi="宋体" w:eastAsia="宋体" w:cs="Times New Roman"/>
          <w:color w:val="000000"/>
          <w:sz w:val="24"/>
          <w:highlight w:val="none"/>
          <w:lang w:val="en-US" w:eastAsia="zh-CN"/>
        </w:rPr>
      </w:pPr>
      <w:r>
        <w:rPr>
          <w:rFonts w:hint="eastAsia" w:ascii="宋体" w:hAnsi="宋体" w:eastAsia="宋体" w:cs="Times New Roman"/>
          <w:color w:val="000000"/>
          <w:sz w:val="24"/>
          <w:highlight w:val="none"/>
          <w:lang w:val="en-US" w:eastAsia="zh-CN"/>
        </w:rPr>
        <w:t>谈及为何报考社区“小管家”，他说道：有人说，在社区工作，办的都是家长里短的琐碎事。大学生出来就应该办大事，不应拘泥于此。但是，广大人民的幸福又何不是大事？没有下基层接近百姓生活，了解百姓诉求，为百姓办实事，替百姓谋幸福，又怎能办成大事。</w:t>
      </w:r>
    </w:p>
    <w:p>
      <w:pPr>
        <w:spacing w:line="360" w:lineRule="auto"/>
        <w:ind w:firstLine="480" w:firstLineChars="200"/>
        <w:jc w:val="left"/>
        <w:rPr>
          <w:rFonts w:hint="eastAsia" w:ascii="宋体" w:hAnsi="宋体" w:eastAsia="宋体" w:cs="Times New Roman"/>
          <w:color w:val="000000"/>
          <w:sz w:val="24"/>
          <w:highlight w:val="none"/>
          <w:lang w:val="en-US" w:eastAsia="zh-CN"/>
        </w:rPr>
      </w:pPr>
      <w:r>
        <w:rPr>
          <w:rFonts w:hint="eastAsia" w:ascii="宋体" w:hAnsi="宋体" w:eastAsia="宋体" w:cs="Times New Roman"/>
          <w:color w:val="000000"/>
          <w:sz w:val="24"/>
          <w:highlight w:val="none"/>
          <w:lang w:val="en-US" w:eastAsia="zh-CN"/>
        </w:rPr>
        <w:t>来芜湖路街道城南社区已经小半年了。在这半年里，我们小管家经历了爱国文明运动，参与建设好和谐美丽家园；经历了全民核酸检测，配合处理好疫情防控工作。同时，我们也参与了大大小小的民生活动：协助银行工作人员为辖区退休居民更换三代社保卡；协助慈善机构工作人员开展慈善义卖，为重病患者提供资助；协助医生开展口腔义诊进社区，为辖区居民免费检查口腔疾病等。</w:t>
      </w:r>
    </w:p>
    <w:p>
      <w:pPr>
        <w:spacing w:line="360" w:lineRule="auto"/>
        <w:ind w:firstLine="480" w:firstLineChars="200"/>
        <w:jc w:val="left"/>
        <w:rPr>
          <w:rFonts w:hint="eastAsia" w:ascii="宋体" w:hAnsi="宋体" w:eastAsia="宋体" w:cs="Times New Roman"/>
          <w:color w:val="000000"/>
          <w:sz w:val="24"/>
          <w:highlight w:val="none"/>
          <w:lang w:val="en-US" w:eastAsia="zh-CN"/>
        </w:rPr>
      </w:pPr>
      <w:r>
        <w:rPr>
          <w:rFonts w:hint="eastAsia" w:ascii="宋体" w:hAnsi="宋体" w:eastAsia="宋体" w:cs="Times New Roman"/>
          <w:color w:val="000000"/>
          <w:sz w:val="24"/>
          <w:highlight w:val="none"/>
          <w:lang w:val="en-US" w:eastAsia="zh-CN"/>
        </w:rPr>
        <w:t>对于庄志辉同志的现实表现，社区主要负责人说道：该同志迅速完成了身份的转变，能够较好地沉淀学生时代浮躁的心性，热爱工作。对于安排的任务不拖沓，对于面临的挑战不回避。尤其在疫情爆发期间，作为封控小区疫情防控人员，不怕吃苦，心思细腻，积极协助配合，处理好所分配的各项工作。同时，该同志沟通能力以及语言组织能力尚可，在迅速熟悉小区的基本情况后能够初步协调邻里之间的矛盾，在微信群里积极为居民答疑解惑。对于电话沟通的语言组织还有待改进。对于分配到的其他业务，在这半年里该同志也认真学习，善于观察有资历的社区工作者处理业务时的细节，有较好的学习能力。自入职以来积极融入社区大家庭，与同事和睦相处，发挥党员先锋模范作用，乐于将信息与同事分享，能较好地胜任社区工作。</w:t>
      </w:r>
    </w:p>
    <w:p>
      <w:pPr>
        <w:spacing w:line="360" w:lineRule="auto"/>
        <w:ind w:firstLine="480" w:firstLineChars="200"/>
        <w:jc w:val="left"/>
        <w:rPr>
          <w:rFonts w:hint="eastAsia" w:ascii="宋体" w:hAnsi="宋体" w:eastAsia="宋体" w:cs="Times New Roman"/>
          <w:color w:val="000000"/>
          <w:sz w:val="24"/>
          <w:highlight w:val="none"/>
          <w:lang w:val="en-US" w:eastAsia="zh-CN"/>
        </w:rPr>
      </w:pPr>
      <w:r>
        <w:rPr>
          <w:rFonts w:hint="eastAsia" w:ascii="宋体" w:hAnsi="宋体" w:eastAsia="宋体" w:cs="Times New Roman"/>
          <w:color w:val="000000"/>
          <w:sz w:val="24"/>
          <w:highlight w:val="none"/>
          <w:lang w:val="en-US" w:eastAsia="zh-CN"/>
        </w:rPr>
        <w:t>在半年工作里，庄志辉同志在社区前辈们的指导下得到了充分的锻炼，已经基本完成了身份的转变，手里的工作也慢慢地游刃有余。他表示，在未来的工作中，会继续在基层沉淀浮躁，磨炼心性。做到在工作之中培养自己能力，丰富自己阅历；在工作之余拓宽自己能力，提高自己学历。努力让自己更加优秀，与社区共同创造一个温馨和谐美满的大家庭，实现自身的价值。</w:t>
      </w:r>
    </w:p>
    <w:p>
      <w:pPr>
        <w:spacing w:line="360" w:lineRule="auto"/>
        <w:jc w:val="center"/>
        <w:rPr>
          <w:rFonts w:hint="eastAsia" w:ascii="宋体" w:hAnsi="宋体" w:eastAsia="宋体" w:cs="Times New Roman"/>
          <w:color w:val="000000"/>
          <w:sz w:val="24"/>
          <w:lang w:val="en-US" w:eastAsia="zh-CN"/>
        </w:rPr>
      </w:pPr>
      <w:r>
        <w:rPr>
          <w:rFonts w:hint="eastAsia" w:eastAsia="宋体"/>
          <w:lang w:eastAsia="zh-CN"/>
        </w:rPr>
        <w:drawing>
          <wp:inline distT="0" distB="0" distL="114300" distR="114300">
            <wp:extent cx="4276725" cy="3207385"/>
            <wp:effectExtent l="0" t="0" r="3175" b="5715"/>
            <wp:docPr id="111" name="图片 53" descr="微信图片_20220909153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53" descr="微信图片_20220909153918"/>
                    <pic:cNvPicPr>
                      <a:picLocks noChangeAspect="1"/>
                    </pic:cNvPicPr>
                  </pic:nvPicPr>
                  <pic:blipFill>
                    <a:blip r:embed="rId83"/>
                    <a:stretch>
                      <a:fillRect/>
                    </a:stretch>
                  </pic:blipFill>
                  <pic:spPr>
                    <a:xfrm>
                      <a:off x="0" y="0"/>
                      <a:ext cx="4276725" cy="320738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both"/>
        <w:textAlignment w:val="auto"/>
        <w:rPr>
          <w:rFonts w:hint="eastAsia" w:ascii="宋体" w:hAnsi="宋体"/>
          <w:b/>
          <w:bCs/>
          <w:color w:val="000000"/>
          <w:sz w:val="24"/>
          <w:lang w:val="en-US" w:eastAsia="zh-CN"/>
        </w:rPr>
      </w:pPr>
      <w:r>
        <w:rPr>
          <w:rFonts w:hint="eastAsia" w:ascii="宋体" w:hAnsi="宋体"/>
          <w:b/>
          <w:bCs/>
          <w:color w:val="000000"/>
          <w:sz w:val="24"/>
          <w:lang w:val="en-US" w:eastAsia="zh-CN"/>
        </w:rPr>
        <w:t>社区工作者案例二：</w:t>
      </w:r>
    </w:p>
    <w:p>
      <w:pPr>
        <w:adjustRightInd w:val="0"/>
        <w:snapToGrid w:val="0"/>
        <w:spacing w:line="360" w:lineRule="auto"/>
        <w:ind w:firstLine="480" w:firstLineChars="200"/>
        <w:rPr>
          <w:rFonts w:hint="eastAsia" w:ascii="宋体" w:hAnsi="宋体" w:eastAsia="宋体" w:cs="Times New Roman"/>
          <w:color w:val="000000"/>
          <w:sz w:val="24"/>
          <w:highlight w:val="none"/>
          <w:lang w:val="en-US" w:eastAsia="zh-CN"/>
        </w:rPr>
      </w:pPr>
      <w:r>
        <w:rPr>
          <w:rFonts w:hint="eastAsia" w:ascii="宋体" w:hAnsi="宋体" w:eastAsia="宋体" w:cs="Times New Roman"/>
          <w:color w:val="000000"/>
          <w:sz w:val="24"/>
          <w:highlight w:val="none"/>
          <w:lang w:val="en-US" w:eastAsia="zh-CN"/>
        </w:rPr>
        <w:t>张小迪，女，18级会计学专业学生，2022年7月毕业。</w:t>
      </w:r>
    </w:p>
    <w:p>
      <w:pPr>
        <w:adjustRightInd w:val="0"/>
        <w:snapToGrid w:val="0"/>
        <w:spacing w:line="360" w:lineRule="auto"/>
        <w:ind w:firstLine="480" w:firstLineChars="200"/>
        <w:rPr>
          <w:rFonts w:hint="eastAsia" w:ascii="宋体" w:hAnsi="宋体" w:eastAsia="宋体" w:cs="Times New Roman"/>
          <w:color w:val="000000"/>
          <w:sz w:val="24"/>
          <w:highlight w:val="none"/>
          <w:lang w:val="en-US" w:eastAsia="zh-CN"/>
        </w:rPr>
      </w:pPr>
      <w:r>
        <w:rPr>
          <w:rFonts w:hint="eastAsia" w:ascii="宋体" w:hAnsi="宋体" w:eastAsia="宋体" w:cs="Times New Roman"/>
          <w:color w:val="000000"/>
          <w:sz w:val="24"/>
          <w:highlight w:val="none"/>
          <w:lang w:val="en-US" w:eastAsia="zh-CN"/>
        </w:rPr>
        <w:t>张小迪在校期间，除了认真学习专业课程之外，经常会用闲暇时间考证提升自己，参加校园社团活动和志愿服务活动等。在母校的培育下，张小迪在学业与人际关系处理能力等方面收获颇丰。</w:t>
      </w:r>
    </w:p>
    <w:p>
      <w:pPr>
        <w:adjustRightInd w:val="0"/>
        <w:snapToGrid w:val="0"/>
        <w:spacing w:line="360" w:lineRule="auto"/>
        <w:ind w:firstLine="480" w:firstLineChars="200"/>
        <w:rPr>
          <w:rFonts w:hint="eastAsia" w:ascii="宋体" w:hAnsi="宋体" w:eastAsia="宋体" w:cs="Times New Roman"/>
          <w:color w:val="000000"/>
          <w:sz w:val="24"/>
          <w:highlight w:val="none"/>
          <w:lang w:val="en-US" w:eastAsia="zh-CN"/>
        </w:rPr>
      </w:pPr>
      <w:r>
        <w:rPr>
          <w:rFonts w:hint="eastAsia" w:ascii="宋体" w:hAnsi="宋体" w:eastAsia="宋体" w:cs="Times New Roman"/>
          <w:color w:val="000000"/>
          <w:sz w:val="24"/>
          <w:highlight w:val="none"/>
          <w:lang w:val="en-US" w:eastAsia="zh-CN"/>
        </w:rPr>
        <w:t>毕业季的来临，走出了校门，没有选择考研的张小迪面临找工作的抉择。适逢合肥市政府发布公开招考“社区小管家”的公告以充实合肥基层治理力量，于是她便选择了加入合肥基层单位。经过一系列招考程序，张小迪正式的成为了蜀山区五里墩街道的一名社区小管家。</w:t>
      </w:r>
    </w:p>
    <w:p>
      <w:pPr>
        <w:adjustRightInd w:val="0"/>
        <w:snapToGrid w:val="0"/>
        <w:spacing w:line="360" w:lineRule="auto"/>
        <w:ind w:firstLine="480" w:firstLineChars="200"/>
        <w:rPr>
          <w:rFonts w:hint="eastAsia" w:ascii="宋体" w:hAnsi="宋体" w:eastAsia="宋体" w:cs="Times New Roman"/>
          <w:color w:val="000000"/>
          <w:sz w:val="24"/>
          <w:highlight w:val="none"/>
          <w:lang w:val="en-US" w:eastAsia="zh-CN"/>
        </w:rPr>
      </w:pPr>
      <w:r>
        <w:rPr>
          <w:rFonts w:hint="eastAsia" w:ascii="宋体" w:hAnsi="宋体" w:eastAsia="宋体" w:cs="Times New Roman"/>
          <w:color w:val="000000"/>
          <w:sz w:val="24"/>
          <w:highlight w:val="none"/>
          <w:lang w:val="en-US" w:eastAsia="zh-CN"/>
        </w:rPr>
        <w:t>入职伊始，张小迪就感受到了街道和社区同事们的温暖与友善。蜀山区开展了“导师带教，护苗逐梦”工作，每一位小管家在工作中都有专门的导师带教。经过相处，导师既是张小迪的同事，也成为了她的好朋友。</w:t>
      </w:r>
    </w:p>
    <w:p>
      <w:pPr>
        <w:adjustRightInd w:val="0"/>
        <w:snapToGrid w:val="0"/>
        <w:spacing w:line="360" w:lineRule="auto"/>
        <w:ind w:firstLine="480" w:firstLineChars="200"/>
        <w:rPr>
          <w:rFonts w:hint="eastAsia" w:ascii="宋体" w:hAnsi="宋体" w:eastAsia="宋体" w:cs="Times New Roman"/>
          <w:color w:val="000000"/>
          <w:sz w:val="24"/>
          <w:highlight w:val="none"/>
          <w:lang w:val="en-US" w:eastAsia="zh-CN"/>
        </w:rPr>
      </w:pPr>
      <w:r>
        <w:rPr>
          <w:rFonts w:hint="eastAsia" w:ascii="宋体" w:hAnsi="宋体" w:eastAsia="宋体" w:cs="Times New Roman"/>
          <w:color w:val="000000"/>
          <w:sz w:val="24"/>
          <w:highlight w:val="none"/>
          <w:lang w:val="en-US" w:eastAsia="zh-CN"/>
        </w:rPr>
        <w:t>10月以来，合肥面临今年以来前所未有的疫情防控压力。张小迪作为一名基层工作人员，每日披星戴月，注意力高度集中，核验双码掌握外来人员身体情况，开展核酸检测筛查涉疫人员，力争在第一时间切断传染链条，保障全市人民生命健康安全。</w:t>
      </w:r>
    </w:p>
    <w:p>
      <w:pPr>
        <w:adjustRightInd w:val="0"/>
        <w:snapToGrid w:val="0"/>
        <w:spacing w:line="360" w:lineRule="auto"/>
        <w:ind w:firstLine="480" w:firstLineChars="200"/>
        <w:rPr>
          <w:rFonts w:hint="eastAsia" w:ascii="宋体" w:hAnsi="宋体" w:eastAsia="宋体" w:cs="Times New Roman"/>
          <w:color w:val="000000"/>
          <w:sz w:val="24"/>
          <w:highlight w:val="none"/>
          <w:lang w:val="en-US" w:eastAsia="zh-CN"/>
        </w:rPr>
      </w:pPr>
      <w:r>
        <w:rPr>
          <w:rFonts w:hint="eastAsia" w:ascii="宋体" w:hAnsi="宋体" w:eastAsia="宋体" w:cs="Times New Roman"/>
          <w:color w:val="000000"/>
          <w:sz w:val="24"/>
          <w:highlight w:val="none"/>
          <w:lang w:val="en-US" w:eastAsia="zh-CN"/>
        </w:rPr>
        <w:t>张小迪虽然没有从事专业对口的财务工作，但是专业培养了她仔细、认真的工作态度，对基层工作大有帮助。不管是过去还是将来，张小迪会一直在合肥基层工作中为人民服务，在自己的岗位上发光发热。</w:t>
      </w:r>
    </w:p>
    <w:p>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center"/>
        <w:textAlignment w:val="auto"/>
        <w:rPr>
          <w:rFonts w:hint="eastAsia" w:ascii="宋体" w:hAnsi="宋体"/>
          <w:b/>
          <w:bCs/>
          <w:color w:val="000000"/>
          <w:sz w:val="24"/>
          <w:lang w:val="en-US" w:eastAsia="zh-CN"/>
        </w:rPr>
      </w:pPr>
      <w:r>
        <w:rPr>
          <w:rFonts w:hint="default"/>
          <w:lang w:val="en-US" w:eastAsia="zh-CN"/>
        </w:rPr>
        <w:drawing>
          <wp:inline distT="0" distB="0" distL="114300" distR="114300">
            <wp:extent cx="1986915" cy="2764790"/>
            <wp:effectExtent l="0" t="0" r="6985" b="3810"/>
            <wp:docPr id="112" name="图片 54" descr="白底证件照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54" descr="白底证件照1"/>
                    <pic:cNvPicPr>
                      <a:picLocks noChangeAspect="1"/>
                    </pic:cNvPicPr>
                  </pic:nvPicPr>
                  <pic:blipFill>
                    <a:blip r:embed="rId84"/>
                    <a:stretch>
                      <a:fillRect/>
                    </a:stretch>
                  </pic:blipFill>
                  <pic:spPr>
                    <a:xfrm>
                      <a:off x="0" y="0"/>
                      <a:ext cx="1986915" cy="276479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both"/>
        <w:textAlignment w:val="auto"/>
        <w:rPr>
          <w:rFonts w:hint="eastAsia" w:ascii="宋体" w:hAnsi="宋体"/>
          <w:b/>
          <w:bCs/>
          <w:color w:val="000000"/>
          <w:sz w:val="24"/>
          <w:lang w:val="en-US" w:eastAsia="zh-CN"/>
        </w:rPr>
      </w:pPr>
      <w:r>
        <w:rPr>
          <w:rFonts w:hint="eastAsia" w:ascii="宋体" w:hAnsi="宋体"/>
          <w:b/>
          <w:bCs/>
          <w:color w:val="000000"/>
          <w:sz w:val="24"/>
          <w:lang w:val="en-US" w:eastAsia="zh-CN"/>
        </w:rPr>
        <w:t>社区工作者案例三：</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eastAsia" w:ascii="宋体" w:hAnsi="宋体"/>
          <w:color w:val="000000"/>
          <w:sz w:val="24"/>
        </w:rPr>
      </w:pPr>
      <w:r>
        <w:rPr>
          <w:rFonts w:hint="eastAsia" w:ascii="宋体" w:hAnsi="宋体"/>
          <w:color w:val="000000"/>
          <w:sz w:val="24"/>
        </w:rPr>
        <w:t>部景淳，女，18级中德物流管理</w:t>
      </w:r>
      <w:r>
        <w:rPr>
          <w:rFonts w:hint="eastAsia" w:ascii="宋体" w:hAnsi="宋体"/>
          <w:color w:val="000000"/>
          <w:sz w:val="24"/>
          <w:lang w:val="en-US" w:eastAsia="zh-CN"/>
        </w:rPr>
        <w:t>专业学生</w:t>
      </w:r>
      <w:r>
        <w:rPr>
          <w:rFonts w:hint="eastAsia" w:ascii="宋体" w:hAnsi="宋体"/>
          <w:color w:val="000000"/>
          <w:sz w:val="24"/>
        </w:rPr>
        <w:t>，2022年7月毕业。</w:t>
      </w:r>
    </w:p>
    <w:p>
      <w:pPr>
        <w:adjustRightInd w:val="0"/>
        <w:snapToGrid w:val="0"/>
        <w:spacing w:line="360" w:lineRule="auto"/>
        <w:ind w:firstLine="480" w:firstLineChars="200"/>
        <w:rPr>
          <w:rFonts w:hint="eastAsia" w:ascii="宋体" w:hAnsi="宋体" w:eastAsia="宋体" w:cs="Times New Roman"/>
          <w:color w:val="000000"/>
          <w:sz w:val="24"/>
        </w:rPr>
      </w:pPr>
      <w:r>
        <w:rPr>
          <w:rFonts w:hint="eastAsia" w:ascii="宋体" w:hAnsi="宋体"/>
          <w:color w:val="000000"/>
          <w:sz w:val="24"/>
        </w:rPr>
        <w:t>在校期间，部景淳</w:t>
      </w:r>
      <w:r>
        <w:rPr>
          <w:rFonts w:hint="eastAsia" w:ascii="宋体" w:hAnsi="宋体"/>
          <w:color w:val="000000"/>
          <w:sz w:val="24"/>
          <w:lang w:val="en-US" w:eastAsia="zh-CN"/>
        </w:rPr>
        <w:t>同学</w:t>
      </w:r>
      <w:r>
        <w:rPr>
          <w:rFonts w:hint="eastAsia" w:ascii="宋体" w:hAnsi="宋体"/>
          <w:color w:val="000000"/>
          <w:sz w:val="24"/>
        </w:rPr>
        <w:t>学习态度端正，成绩优良，尊敬</w:t>
      </w:r>
      <w:r>
        <w:rPr>
          <w:rFonts w:hint="eastAsia" w:ascii="宋体" w:hAnsi="宋体" w:eastAsia="宋体" w:cs="Times New Roman"/>
          <w:color w:val="000000"/>
          <w:sz w:val="24"/>
        </w:rPr>
        <w:t>师长，为⼈诚恳，踏实认真，能吃苦耐劳，具有较高的团队意识及协作精神。</w:t>
      </w:r>
    </w:p>
    <w:p>
      <w:pPr>
        <w:adjustRightInd w:val="0"/>
        <w:snapToGrid w:val="0"/>
        <w:spacing w:line="360" w:lineRule="auto"/>
        <w:ind w:firstLine="480" w:firstLineChars="200"/>
        <w:rPr>
          <w:rFonts w:hint="default" w:ascii="宋体" w:hAnsi="宋体" w:eastAsia="宋体"/>
          <w:color w:val="000000"/>
          <w:sz w:val="24"/>
          <w:lang w:val="en-US" w:eastAsia="zh-CN"/>
        </w:rPr>
      </w:pPr>
      <w:r>
        <w:rPr>
          <w:rFonts w:hint="eastAsia" w:ascii="宋体" w:hAnsi="宋体"/>
          <w:color w:val="000000"/>
          <w:sz w:val="24"/>
        </w:rPr>
        <w:t>部景淳</w:t>
      </w:r>
      <w:r>
        <w:rPr>
          <w:rFonts w:hint="eastAsia" w:ascii="宋体" w:hAnsi="宋体"/>
          <w:color w:val="000000"/>
          <w:sz w:val="24"/>
          <w:lang w:val="en-US" w:eastAsia="zh-CN"/>
        </w:rPr>
        <w:t>顺利</w:t>
      </w:r>
      <w:r>
        <w:rPr>
          <w:rFonts w:hint="eastAsia" w:ascii="宋体" w:hAnsi="宋体"/>
          <w:color w:val="000000"/>
          <w:sz w:val="24"/>
        </w:rPr>
        <w:t>成</w:t>
      </w:r>
      <w:r>
        <w:rPr>
          <w:rFonts w:hint="eastAsia" w:ascii="宋体" w:hAnsi="宋体"/>
          <w:color w:val="000000"/>
          <w:sz w:val="24"/>
          <w:lang w:eastAsia="zh-CN"/>
        </w:rPr>
        <w:t>为了</w:t>
      </w:r>
      <w:r>
        <w:rPr>
          <w:rFonts w:hint="eastAsia" w:ascii="宋体" w:hAnsi="宋体"/>
          <w:color w:val="000000"/>
          <w:sz w:val="24"/>
        </w:rPr>
        <w:t>一名社区工作者</w:t>
      </w:r>
      <w:r>
        <w:rPr>
          <w:rFonts w:hint="eastAsia" w:ascii="宋体" w:hAnsi="宋体"/>
          <w:color w:val="000000"/>
          <w:sz w:val="24"/>
          <w:lang w:eastAsia="zh-CN"/>
        </w:rPr>
        <w:t>，</w:t>
      </w:r>
      <w:r>
        <w:rPr>
          <w:rFonts w:hint="eastAsia" w:ascii="宋体" w:hAnsi="宋体"/>
          <w:color w:val="000000"/>
          <w:sz w:val="24"/>
        </w:rPr>
        <w:t>服务于大连市沙河口区西安路街道永联社区。谈及为何选择报考基层单位，她说到，</w:t>
      </w:r>
      <w:r>
        <w:rPr>
          <w:rFonts w:hint="eastAsia" w:ascii="宋体" w:hAnsi="宋体"/>
          <w:color w:val="000000"/>
          <w:sz w:val="24"/>
          <w:lang w:val="en-US" w:eastAsia="zh-CN"/>
        </w:rPr>
        <w:t>新时代对</w:t>
      </w:r>
      <w:r>
        <w:rPr>
          <w:rFonts w:hint="eastAsia" w:ascii="宋体" w:hAnsi="宋体"/>
          <w:color w:val="000000"/>
          <w:sz w:val="24"/>
        </w:rPr>
        <w:t>社区</w:t>
      </w:r>
      <w:r>
        <w:rPr>
          <w:rFonts w:hint="eastAsia" w:ascii="宋体" w:hAnsi="宋体"/>
          <w:color w:val="000000"/>
          <w:sz w:val="24"/>
          <w:lang w:val="en-US" w:eastAsia="zh-CN"/>
        </w:rPr>
        <w:t>工作提出更高要求，尤其常态化疫情防控以来，社区工作者更要有理想、有本领、有担当。到基层去、到群众中去是作为一名中共党员应有的精气神。在</w:t>
      </w:r>
      <w:r>
        <w:rPr>
          <w:rFonts w:hint="eastAsia" w:ascii="宋体" w:hAnsi="宋体"/>
          <w:color w:val="000000"/>
          <w:sz w:val="24"/>
        </w:rPr>
        <w:t>实际</w:t>
      </w:r>
      <w:r>
        <w:rPr>
          <w:rFonts w:hint="eastAsia" w:ascii="宋体" w:hAnsi="宋体"/>
          <w:color w:val="000000"/>
          <w:sz w:val="24"/>
          <w:lang w:val="en-US" w:eastAsia="zh-CN"/>
        </w:rPr>
        <w:t>工作中，更要扎根社区，深耕细作，助力社区治理构建新模式。</w:t>
      </w:r>
    </w:p>
    <w:p>
      <w:pPr>
        <w:adjustRightInd w:val="0"/>
        <w:snapToGrid w:val="0"/>
        <w:spacing w:line="360" w:lineRule="auto"/>
        <w:jc w:val="center"/>
      </w:pPr>
      <w:r>
        <w:drawing>
          <wp:inline distT="0" distB="0" distL="114300" distR="114300">
            <wp:extent cx="2430145" cy="3301365"/>
            <wp:effectExtent l="0" t="0" r="8255" b="635"/>
            <wp:docPr id="114" name="图片 55" descr="/private/var/mobile/Containers/Data/Application/C548743C-4CF5-41B6-843A-4141B4AB7813/tmp/insert_image_tmp_dir/2022-12-17 14:49:52.770000.png2022-12-17 14:49:52.77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55" descr="/private/var/mobile/Containers/Data/Application/C548743C-4CF5-41B6-843A-4141B4AB7813/tmp/insert_image_tmp_dir/2022-12-17 14:49:52.770000.png2022-12-17 14:49:52.770000"/>
                    <pic:cNvPicPr preferRelativeResize="0">
                      <a:picLocks noChangeAspect="1"/>
                    </pic:cNvPicPr>
                  </pic:nvPicPr>
                  <pic:blipFill>
                    <a:blip r:embed="rId85"/>
                    <a:stretch>
                      <a:fillRect/>
                    </a:stretch>
                  </pic:blipFill>
                  <pic:spPr>
                    <a:xfrm>
                      <a:off x="0" y="0"/>
                      <a:ext cx="2430145" cy="3301365"/>
                    </a:xfrm>
                    <a:prstGeom prst="rect">
                      <a:avLst/>
                    </a:prstGeom>
                    <a:noFill/>
                    <a:ln>
                      <a:noFill/>
                    </a:ln>
                  </pic:spPr>
                </pic:pic>
              </a:graphicData>
            </a:graphic>
          </wp:inline>
        </w:drawing>
      </w:r>
    </w:p>
    <w:p>
      <w:pPr>
        <w:spacing w:line="360" w:lineRule="auto"/>
        <w:ind w:firstLine="482" w:firstLineChars="200"/>
        <w:jc w:val="left"/>
        <w:rPr>
          <w:b/>
          <w:color w:val="000000"/>
          <w:sz w:val="24"/>
        </w:rPr>
      </w:pPr>
      <w:r>
        <w:rPr>
          <w:rFonts w:hint="eastAsia"/>
          <w:b/>
          <w:color w:val="000000"/>
          <w:sz w:val="24"/>
        </w:rPr>
        <w:t>第八部分：经管学院毕业生创业情况及典型案例</w:t>
      </w:r>
    </w:p>
    <w:p>
      <w:pPr>
        <w:spacing w:line="360" w:lineRule="auto"/>
        <w:ind w:firstLine="480" w:firstLineChars="200"/>
        <w:jc w:val="left"/>
        <w:rPr>
          <w:rFonts w:hint="eastAsia"/>
          <w:color w:val="000000"/>
          <w:sz w:val="24"/>
        </w:rPr>
      </w:pPr>
      <w:r>
        <w:rPr>
          <w:rFonts w:hint="eastAsia"/>
          <w:color w:val="000000"/>
          <w:sz w:val="24"/>
        </w:rPr>
        <w:t>学院积极响应国家号召，大力倡导大学生创新创业实践活动。学院开设的大学生创新创业课程，学院积极承办、组织大学生各级创新创业比赛，孵化培育大学生创业项目。以下是我院毕业生创业就业典型案例：</w:t>
      </w:r>
    </w:p>
    <w:p>
      <w:pPr>
        <w:spacing w:line="360" w:lineRule="auto"/>
        <w:ind w:firstLine="482" w:firstLineChars="200"/>
        <w:jc w:val="left"/>
        <w:rPr>
          <w:rFonts w:ascii="宋体" w:hAnsi="宋体"/>
          <w:color w:val="000000"/>
          <w:sz w:val="24"/>
        </w:rPr>
      </w:pPr>
      <w:r>
        <w:rPr>
          <w:b/>
          <w:color w:val="000000"/>
          <w:sz w:val="24"/>
        </w:rPr>
        <w:t>姓名：</w:t>
      </w:r>
      <w:r>
        <w:rPr>
          <w:rFonts w:hint="eastAsia" w:ascii="宋体" w:hAnsi="宋体"/>
          <w:color w:val="000000"/>
          <w:sz w:val="24"/>
        </w:rPr>
        <w:t>梁路路</w:t>
      </w:r>
      <w:r>
        <w:rPr>
          <w:rFonts w:ascii="宋体" w:hAnsi="宋体"/>
          <w:color w:val="000000"/>
          <w:sz w:val="24"/>
        </w:rPr>
        <w:t xml:space="preserve"> </w:t>
      </w:r>
    </w:p>
    <w:p>
      <w:pPr>
        <w:spacing w:line="360" w:lineRule="auto"/>
        <w:ind w:firstLine="482" w:firstLineChars="200"/>
        <w:jc w:val="left"/>
        <w:rPr>
          <w:rFonts w:hint="default" w:eastAsia="宋体"/>
          <w:b/>
          <w:color w:val="000000"/>
          <w:sz w:val="24"/>
          <w:lang w:val="en-US" w:eastAsia="zh-CN"/>
        </w:rPr>
      </w:pPr>
      <w:r>
        <w:rPr>
          <w:b/>
          <w:color w:val="000000"/>
          <w:sz w:val="24"/>
        </w:rPr>
        <w:t>专业</w:t>
      </w:r>
      <w:r>
        <w:rPr>
          <w:rFonts w:hint="eastAsia"/>
          <w:b/>
          <w:color w:val="000000"/>
          <w:sz w:val="24"/>
        </w:rPr>
        <w:t>班级</w:t>
      </w:r>
      <w:r>
        <w:rPr>
          <w:b/>
          <w:color w:val="000000"/>
          <w:sz w:val="24"/>
        </w:rPr>
        <w:t>：</w:t>
      </w:r>
      <w:r>
        <w:rPr>
          <w:rFonts w:hint="eastAsia"/>
          <w:b w:val="0"/>
          <w:bCs/>
          <w:color w:val="000000"/>
          <w:sz w:val="24"/>
          <w:lang w:val="en-US" w:eastAsia="zh-CN"/>
        </w:rPr>
        <w:t>18级经济工程专业</w:t>
      </w:r>
    </w:p>
    <w:p>
      <w:pPr>
        <w:spacing w:line="360" w:lineRule="auto"/>
        <w:ind w:firstLine="482" w:firstLineChars="200"/>
        <w:jc w:val="left"/>
        <w:rPr>
          <w:rFonts w:hint="default" w:eastAsia="宋体"/>
          <w:b w:val="0"/>
          <w:bCs/>
          <w:color w:val="000000"/>
          <w:sz w:val="24"/>
          <w:lang w:val="en-US" w:eastAsia="zh-CN"/>
        </w:rPr>
      </w:pPr>
      <w:r>
        <w:rPr>
          <w:b/>
          <w:color w:val="000000"/>
          <w:sz w:val="24"/>
        </w:rPr>
        <w:t>公司名称：</w:t>
      </w:r>
      <w:r>
        <w:rPr>
          <w:rFonts w:hint="eastAsia"/>
          <w:b w:val="0"/>
          <w:bCs/>
          <w:color w:val="000000"/>
          <w:sz w:val="24"/>
          <w:lang w:val="en-US" w:eastAsia="zh-CN"/>
        </w:rPr>
        <w:t>安徽雅辉建设工程有限公司</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both"/>
        <w:textAlignment w:val="auto"/>
        <w:rPr>
          <w:rFonts w:hint="eastAsia" w:ascii="Times New Roman" w:hAnsi="Times New Roman" w:eastAsia="宋体" w:cs="Times New Roman"/>
          <w:color w:val="000000"/>
          <w:sz w:val="24"/>
          <w:lang w:eastAsia="zh-CN"/>
        </w:rPr>
      </w:pPr>
      <w:r>
        <w:rPr>
          <w:b/>
          <w:color w:val="000000"/>
          <w:sz w:val="24"/>
        </w:rPr>
        <w:t>公司简介</w:t>
      </w:r>
      <w:r>
        <w:rPr>
          <w:rFonts w:hint="eastAsia"/>
          <w:b/>
          <w:color w:val="000000"/>
          <w:sz w:val="24"/>
        </w:rPr>
        <w:t>：</w:t>
      </w:r>
      <w:r>
        <w:rPr>
          <w:rFonts w:hint="eastAsia" w:ascii="Times New Roman" w:hAnsi="Times New Roman" w:eastAsia="宋体" w:cs="Times New Roman"/>
          <w:color w:val="000000"/>
          <w:sz w:val="24"/>
        </w:rPr>
        <w:t>安徽雅辉建设工程有限公司是一家从事建设工程施工</w:t>
      </w:r>
      <w:r>
        <w:rPr>
          <w:rFonts w:hint="eastAsia" w:ascii="Times New Roman" w:hAnsi="Times New Roman" w:eastAsia="宋体" w:cs="Times New Roman"/>
          <w:color w:val="000000"/>
          <w:sz w:val="24"/>
          <w:lang w:eastAsia="zh-CN"/>
        </w:rPr>
        <w:t>、</w:t>
      </w:r>
      <w:r>
        <w:rPr>
          <w:rFonts w:hint="eastAsia" w:ascii="Times New Roman" w:hAnsi="Times New Roman" w:eastAsia="宋体" w:cs="Times New Roman"/>
          <w:color w:val="000000"/>
          <w:sz w:val="24"/>
        </w:rPr>
        <w:t>电气安装服务</w:t>
      </w:r>
      <w:r>
        <w:rPr>
          <w:rFonts w:hint="eastAsia" w:ascii="Times New Roman" w:hAnsi="Times New Roman" w:eastAsia="宋体" w:cs="Times New Roman"/>
          <w:color w:val="000000"/>
          <w:sz w:val="24"/>
          <w:lang w:eastAsia="zh-CN"/>
        </w:rPr>
        <w:t>、</w:t>
      </w:r>
      <w:r>
        <w:rPr>
          <w:rFonts w:hint="eastAsia" w:ascii="Times New Roman" w:hAnsi="Times New Roman" w:eastAsia="宋体" w:cs="Times New Roman"/>
          <w:color w:val="000000"/>
          <w:sz w:val="24"/>
        </w:rPr>
        <w:t>园林绿化工程施工等业务的公司，成立于2022年08月18日，</w:t>
      </w:r>
      <w:r>
        <w:rPr>
          <w:rFonts w:hint="eastAsia" w:ascii="Times New Roman" w:hAnsi="Times New Roman" w:eastAsia="宋体" w:cs="Times New Roman"/>
          <w:color w:val="000000"/>
          <w:sz w:val="24"/>
          <w:lang w:val="en-US" w:eastAsia="zh-CN"/>
        </w:rPr>
        <w:t>位于</w:t>
      </w:r>
      <w:r>
        <w:rPr>
          <w:rFonts w:hint="eastAsia" w:ascii="Times New Roman" w:hAnsi="Times New Roman" w:eastAsia="宋体" w:cs="Times New Roman"/>
          <w:color w:val="000000"/>
          <w:sz w:val="24"/>
        </w:rPr>
        <w:t>合肥市长丰县双墩镇阜阳北路与汤都路交口科创1栋G259</w:t>
      </w:r>
      <w:r>
        <w:rPr>
          <w:rFonts w:hint="eastAsia" w:ascii="Times New Roman" w:hAnsi="Times New Roman" w:eastAsia="宋体" w:cs="Times New Roman"/>
          <w:color w:val="000000"/>
          <w:sz w:val="24"/>
          <w:lang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ascii="宋体" w:hAnsi="宋体"/>
          <w:color w:val="000000"/>
          <w:sz w:val="24"/>
        </w:rPr>
      </w:pPr>
      <w:r>
        <w:rPr>
          <w:rFonts w:hint="eastAsia" w:ascii="Times New Roman" w:hAnsi="Times New Roman" w:eastAsia="宋体" w:cs="Times New Roman"/>
          <w:color w:val="000000"/>
          <w:sz w:val="24"/>
          <w:highlight w:val="none"/>
        </w:rPr>
        <w:t>企业的经营范围</w:t>
      </w:r>
      <w:r>
        <w:rPr>
          <w:rFonts w:hint="eastAsia" w:ascii="Times New Roman" w:hAnsi="Times New Roman" w:eastAsia="宋体" w:cs="Times New Roman"/>
          <w:color w:val="000000"/>
          <w:sz w:val="24"/>
          <w:highlight w:val="none"/>
          <w:lang w:val="en-US" w:eastAsia="zh-CN"/>
        </w:rPr>
        <w:t>为：</w:t>
      </w:r>
      <w:r>
        <w:rPr>
          <w:rFonts w:hint="eastAsia" w:ascii="Times New Roman" w:hAnsi="Times New Roman" w:eastAsia="宋体" w:cs="Times New Roman"/>
          <w:color w:val="000000"/>
          <w:sz w:val="24"/>
          <w:highlight w:val="none"/>
        </w:rPr>
        <w:t>建设工程施工；电气安装服务；建筑智能化系统设计；道路货物运输</w:t>
      </w:r>
      <w:r>
        <w:rPr>
          <w:rFonts w:hint="eastAsia" w:ascii="Times New Roman" w:hAnsi="Times New Roman" w:eastAsia="宋体" w:cs="Times New Roman"/>
          <w:color w:val="000000"/>
          <w:sz w:val="24"/>
          <w:highlight w:val="none"/>
          <w:lang w:eastAsia="zh-CN"/>
        </w:rPr>
        <w:t>。</w:t>
      </w:r>
      <w:r>
        <w:rPr>
          <w:rFonts w:hint="eastAsia" w:ascii="Times New Roman" w:hAnsi="Times New Roman" w:eastAsia="宋体" w:cs="Times New Roman"/>
          <w:color w:val="000000"/>
          <w:sz w:val="24"/>
          <w:highlight w:val="none"/>
        </w:rPr>
        <w:t>园林绿化工程施工；土石方工程施工；金属门窗工程施工；体育场地设施工程施工；对外承包工程；机械设备租赁；建筑材料销售；建筑用钢筋产品销售；轻质建筑材料销售；照明器具销售；机械电气设备销售；通用设备修理；普通机械设备安装服务；建筑工程机械与设备租赁；专业设计服务；消防技术服务；工程技术服务；工程管理服务</w:t>
      </w:r>
      <w:r>
        <w:rPr>
          <w:rFonts w:hint="eastAsia" w:ascii="Times New Roman" w:hAnsi="Times New Roman" w:eastAsia="宋体" w:cs="Times New Roman"/>
          <w:color w:val="000000"/>
          <w:sz w:val="24"/>
          <w:highlight w:val="none"/>
          <w:lang w:eastAsia="zh-CN"/>
        </w:rPr>
        <w:t>。</w:t>
      </w:r>
    </w:p>
    <w:p>
      <w:pPr>
        <w:spacing w:line="360" w:lineRule="auto"/>
        <w:jc w:val="center"/>
        <w:rPr>
          <w:rFonts w:hint="eastAsia" w:ascii="宋体" w:hAnsi="宋体" w:eastAsia="宋体"/>
          <w:b/>
          <w:sz w:val="32"/>
        </w:rPr>
      </w:pPr>
    </w:p>
    <w:p>
      <w:pPr>
        <w:spacing w:line="360" w:lineRule="auto"/>
        <w:jc w:val="center"/>
        <w:rPr>
          <w:rFonts w:ascii="宋体" w:hAnsi="宋体" w:eastAsia="宋体"/>
          <w:b/>
          <w:sz w:val="32"/>
          <w:szCs w:val="24"/>
        </w:rPr>
      </w:pPr>
      <w:r>
        <w:rPr>
          <w:rFonts w:hint="eastAsia" w:ascii="宋体" w:hAnsi="宋体" w:eastAsia="宋体"/>
          <w:b/>
          <w:sz w:val="32"/>
          <w:szCs w:val="24"/>
        </w:rPr>
        <w:t>合肥学院语言文化与传媒学院</w:t>
      </w:r>
      <w:r>
        <w:rPr>
          <w:rFonts w:ascii="宋体" w:hAnsi="宋体" w:eastAsia="宋体"/>
          <w:b/>
          <w:sz w:val="32"/>
          <w:szCs w:val="24"/>
        </w:rPr>
        <w:t>2022年就业评估自查报告</w:t>
      </w:r>
    </w:p>
    <w:p>
      <w:pPr>
        <w:widowControl/>
        <w:spacing w:before="100" w:beforeAutospacing="1" w:after="100" w:afterAutospacing="1" w:line="360" w:lineRule="auto"/>
        <w:ind w:firstLine="1446" w:firstLineChars="600"/>
        <w:jc w:val="left"/>
        <w:rPr>
          <w:rFonts w:ascii="宋体" w:hAnsi="宋体" w:eastAsia="宋体" w:cs="宋体"/>
          <w:kern w:val="0"/>
          <w:sz w:val="24"/>
          <w:szCs w:val="24"/>
        </w:rPr>
      </w:pPr>
      <w:r>
        <w:rPr>
          <w:rFonts w:hint="eastAsia" w:ascii="宋体" w:hAnsi="宋体" w:eastAsia="宋体" w:cs="宋体"/>
          <w:b/>
          <w:bCs/>
          <w:kern w:val="0"/>
          <w:sz w:val="24"/>
          <w:szCs w:val="24"/>
        </w:rPr>
        <w:t>第一部分：语言文化与传媒学院各专业就业基本情况</w:t>
      </w:r>
    </w:p>
    <w:p>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语言文化与传媒学院一贯重视毕业生就业工作，不断完善就业指导工作机制，逐步拓宽就业渠道，规范管理就业工作，为毕业生顺利就业创造良好条件，就业工作不断取得成效。</w:t>
      </w:r>
    </w:p>
    <w:p>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2022年我院共有本科毕业生</w:t>
      </w:r>
      <w:r>
        <w:rPr>
          <w:rFonts w:ascii="宋体" w:hAnsi="宋体" w:eastAsia="宋体" w:cs="宋体"/>
          <w:sz w:val="24"/>
          <w:szCs w:val="24"/>
        </w:rPr>
        <w:t>250</w:t>
      </w:r>
      <w:r>
        <w:rPr>
          <w:rFonts w:hint="eastAsia" w:ascii="宋体" w:hAnsi="宋体" w:eastAsia="宋体" w:cs="宋体"/>
          <w:sz w:val="24"/>
          <w:szCs w:val="24"/>
        </w:rPr>
        <w:t>人，其中汉语言文学</w:t>
      </w:r>
      <w:r>
        <w:rPr>
          <w:rFonts w:ascii="宋体" w:hAnsi="宋体" w:eastAsia="宋体" w:cs="宋体"/>
          <w:sz w:val="24"/>
          <w:szCs w:val="24"/>
        </w:rPr>
        <w:t>75</w:t>
      </w:r>
      <w:r>
        <w:rPr>
          <w:rFonts w:hint="eastAsia" w:ascii="宋体" w:hAnsi="宋体" w:eastAsia="宋体" w:cs="宋体"/>
          <w:sz w:val="24"/>
          <w:szCs w:val="24"/>
        </w:rPr>
        <w:t>人，秘书学专业</w:t>
      </w:r>
      <w:r>
        <w:rPr>
          <w:rFonts w:ascii="宋体" w:hAnsi="宋体" w:eastAsia="宋体" w:cs="宋体"/>
          <w:sz w:val="24"/>
          <w:szCs w:val="24"/>
        </w:rPr>
        <w:t>34</w:t>
      </w:r>
      <w:r>
        <w:rPr>
          <w:rFonts w:hint="eastAsia" w:ascii="宋体" w:hAnsi="宋体" w:eastAsia="宋体" w:cs="宋体"/>
          <w:sz w:val="24"/>
          <w:szCs w:val="24"/>
        </w:rPr>
        <w:t>人，新闻学专业</w:t>
      </w:r>
      <w:r>
        <w:rPr>
          <w:rFonts w:ascii="宋体" w:hAnsi="宋体" w:eastAsia="宋体" w:cs="宋体"/>
          <w:sz w:val="24"/>
          <w:szCs w:val="24"/>
        </w:rPr>
        <w:t>83</w:t>
      </w:r>
      <w:r>
        <w:rPr>
          <w:rFonts w:hint="eastAsia" w:ascii="宋体" w:hAnsi="宋体" w:eastAsia="宋体" w:cs="宋体"/>
          <w:sz w:val="24"/>
          <w:szCs w:val="24"/>
        </w:rPr>
        <w:t>人，汉语国际教育专业</w:t>
      </w:r>
      <w:r>
        <w:rPr>
          <w:rFonts w:ascii="宋体" w:hAnsi="宋体" w:eastAsia="宋体" w:cs="宋体"/>
          <w:sz w:val="24"/>
          <w:szCs w:val="24"/>
        </w:rPr>
        <w:t>58</w:t>
      </w:r>
      <w:r>
        <w:rPr>
          <w:rFonts w:hint="eastAsia" w:ascii="宋体" w:hAnsi="宋体" w:eastAsia="宋体" w:cs="宋体"/>
          <w:sz w:val="24"/>
          <w:szCs w:val="24"/>
        </w:rPr>
        <w:t>人。截止2022年1</w:t>
      </w:r>
      <w:r>
        <w:rPr>
          <w:rFonts w:ascii="宋体" w:hAnsi="宋体" w:eastAsia="宋体" w:cs="宋体"/>
          <w:sz w:val="24"/>
          <w:szCs w:val="24"/>
        </w:rPr>
        <w:t>2</w:t>
      </w:r>
      <w:r>
        <w:rPr>
          <w:rFonts w:hint="eastAsia" w:ascii="宋体" w:hAnsi="宋体" w:eastAsia="宋体" w:cs="宋体"/>
          <w:sz w:val="24"/>
          <w:szCs w:val="24"/>
        </w:rPr>
        <w:t>月</w:t>
      </w:r>
      <w:r>
        <w:rPr>
          <w:rFonts w:ascii="宋体" w:hAnsi="宋体" w:eastAsia="宋体" w:cs="宋体"/>
          <w:sz w:val="24"/>
          <w:szCs w:val="24"/>
        </w:rPr>
        <w:t>18</w:t>
      </w:r>
      <w:r>
        <w:rPr>
          <w:rFonts w:hint="eastAsia" w:ascii="宋体" w:hAnsi="宋体" w:eastAsia="宋体" w:cs="宋体"/>
          <w:sz w:val="24"/>
          <w:szCs w:val="24"/>
        </w:rPr>
        <w:t>日，我院2022届毕业生就业总人数为</w:t>
      </w:r>
      <w:r>
        <w:rPr>
          <w:rFonts w:ascii="宋体" w:hAnsi="宋体" w:eastAsia="宋体" w:cs="宋体"/>
          <w:sz w:val="24"/>
          <w:szCs w:val="24"/>
        </w:rPr>
        <w:t>241</w:t>
      </w:r>
      <w:r>
        <w:rPr>
          <w:rFonts w:hint="eastAsia" w:ascii="宋体" w:hAnsi="宋体" w:eastAsia="宋体" w:cs="宋体"/>
          <w:sz w:val="24"/>
          <w:szCs w:val="24"/>
        </w:rPr>
        <w:t>人，就业率达到</w:t>
      </w:r>
      <w:r>
        <w:rPr>
          <w:rFonts w:hint="eastAsia" w:ascii="宋体" w:hAnsi="宋体" w:eastAsia="宋体" w:cs="宋体"/>
          <w:bCs/>
          <w:kern w:val="0"/>
          <w:sz w:val="24"/>
          <w:szCs w:val="24"/>
        </w:rPr>
        <w:t>9</w:t>
      </w:r>
      <w:r>
        <w:rPr>
          <w:rFonts w:ascii="宋体" w:hAnsi="宋体" w:eastAsia="宋体" w:cs="宋体"/>
          <w:bCs/>
          <w:kern w:val="0"/>
          <w:sz w:val="24"/>
          <w:szCs w:val="24"/>
        </w:rPr>
        <w:t>6</w:t>
      </w:r>
      <w:r>
        <w:rPr>
          <w:rFonts w:hint="eastAsia" w:ascii="宋体" w:hAnsi="宋体" w:eastAsia="宋体" w:cs="宋体"/>
          <w:bCs/>
          <w:kern w:val="0"/>
          <w:sz w:val="24"/>
          <w:szCs w:val="24"/>
        </w:rPr>
        <w:t>.</w:t>
      </w:r>
      <w:r>
        <w:rPr>
          <w:rFonts w:ascii="宋体" w:hAnsi="宋体" w:eastAsia="宋体" w:cs="宋体"/>
          <w:bCs/>
          <w:kern w:val="0"/>
          <w:sz w:val="24"/>
          <w:szCs w:val="24"/>
        </w:rPr>
        <w:t>40</w:t>
      </w:r>
      <w:r>
        <w:rPr>
          <w:rFonts w:hint="eastAsia" w:ascii="宋体" w:hAnsi="宋体" w:eastAsia="宋体" w:cs="宋体"/>
          <w:bCs/>
          <w:kern w:val="0"/>
          <w:sz w:val="24"/>
          <w:szCs w:val="24"/>
        </w:rPr>
        <w:t xml:space="preserve"> %</w:t>
      </w:r>
      <w:r>
        <w:rPr>
          <w:rFonts w:ascii="宋体" w:hAnsi="宋体" w:eastAsia="宋体" w:cs="宋体"/>
          <w:bCs/>
          <w:kern w:val="0"/>
          <w:sz w:val="24"/>
          <w:szCs w:val="24"/>
        </w:rPr>
        <w:t>,</w:t>
      </w:r>
      <w:r>
        <w:rPr>
          <w:rFonts w:hint="eastAsia" w:ascii="宋体" w:hAnsi="宋体" w:eastAsia="宋体" w:cs="宋体"/>
          <w:sz w:val="24"/>
          <w:szCs w:val="24"/>
        </w:rPr>
        <w:t>其中国家和地方基层项目计划6人，考取公务员事业单位</w:t>
      </w:r>
      <w:r>
        <w:rPr>
          <w:rFonts w:ascii="宋体" w:hAnsi="宋体" w:eastAsia="宋体" w:cs="宋体"/>
          <w:sz w:val="24"/>
          <w:szCs w:val="24"/>
        </w:rPr>
        <w:t xml:space="preserve"> 6</w:t>
      </w:r>
      <w:r>
        <w:rPr>
          <w:rFonts w:hint="eastAsia" w:ascii="宋体" w:hAnsi="宋体" w:eastAsia="宋体" w:cs="宋体"/>
          <w:sz w:val="24"/>
          <w:szCs w:val="24"/>
        </w:rPr>
        <w:t>人，应征入伍</w:t>
      </w:r>
      <w:r>
        <w:rPr>
          <w:rFonts w:ascii="宋体" w:hAnsi="宋体" w:eastAsia="宋体" w:cs="宋体"/>
          <w:sz w:val="24"/>
          <w:szCs w:val="24"/>
        </w:rPr>
        <w:t>2</w:t>
      </w:r>
      <w:r>
        <w:rPr>
          <w:rFonts w:hint="eastAsia" w:ascii="宋体" w:hAnsi="宋体" w:eastAsia="宋体" w:cs="宋体"/>
          <w:sz w:val="24"/>
          <w:szCs w:val="24"/>
        </w:rPr>
        <w:t>人，未落实工作单位学生人数为</w:t>
      </w:r>
      <w:r>
        <w:rPr>
          <w:rFonts w:ascii="宋体" w:hAnsi="宋体" w:eastAsia="宋体" w:cs="宋体"/>
          <w:sz w:val="24"/>
          <w:szCs w:val="24"/>
        </w:rPr>
        <w:t>9</w:t>
      </w:r>
      <w:r>
        <w:rPr>
          <w:rFonts w:hint="eastAsia" w:ascii="宋体" w:hAnsi="宋体" w:eastAsia="宋体" w:cs="宋体"/>
          <w:sz w:val="24"/>
          <w:szCs w:val="24"/>
        </w:rPr>
        <w:t>人（汉语言文学</w:t>
      </w:r>
      <w:r>
        <w:rPr>
          <w:rFonts w:ascii="宋体" w:hAnsi="宋体" w:eastAsia="宋体" w:cs="宋体"/>
          <w:sz w:val="24"/>
          <w:szCs w:val="24"/>
        </w:rPr>
        <w:t>1</w:t>
      </w:r>
      <w:r>
        <w:rPr>
          <w:rFonts w:hint="eastAsia" w:ascii="宋体" w:hAnsi="宋体" w:eastAsia="宋体" w:cs="宋体"/>
          <w:sz w:val="24"/>
          <w:szCs w:val="24"/>
        </w:rPr>
        <w:t>人，新闻学</w:t>
      </w:r>
      <w:r>
        <w:rPr>
          <w:rFonts w:ascii="宋体" w:hAnsi="宋体" w:eastAsia="宋体" w:cs="宋体"/>
          <w:sz w:val="24"/>
          <w:szCs w:val="24"/>
        </w:rPr>
        <w:t>2</w:t>
      </w:r>
      <w:r>
        <w:rPr>
          <w:rFonts w:hint="eastAsia" w:ascii="宋体" w:hAnsi="宋体" w:eastAsia="宋体" w:cs="宋体"/>
          <w:sz w:val="24"/>
          <w:szCs w:val="24"/>
        </w:rPr>
        <w:t>人，汉语国际教育</w:t>
      </w:r>
      <w:r>
        <w:rPr>
          <w:rFonts w:ascii="宋体" w:hAnsi="宋体" w:eastAsia="宋体" w:cs="宋体"/>
          <w:sz w:val="24"/>
          <w:szCs w:val="24"/>
        </w:rPr>
        <w:t>6</w:t>
      </w:r>
      <w:r>
        <w:rPr>
          <w:rFonts w:hint="eastAsia" w:ascii="宋体" w:hAnsi="宋体" w:eastAsia="宋体" w:cs="宋体"/>
          <w:sz w:val="24"/>
          <w:szCs w:val="24"/>
        </w:rPr>
        <w:t>人）</w:t>
      </w:r>
      <w:r>
        <w:rPr>
          <w:rFonts w:hint="eastAsia" w:ascii="宋体" w:hAnsi="宋体" w:eastAsia="宋体" w:cs="宋体"/>
          <w:bCs/>
          <w:kern w:val="0"/>
          <w:sz w:val="24"/>
          <w:szCs w:val="24"/>
        </w:rPr>
        <w:t>。具体各专业就业基本情况如下：</w:t>
      </w:r>
    </w:p>
    <w:tbl>
      <w:tblPr>
        <w:tblStyle w:val="13"/>
        <w:tblW w:w="8217" w:type="dxa"/>
        <w:tblInd w:w="0" w:type="dxa"/>
        <w:tblLayout w:type="fixed"/>
        <w:tblCellMar>
          <w:top w:w="0" w:type="dxa"/>
          <w:left w:w="0" w:type="dxa"/>
          <w:bottom w:w="0" w:type="dxa"/>
          <w:right w:w="0" w:type="dxa"/>
        </w:tblCellMar>
      </w:tblPr>
      <w:tblGrid>
        <w:gridCol w:w="1555"/>
        <w:gridCol w:w="1134"/>
        <w:gridCol w:w="1417"/>
        <w:gridCol w:w="992"/>
        <w:gridCol w:w="993"/>
        <w:gridCol w:w="992"/>
        <w:gridCol w:w="1134"/>
      </w:tblGrid>
      <w:tr>
        <w:tblPrEx>
          <w:tblCellMar>
            <w:top w:w="0" w:type="dxa"/>
            <w:left w:w="0" w:type="dxa"/>
            <w:bottom w:w="0" w:type="dxa"/>
            <w:right w:w="0" w:type="dxa"/>
          </w:tblCellMar>
        </w:tblPrEx>
        <w:trPr>
          <w:trHeight w:val="1136" w:hRule="atLeast"/>
        </w:trPr>
        <w:tc>
          <w:tcPr>
            <w:tcW w:w="1555"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adjustRightInd w:val="0"/>
              <w:jc w:val="center"/>
              <w:textAlignment w:val="center"/>
              <w:rPr>
                <w:rFonts w:ascii="宋体" w:hAnsi="宋体" w:eastAsia="宋体" w:cs="宋体"/>
                <w:bCs/>
                <w:color w:val="000000"/>
                <w:szCs w:val="21"/>
              </w:rPr>
            </w:pPr>
            <w:r>
              <w:rPr>
                <w:rFonts w:hint="eastAsia" w:ascii="宋体" w:hAnsi="宋体" w:eastAsia="宋体" w:cs="宋体"/>
                <w:bCs/>
                <w:color w:val="000000"/>
                <w:kern w:val="0"/>
                <w:szCs w:val="21"/>
                <w:lang w:bidi="ar"/>
              </w:rPr>
              <w:t>专业名称</w:t>
            </w:r>
          </w:p>
        </w:tc>
        <w:tc>
          <w:tcPr>
            <w:tcW w:w="1134"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adjustRightInd w:val="0"/>
              <w:jc w:val="center"/>
              <w:textAlignment w:val="center"/>
              <w:rPr>
                <w:rFonts w:ascii="宋体" w:hAnsi="宋体" w:eastAsia="宋体" w:cs="宋体"/>
                <w:bCs/>
                <w:color w:val="000000"/>
                <w:szCs w:val="21"/>
              </w:rPr>
            </w:pPr>
            <w:r>
              <w:rPr>
                <w:rFonts w:hint="eastAsia" w:ascii="宋体" w:hAnsi="宋体" w:eastAsia="宋体" w:cs="宋体"/>
                <w:bCs/>
                <w:color w:val="000000"/>
                <w:kern w:val="0"/>
                <w:szCs w:val="21"/>
                <w:lang w:bidi="ar"/>
              </w:rPr>
              <w:t>毕业生人数</w:t>
            </w:r>
          </w:p>
        </w:tc>
        <w:tc>
          <w:tcPr>
            <w:tcW w:w="1417"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adjustRightInd w:val="0"/>
              <w:jc w:val="center"/>
              <w:textAlignment w:val="center"/>
              <w:rPr>
                <w:rFonts w:ascii="宋体" w:hAnsi="宋体" w:eastAsia="宋体" w:cs="宋体"/>
                <w:bCs/>
                <w:color w:val="000000"/>
                <w:szCs w:val="21"/>
              </w:rPr>
            </w:pPr>
            <w:r>
              <w:rPr>
                <w:rFonts w:hint="eastAsia" w:ascii="宋体" w:hAnsi="宋体" w:eastAsia="宋体" w:cs="宋体"/>
                <w:bCs/>
                <w:color w:val="000000"/>
                <w:kern w:val="0"/>
                <w:szCs w:val="21"/>
                <w:lang w:bidi="ar"/>
              </w:rPr>
              <w:t>签订规范就业协议书人数</w:t>
            </w:r>
          </w:p>
        </w:tc>
        <w:tc>
          <w:tcPr>
            <w:tcW w:w="992"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adjustRightInd w:val="0"/>
              <w:jc w:val="center"/>
              <w:textAlignment w:val="center"/>
              <w:rPr>
                <w:rFonts w:ascii="宋体" w:hAnsi="宋体" w:eastAsia="宋体" w:cs="宋体"/>
                <w:bCs/>
                <w:color w:val="000000"/>
                <w:szCs w:val="21"/>
              </w:rPr>
            </w:pPr>
            <w:r>
              <w:rPr>
                <w:rFonts w:hint="eastAsia" w:ascii="宋体" w:hAnsi="宋体" w:eastAsia="宋体" w:cs="宋体"/>
                <w:bCs/>
                <w:color w:val="000000"/>
                <w:szCs w:val="21"/>
              </w:rPr>
              <w:t>升学</w:t>
            </w:r>
          </w:p>
        </w:tc>
        <w:tc>
          <w:tcPr>
            <w:tcW w:w="993"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adjustRightInd w:val="0"/>
              <w:jc w:val="center"/>
              <w:textAlignment w:val="center"/>
              <w:rPr>
                <w:rFonts w:ascii="宋体" w:hAnsi="宋体" w:eastAsia="宋体" w:cs="宋体"/>
                <w:bCs/>
                <w:color w:val="000000"/>
                <w:kern w:val="0"/>
                <w:szCs w:val="21"/>
                <w:lang w:bidi="ar"/>
              </w:rPr>
            </w:pPr>
            <w:r>
              <w:rPr>
                <w:rFonts w:hint="eastAsia" w:ascii="宋体" w:hAnsi="宋体" w:eastAsia="宋体" w:cs="宋体"/>
                <w:bCs/>
                <w:color w:val="000000"/>
                <w:kern w:val="0"/>
                <w:szCs w:val="21"/>
                <w:lang w:bidi="ar"/>
              </w:rPr>
              <w:t>出国留学</w:t>
            </w:r>
          </w:p>
        </w:tc>
        <w:tc>
          <w:tcPr>
            <w:tcW w:w="992" w:type="dxa"/>
            <w:tcBorders>
              <w:top w:val="single" w:color="000000" w:sz="4" w:space="0"/>
              <w:left w:val="single" w:color="000000" w:sz="4" w:space="0"/>
              <w:bottom w:val="single" w:color="000000" w:sz="4" w:space="0"/>
              <w:right w:val="single" w:color="000000" w:sz="4" w:space="0"/>
            </w:tcBorders>
            <w:vAlign w:val="center"/>
          </w:tcPr>
          <w:p>
            <w:pPr>
              <w:widowControl/>
              <w:adjustRightInd w:val="0"/>
              <w:jc w:val="center"/>
              <w:textAlignment w:val="center"/>
              <w:rPr>
                <w:rFonts w:ascii="宋体" w:hAnsi="宋体" w:eastAsia="宋体" w:cs="宋体"/>
                <w:bCs/>
                <w:color w:val="000000"/>
                <w:kern w:val="0"/>
                <w:szCs w:val="21"/>
                <w:lang w:bidi="ar"/>
              </w:rPr>
            </w:pPr>
            <w:r>
              <w:rPr>
                <w:rFonts w:hint="eastAsia" w:ascii="宋体" w:hAnsi="宋体" w:eastAsia="宋体" w:cs="宋体"/>
                <w:bCs/>
                <w:color w:val="000000"/>
                <w:kern w:val="0"/>
                <w:szCs w:val="21"/>
                <w:lang w:bidi="ar"/>
              </w:rPr>
              <w:t>未就业</w:t>
            </w:r>
          </w:p>
          <w:p>
            <w:pPr>
              <w:widowControl/>
              <w:adjustRightInd w:val="0"/>
              <w:jc w:val="center"/>
              <w:textAlignment w:val="center"/>
              <w:rPr>
                <w:rFonts w:ascii="宋体" w:hAnsi="宋体" w:eastAsia="宋体" w:cs="宋体"/>
                <w:bCs/>
                <w:color w:val="000000"/>
                <w:kern w:val="0"/>
                <w:szCs w:val="21"/>
                <w:lang w:bidi="ar"/>
              </w:rPr>
            </w:pPr>
            <w:r>
              <w:rPr>
                <w:rFonts w:hint="eastAsia" w:ascii="宋体" w:hAnsi="宋体" w:eastAsia="宋体" w:cs="宋体"/>
                <w:bCs/>
                <w:color w:val="000000"/>
                <w:kern w:val="0"/>
                <w:szCs w:val="21"/>
                <w:lang w:bidi="ar"/>
              </w:rPr>
              <w:t>人数</w:t>
            </w:r>
          </w:p>
        </w:tc>
        <w:tc>
          <w:tcPr>
            <w:tcW w:w="1134" w:type="dxa"/>
            <w:tcBorders>
              <w:top w:val="single" w:color="000000" w:sz="4" w:space="0"/>
              <w:left w:val="single" w:color="000000" w:sz="4" w:space="0"/>
              <w:bottom w:val="single" w:color="000000" w:sz="4" w:space="0"/>
              <w:right w:val="single" w:color="000000" w:sz="4" w:space="0"/>
            </w:tcBorders>
            <w:noWrap/>
            <w:tcMar>
              <w:top w:w="12" w:type="dxa"/>
              <w:left w:w="12" w:type="dxa"/>
              <w:right w:w="12" w:type="dxa"/>
            </w:tcMar>
            <w:vAlign w:val="center"/>
          </w:tcPr>
          <w:p>
            <w:pPr>
              <w:widowControl/>
              <w:adjustRightInd w:val="0"/>
              <w:jc w:val="center"/>
              <w:textAlignment w:val="center"/>
              <w:rPr>
                <w:rFonts w:ascii="宋体" w:hAnsi="宋体" w:eastAsia="宋体" w:cs="宋体"/>
                <w:bCs/>
                <w:color w:val="000000"/>
                <w:szCs w:val="21"/>
              </w:rPr>
            </w:pPr>
            <w:r>
              <w:rPr>
                <w:rFonts w:hint="eastAsia" w:ascii="宋体" w:hAnsi="宋体" w:eastAsia="宋体" w:cs="宋体"/>
                <w:bCs/>
                <w:color w:val="000000"/>
                <w:kern w:val="0"/>
                <w:szCs w:val="21"/>
                <w:lang w:bidi="ar"/>
              </w:rPr>
              <w:t>就业率（%）</w:t>
            </w:r>
          </w:p>
        </w:tc>
      </w:tr>
      <w:tr>
        <w:tblPrEx>
          <w:tblCellMar>
            <w:top w:w="0" w:type="dxa"/>
            <w:left w:w="0" w:type="dxa"/>
            <w:bottom w:w="0" w:type="dxa"/>
            <w:right w:w="0" w:type="dxa"/>
          </w:tblCellMar>
        </w:tblPrEx>
        <w:trPr>
          <w:trHeight w:val="481" w:hRule="atLeast"/>
        </w:trPr>
        <w:tc>
          <w:tcPr>
            <w:tcW w:w="1555" w:type="dxa"/>
            <w:tcBorders>
              <w:top w:val="single" w:color="000000" w:sz="4" w:space="0"/>
              <w:left w:val="single" w:color="000000" w:sz="4" w:space="0"/>
              <w:bottom w:val="single" w:color="000000" w:sz="4" w:space="0"/>
              <w:right w:val="single" w:color="000000" w:sz="4" w:space="0"/>
            </w:tcBorders>
            <w:shd w:val="clear" w:color="auto" w:fill="FFFFFF"/>
            <w:tcMar>
              <w:top w:w="12" w:type="dxa"/>
              <w:left w:w="12" w:type="dxa"/>
              <w:right w:w="12" w:type="dxa"/>
            </w:tcMar>
            <w:vAlign w:val="center"/>
          </w:tcPr>
          <w:p>
            <w:pPr>
              <w:widowControl/>
              <w:adjustRightInd w:val="0"/>
              <w:jc w:val="center"/>
              <w:textAlignment w:val="center"/>
              <w:rPr>
                <w:rFonts w:ascii="宋体" w:hAnsi="宋体" w:eastAsia="宋体" w:cs="宋体"/>
                <w:color w:val="000000"/>
                <w:sz w:val="20"/>
                <w:szCs w:val="20"/>
              </w:rPr>
            </w:pPr>
            <w:r>
              <w:rPr>
                <w:rFonts w:hint="eastAsia" w:ascii="宋体" w:hAnsi="宋体" w:eastAsia="宋体" w:cs="宋体"/>
                <w:color w:val="000000"/>
                <w:kern w:val="0"/>
                <w:sz w:val="20"/>
                <w:szCs w:val="20"/>
                <w:lang w:bidi="ar"/>
              </w:rPr>
              <w:t>汉语言文学</w:t>
            </w:r>
          </w:p>
        </w:tc>
        <w:tc>
          <w:tcPr>
            <w:tcW w:w="1134" w:type="dxa"/>
            <w:tcBorders>
              <w:top w:val="single" w:color="000000" w:sz="4" w:space="0"/>
              <w:left w:val="single" w:color="000000" w:sz="4" w:space="0"/>
              <w:bottom w:val="single" w:color="000000" w:sz="4" w:space="0"/>
              <w:right w:val="single" w:color="000000" w:sz="4" w:space="0"/>
            </w:tcBorders>
            <w:shd w:val="clear" w:color="auto" w:fill="FFFFFF"/>
            <w:tcMar>
              <w:top w:w="12" w:type="dxa"/>
              <w:left w:w="12" w:type="dxa"/>
              <w:right w:w="12" w:type="dxa"/>
            </w:tcMar>
            <w:vAlign w:val="center"/>
          </w:tcPr>
          <w:p>
            <w:pPr>
              <w:widowControl/>
              <w:adjustRightInd w:val="0"/>
              <w:jc w:val="center"/>
              <w:textAlignment w:val="center"/>
              <w:rPr>
                <w:rFonts w:ascii="宋体" w:hAnsi="宋体" w:eastAsia="宋体" w:cs="宋体"/>
                <w:color w:val="000000"/>
                <w:sz w:val="20"/>
                <w:szCs w:val="20"/>
              </w:rPr>
            </w:pPr>
            <w:r>
              <w:rPr>
                <w:rFonts w:ascii="宋体" w:hAnsi="宋体" w:eastAsia="宋体" w:cs="宋体"/>
                <w:color w:val="000000"/>
                <w:kern w:val="0"/>
                <w:sz w:val="20"/>
                <w:szCs w:val="20"/>
                <w:lang w:bidi="ar"/>
              </w:rPr>
              <w:t>75</w:t>
            </w:r>
          </w:p>
        </w:tc>
        <w:tc>
          <w:tcPr>
            <w:tcW w:w="1417" w:type="dxa"/>
            <w:tcBorders>
              <w:top w:val="single" w:color="000000" w:sz="4" w:space="0"/>
              <w:left w:val="single" w:color="000000" w:sz="4" w:space="0"/>
              <w:bottom w:val="single" w:color="000000" w:sz="4" w:space="0"/>
              <w:right w:val="single" w:color="000000" w:sz="4" w:space="0"/>
            </w:tcBorders>
            <w:shd w:val="clear" w:color="auto" w:fill="FFFFFF"/>
            <w:tcMar>
              <w:top w:w="12" w:type="dxa"/>
              <w:left w:w="12" w:type="dxa"/>
              <w:right w:w="12" w:type="dxa"/>
            </w:tcMar>
            <w:vAlign w:val="center"/>
          </w:tcPr>
          <w:p>
            <w:pPr>
              <w:widowControl/>
              <w:adjustRightInd w:val="0"/>
              <w:jc w:val="center"/>
              <w:textAlignment w:val="center"/>
              <w:rPr>
                <w:rFonts w:ascii="宋体" w:hAnsi="宋体" w:eastAsia="宋体" w:cs="宋体"/>
                <w:color w:val="000000"/>
                <w:sz w:val="20"/>
                <w:szCs w:val="20"/>
              </w:rPr>
            </w:pPr>
            <w:r>
              <w:rPr>
                <w:rFonts w:hint="eastAsia" w:ascii="宋体" w:hAnsi="宋体" w:eastAsia="宋体" w:cs="宋体"/>
                <w:color w:val="000000"/>
                <w:sz w:val="20"/>
                <w:szCs w:val="20"/>
              </w:rPr>
              <w:t>6</w:t>
            </w:r>
            <w:r>
              <w:rPr>
                <w:rFonts w:ascii="宋体" w:hAnsi="宋体" w:eastAsia="宋体" w:cs="宋体"/>
                <w:color w:val="000000"/>
                <w:sz w:val="20"/>
                <w:szCs w:val="20"/>
              </w:rPr>
              <w:t>8</w:t>
            </w:r>
          </w:p>
        </w:tc>
        <w:tc>
          <w:tcPr>
            <w:tcW w:w="992" w:type="dxa"/>
            <w:tcBorders>
              <w:top w:val="single" w:color="000000" w:sz="4" w:space="0"/>
              <w:left w:val="single" w:color="000000" w:sz="4" w:space="0"/>
              <w:bottom w:val="single" w:color="000000" w:sz="4" w:space="0"/>
              <w:right w:val="single" w:color="000000" w:sz="4" w:space="0"/>
            </w:tcBorders>
            <w:shd w:val="clear" w:color="auto" w:fill="FFFFFF"/>
            <w:tcMar>
              <w:top w:w="12" w:type="dxa"/>
              <w:left w:w="12" w:type="dxa"/>
              <w:right w:w="12" w:type="dxa"/>
            </w:tcMar>
            <w:vAlign w:val="center"/>
          </w:tcPr>
          <w:p>
            <w:pPr>
              <w:widowControl/>
              <w:adjustRightInd w:val="0"/>
              <w:jc w:val="center"/>
              <w:textAlignment w:val="center"/>
              <w:rPr>
                <w:rFonts w:ascii="宋体" w:hAnsi="宋体" w:eastAsia="宋体" w:cs="宋体"/>
                <w:color w:val="000000"/>
                <w:sz w:val="20"/>
                <w:szCs w:val="20"/>
              </w:rPr>
            </w:pPr>
            <w:r>
              <w:rPr>
                <w:rFonts w:ascii="宋体" w:hAnsi="宋体" w:eastAsia="宋体" w:cs="宋体"/>
                <w:color w:val="000000"/>
                <w:kern w:val="0"/>
                <w:sz w:val="20"/>
                <w:szCs w:val="20"/>
                <w:lang w:bidi="ar"/>
              </w:rPr>
              <w:t>6</w:t>
            </w:r>
          </w:p>
        </w:tc>
        <w:tc>
          <w:tcPr>
            <w:tcW w:w="993" w:type="dxa"/>
            <w:tcBorders>
              <w:top w:val="single" w:color="000000" w:sz="4" w:space="0"/>
              <w:left w:val="single" w:color="000000" w:sz="4" w:space="0"/>
              <w:bottom w:val="single" w:color="000000" w:sz="4" w:space="0"/>
              <w:right w:val="single" w:color="000000" w:sz="4" w:space="0"/>
            </w:tcBorders>
            <w:shd w:val="clear" w:color="auto" w:fill="FFFFFF"/>
            <w:tcMar>
              <w:top w:w="12" w:type="dxa"/>
              <w:left w:w="12" w:type="dxa"/>
              <w:right w:w="12" w:type="dxa"/>
            </w:tcMar>
            <w:vAlign w:val="center"/>
          </w:tcPr>
          <w:p>
            <w:pPr>
              <w:widowControl/>
              <w:adjustRightInd w:val="0"/>
              <w:jc w:val="center"/>
              <w:textAlignment w:val="center"/>
              <w:rPr>
                <w:rFonts w:ascii="宋体" w:hAnsi="宋体" w:eastAsia="宋体" w:cs="宋体"/>
                <w:color w:val="000000"/>
                <w:kern w:val="0"/>
                <w:sz w:val="20"/>
                <w:szCs w:val="20"/>
                <w:lang w:bidi="ar"/>
              </w:rPr>
            </w:pPr>
            <w:r>
              <w:rPr>
                <w:rFonts w:hint="eastAsia" w:ascii="宋体" w:hAnsi="宋体" w:eastAsia="宋体" w:cs="宋体"/>
                <w:color w:val="000000"/>
                <w:kern w:val="0"/>
                <w:sz w:val="20"/>
                <w:szCs w:val="20"/>
                <w:lang w:bidi="ar"/>
              </w:rPr>
              <w:t>0</w:t>
            </w:r>
          </w:p>
        </w:tc>
        <w:tc>
          <w:tcPr>
            <w:tcW w:w="99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adjustRightInd w:val="0"/>
              <w:jc w:val="center"/>
              <w:textAlignment w:val="center"/>
              <w:rPr>
                <w:rFonts w:ascii="宋体" w:hAnsi="宋体" w:eastAsia="宋体" w:cs="宋体"/>
                <w:color w:val="000000"/>
                <w:kern w:val="0"/>
                <w:sz w:val="20"/>
                <w:szCs w:val="20"/>
                <w:lang w:bidi="ar"/>
              </w:rPr>
            </w:pPr>
            <w:r>
              <w:rPr>
                <w:rFonts w:hint="eastAsia" w:ascii="宋体" w:hAnsi="宋体" w:eastAsia="宋体" w:cs="宋体"/>
                <w:color w:val="000000"/>
                <w:kern w:val="0"/>
                <w:sz w:val="20"/>
                <w:szCs w:val="20"/>
                <w:lang w:bidi="ar"/>
              </w:rPr>
              <w:t>1</w:t>
            </w:r>
          </w:p>
        </w:tc>
        <w:tc>
          <w:tcPr>
            <w:tcW w:w="1134" w:type="dxa"/>
            <w:tcBorders>
              <w:top w:val="single" w:color="000000" w:sz="4" w:space="0"/>
              <w:left w:val="single" w:color="000000" w:sz="4" w:space="0"/>
              <w:bottom w:val="single" w:color="000000" w:sz="4" w:space="0"/>
              <w:right w:val="single" w:color="000000" w:sz="4" w:space="0"/>
            </w:tcBorders>
            <w:shd w:val="clear" w:color="auto" w:fill="FFFFFF"/>
            <w:tcMar>
              <w:top w:w="12" w:type="dxa"/>
              <w:left w:w="12" w:type="dxa"/>
              <w:right w:w="12" w:type="dxa"/>
            </w:tcMar>
            <w:vAlign w:val="center"/>
          </w:tcPr>
          <w:p>
            <w:pPr>
              <w:widowControl/>
              <w:adjustRightInd w:val="0"/>
              <w:jc w:val="center"/>
              <w:textAlignment w:val="center"/>
              <w:rPr>
                <w:rFonts w:ascii="宋体" w:hAnsi="宋体" w:eastAsia="宋体" w:cs="宋体"/>
                <w:color w:val="000000"/>
                <w:sz w:val="20"/>
                <w:szCs w:val="20"/>
              </w:rPr>
            </w:pPr>
            <w:r>
              <w:rPr>
                <w:rFonts w:hint="eastAsia" w:ascii="宋体" w:hAnsi="宋体" w:eastAsia="宋体" w:cs="宋体"/>
                <w:color w:val="000000"/>
                <w:kern w:val="0"/>
                <w:sz w:val="20"/>
                <w:szCs w:val="20"/>
                <w:lang w:bidi="ar"/>
              </w:rPr>
              <w:t>9</w:t>
            </w:r>
            <w:r>
              <w:rPr>
                <w:rFonts w:ascii="宋体" w:hAnsi="宋体" w:eastAsia="宋体" w:cs="宋体"/>
                <w:color w:val="000000"/>
                <w:kern w:val="0"/>
                <w:sz w:val="20"/>
                <w:szCs w:val="20"/>
                <w:lang w:bidi="ar"/>
              </w:rPr>
              <w:t>8</w:t>
            </w:r>
            <w:r>
              <w:rPr>
                <w:rFonts w:hint="eastAsia" w:ascii="宋体" w:hAnsi="宋体" w:eastAsia="宋体" w:cs="宋体"/>
                <w:color w:val="000000"/>
                <w:kern w:val="0"/>
                <w:sz w:val="20"/>
                <w:szCs w:val="20"/>
                <w:lang w:bidi="ar"/>
              </w:rPr>
              <w:t>.</w:t>
            </w:r>
            <w:r>
              <w:rPr>
                <w:rFonts w:ascii="宋体" w:hAnsi="宋体" w:eastAsia="宋体" w:cs="宋体"/>
                <w:color w:val="000000"/>
                <w:kern w:val="0"/>
                <w:sz w:val="20"/>
                <w:szCs w:val="20"/>
                <w:lang w:bidi="ar"/>
              </w:rPr>
              <w:t>67</w:t>
            </w:r>
            <w:r>
              <w:rPr>
                <w:rFonts w:hint="eastAsia" w:ascii="宋体" w:hAnsi="宋体" w:eastAsia="宋体" w:cs="宋体"/>
                <w:color w:val="000000"/>
                <w:kern w:val="0"/>
                <w:sz w:val="20"/>
                <w:szCs w:val="20"/>
                <w:lang w:bidi="ar"/>
              </w:rPr>
              <w:t>%</w:t>
            </w:r>
          </w:p>
        </w:tc>
      </w:tr>
      <w:tr>
        <w:tblPrEx>
          <w:tblCellMar>
            <w:top w:w="0" w:type="dxa"/>
            <w:left w:w="0" w:type="dxa"/>
            <w:bottom w:w="0" w:type="dxa"/>
            <w:right w:w="0" w:type="dxa"/>
          </w:tblCellMar>
        </w:tblPrEx>
        <w:trPr>
          <w:trHeight w:val="525" w:hRule="atLeast"/>
        </w:trPr>
        <w:tc>
          <w:tcPr>
            <w:tcW w:w="1555" w:type="dxa"/>
            <w:tcBorders>
              <w:top w:val="single" w:color="000000" w:sz="4" w:space="0"/>
              <w:left w:val="single" w:color="000000" w:sz="4" w:space="0"/>
              <w:bottom w:val="single" w:color="000000" w:sz="4" w:space="0"/>
              <w:right w:val="single" w:color="000000" w:sz="4" w:space="0"/>
            </w:tcBorders>
            <w:shd w:val="clear" w:color="auto" w:fill="FFFFFF"/>
            <w:tcMar>
              <w:top w:w="12" w:type="dxa"/>
              <w:left w:w="12" w:type="dxa"/>
              <w:right w:w="12" w:type="dxa"/>
            </w:tcMar>
            <w:vAlign w:val="center"/>
          </w:tcPr>
          <w:p>
            <w:pPr>
              <w:widowControl/>
              <w:adjustRightInd w:val="0"/>
              <w:jc w:val="center"/>
              <w:textAlignment w:val="center"/>
              <w:rPr>
                <w:rFonts w:ascii="宋体" w:hAnsi="宋体" w:eastAsia="宋体" w:cs="宋体"/>
                <w:color w:val="000000"/>
                <w:sz w:val="20"/>
                <w:szCs w:val="20"/>
              </w:rPr>
            </w:pPr>
            <w:r>
              <w:rPr>
                <w:rFonts w:hint="eastAsia" w:ascii="宋体" w:hAnsi="宋体" w:eastAsia="宋体" w:cs="宋体"/>
                <w:color w:val="000000"/>
                <w:kern w:val="0"/>
                <w:sz w:val="20"/>
                <w:szCs w:val="20"/>
                <w:lang w:bidi="ar"/>
              </w:rPr>
              <w:t>秘书学</w:t>
            </w:r>
          </w:p>
        </w:tc>
        <w:tc>
          <w:tcPr>
            <w:tcW w:w="1134" w:type="dxa"/>
            <w:tcBorders>
              <w:top w:val="single" w:color="000000" w:sz="4" w:space="0"/>
              <w:left w:val="single" w:color="000000" w:sz="4" w:space="0"/>
              <w:bottom w:val="single" w:color="000000" w:sz="4" w:space="0"/>
              <w:right w:val="single" w:color="000000" w:sz="4" w:space="0"/>
            </w:tcBorders>
            <w:shd w:val="clear" w:color="auto" w:fill="FFFFFF"/>
            <w:tcMar>
              <w:top w:w="12" w:type="dxa"/>
              <w:left w:w="12" w:type="dxa"/>
              <w:right w:w="12" w:type="dxa"/>
            </w:tcMar>
            <w:vAlign w:val="center"/>
          </w:tcPr>
          <w:p>
            <w:pPr>
              <w:widowControl/>
              <w:adjustRightInd w:val="0"/>
              <w:jc w:val="center"/>
              <w:textAlignment w:val="center"/>
              <w:rPr>
                <w:rFonts w:ascii="宋体" w:hAnsi="宋体" w:eastAsia="宋体" w:cs="宋体"/>
                <w:color w:val="000000"/>
                <w:sz w:val="20"/>
                <w:szCs w:val="20"/>
              </w:rPr>
            </w:pPr>
            <w:r>
              <w:rPr>
                <w:rFonts w:ascii="宋体" w:hAnsi="宋体" w:eastAsia="宋体" w:cs="宋体"/>
                <w:color w:val="000000"/>
                <w:kern w:val="0"/>
                <w:sz w:val="20"/>
                <w:szCs w:val="20"/>
                <w:lang w:bidi="ar"/>
              </w:rPr>
              <w:t>34</w:t>
            </w:r>
          </w:p>
        </w:tc>
        <w:tc>
          <w:tcPr>
            <w:tcW w:w="1417" w:type="dxa"/>
            <w:tcBorders>
              <w:top w:val="single" w:color="000000" w:sz="4" w:space="0"/>
              <w:left w:val="single" w:color="000000" w:sz="4" w:space="0"/>
              <w:bottom w:val="single" w:color="000000" w:sz="4" w:space="0"/>
              <w:right w:val="single" w:color="000000" w:sz="4" w:space="0"/>
            </w:tcBorders>
            <w:shd w:val="clear" w:color="auto" w:fill="FFFFFF"/>
            <w:tcMar>
              <w:top w:w="12" w:type="dxa"/>
              <w:left w:w="12" w:type="dxa"/>
              <w:right w:w="12" w:type="dxa"/>
            </w:tcMar>
            <w:vAlign w:val="center"/>
          </w:tcPr>
          <w:p>
            <w:pPr>
              <w:widowControl/>
              <w:adjustRightInd w:val="0"/>
              <w:jc w:val="center"/>
              <w:textAlignment w:val="center"/>
              <w:rPr>
                <w:rFonts w:ascii="宋体" w:hAnsi="宋体" w:eastAsia="宋体" w:cs="宋体"/>
                <w:color w:val="000000"/>
                <w:sz w:val="20"/>
                <w:szCs w:val="20"/>
              </w:rPr>
            </w:pPr>
            <w:r>
              <w:rPr>
                <w:rFonts w:hint="eastAsia" w:ascii="宋体" w:hAnsi="宋体" w:eastAsia="宋体" w:cs="宋体"/>
                <w:color w:val="000000"/>
                <w:sz w:val="20"/>
                <w:szCs w:val="20"/>
              </w:rPr>
              <w:t>2</w:t>
            </w:r>
            <w:r>
              <w:rPr>
                <w:rFonts w:ascii="宋体" w:hAnsi="宋体" w:eastAsia="宋体" w:cs="宋体"/>
                <w:color w:val="000000"/>
                <w:sz w:val="20"/>
                <w:szCs w:val="20"/>
              </w:rPr>
              <w:t>6</w:t>
            </w:r>
          </w:p>
        </w:tc>
        <w:tc>
          <w:tcPr>
            <w:tcW w:w="992" w:type="dxa"/>
            <w:tcBorders>
              <w:top w:val="single" w:color="000000" w:sz="4" w:space="0"/>
              <w:left w:val="single" w:color="000000" w:sz="4" w:space="0"/>
              <w:bottom w:val="single" w:color="000000" w:sz="4" w:space="0"/>
              <w:right w:val="single" w:color="000000" w:sz="4" w:space="0"/>
            </w:tcBorders>
            <w:shd w:val="clear" w:color="auto" w:fill="FFFFFF"/>
            <w:tcMar>
              <w:top w:w="12" w:type="dxa"/>
              <w:left w:w="12" w:type="dxa"/>
              <w:right w:w="12" w:type="dxa"/>
            </w:tcMar>
            <w:vAlign w:val="center"/>
          </w:tcPr>
          <w:p>
            <w:pPr>
              <w:widowControl/>
              <w:adjustRightInd w:val="0"/>
              <w:jc w:val="center"/>
              <w:textAlignment w:val="center"/>
              <w:rPr>
                <w:rFonts w:ascii="宋体" w:hAnsi="宋体" w:eastAsia="宋体" w:cs="宋体"/>
                <w:color w:val="000000"/>
                <w:sz w:val="20"/>
                <w:szCs w:val="20"/>
              </w:rPr>
            </w:pPr>
            <w:r>
              <w:rPr>
                <w:rFonts w:ascii="宋体" w:hAnsi="宋体" w:eastAsia="宋体" w:cs="宋体"/>
                <w:color w:val="000000"/>
                <w:kern w:val="0"/>
                <w:sz w:val="20"/>
                <w:szCs w:val="20"/>
                <w:lang w:bidi="ar"/>
              </w:rPr>
              <w:t>8</w:t>
            </w:r>
          </w:p>
        </w:tc>
        <w:tc>
          <w:tcPr>
            <w:tcW w:w="993" w:type="dxa"/>
            <w:tcBorders>
              <w:top w:val="single" w:color="000000" w:sz="4" w:space="0"/>
              <w:left w:val="single" w:color="000000" w:sz="4" w:space="0"/>
              <w:bottom w:val="single" w:color="000000" w:sz="4" w:space="0"/>
              <w:right w:val="single" w:color="000000" w:sz="4" w:space="0"/>
            </w:tcBorders>
            <w:shd w:val="clear" w:color="auto" w:fill="FFFFFF"/>
            <w:tcMar>
              <w:top w:w="12" w:type="dxa"/>
              <w:left w:w="12" w:type="dxa"/>
              <w:right w:w="12" w:type="dxa"/>
            </w:tcMar>
            <w:vAlign w:val="center"/>
          </w:tcPr>
          <w:p>
            <w:pPr>
              <w:widowControl/>
              <w:adjustRightInd w:val="0"/>
              <w:jc w:val="center"/>
              <w:textAlignment w:val="center"/>
              <w:rPr>
                <w:rFonts w:ascii="宋体" w:hAnsi="宋体" w:eastAsia="宋体" w:cs="宋体"/>
                <w:color w:val="000000"/>
                <w:kern w:val="0"/>
                <w:sz w:val="20"/>
                <w:szCs w:val="20"/>
                <w:lang w:bidi="ar"/>
              </w:rPr>
            </w:pPr>
            <w:r>
              <w:rPr>
                <w:rFonts w:hint="eastAsia" w:ascii="宋体" w:hAnsi="宋体" w:eastAsia="宋体" w:cs="宋体"/>
                <w:color w:val="000000"/>
                <w:kern w:val="0"/>
                <w:sz w:val="20"/>
                <w:szCs w:val="20"/>
                <w:lang w:bidi="ar"/>
              </w:rPr>
              <w:t>0</w:t>
            </w:r>
          </w:p>
        </w:tc>
        <w:tc>
          <w:tcPr>
            <w:tcW w:w="99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adjustRightInd w:val="0"/>
              <w:jc w:val="center"/>
              <w:textAlignment w:val="center"/>
              <w:rPr>
                <w:rFonts w:ascii="宋体" w:hAnsi="宋体" w:eastAsia="宋体" w:cs="宋体"/>
                <w:color w:val="000000"/>
                <w:kern w:val="0"/>
                <w:sz w:val="20"/>
                <w:szCs w:val="20"/>
                <w:lang w:bidi="ar"/>
              </w:rPr>
            </w:pPr>
            <w:r>
              <w:rPr>
                <w:rFonts w:hint="eastAsia" w:ascii="宋体" w:hAnsi="宋体" w:eastAsia="宋体" w:cs="宋体"/>
                <w:color w:val="000000"/>
                <w:kern w:val="0"/>
                <w:sz w:val="20"/>
                <w:szCs w:val="20"/>
                <w:lang w:bidi="ar"/>
              </w:rPr>
              <w:t>0</w:t>
            </w:r>
          </w:p>
        </w:tc>
        <w:tc>
          <w:tcPr>
            <w:tcW w:w="1134" w:type="dxa"/>
            <w:tcBorders>
              <w:top w:val="single" w:color="000000" w:sz="4" w:space="0"/>
              <w:left w:val="single" w:color="000000" w:sz="4" w:space="0"/>
              <w:bottom w:val="single" w:color="000000" w:sz="4" w:space="0"/>
              <w:right w:val="single" w:color="000000" w:sz="4" w:space="0"/>
            </w:tcBorders>
            <w:shd w:val="clear" w:color="auto" w:fill="FFFFFF"/>
            <w:tcMar>
              <w:top w:w="12" w:type="dxa"/>
              <w:left w:w="12" w:type="dxa"/>
              <w:right w:w="12" w:type="dxa"/>
            </w:tcMar>
            <w:vAlign w:val="center"/>
          </w:tcPr>
          <w:p>
            <w:pPr>
              <w:widowControl/>
              <w:adjustRightInd w:val="0"/>
              <w:jc w:val="center"/>
              <w:textAlignment w:val="center"/>
              <w:rPr>
                <w:rFonts w:ascii="宋体" w:hAnsi="宋体" w:eastAsia="宋体" w:cs="宋体"/>
                <w:color w:val="000000"/>
                <w:sz w:val="20"/>
                <w:szCs w:val="20"/>
              </w:rPr>
            </w:pPr>
            <w:r>
              <w:rPr>
                <w:rFonts w:ascii="宋体" w:hAnsi="宋体" w:eastAsia="宋体" w:cs="宋体"/>
                <w:color w:val="000000"/>
                <w:kern w:val="0"/>
                <w:sz w:val="20"/>
                <w:szCs w:val="20"/>
                <w:lang w:bidi="ar"/>
              </w:rPr>
              <w:t>100</w:t>
            </w:r>
            <w:r>
              <w:rPr>
                <w:rFonts w:hint="eastAsia" w:ascii="宋体" w:hAnsi="宋体" w:eastAsia="宋体" w:cs="宋体"/>
                <w:color w:val="000000"/>
                <w:kern w:val="0"/>
                <w:sz w:val="20"/>
                <w:szCs w:val="20"/>
                <w:lang w:bidi="ar"/>
              </w:rPr>
              <w:t>%</w:t>
            </w:r>
          </w:p>
        </w:tc>
      </w:tr>
      <w:tr>
        <w:tblPrEx>
          <w:tblCellMar>
            <w:top w:w="0" w:type="dxa"/>
            <w:left w:w="0" w:type="dxa"/>
            <w:bottom w:w="0" w:type="dxa"/>
            <w:right w:w="0" w:type="dxa"/>
          </w:tblCellMar>
        </w:tblPrEx>
        <w:trPr>
          <w:trHeight w:val="419" w:hRule="atLeast"/>
        </w:trPr>
        <w:tc>
          <w:tcPr>
            <w:tcW w:w="1555" w:type="dxa"/>
            <w:tcBorders>
              <w:top w:val="single" w:color="000000" w:sz="4" w:space="0"/>
              <w:left w:val="single" w:color="000000" w:sz="4" w:space="0"/>
              <w:bottom w:val="single" w:color="000000" w:sz="4" w:space="0"/>
              <w:right w:val="single" w:color="000000" w:sz="4" w:space="0"/>
            </w:tcBorders>
            <w:shd w:val="clear" w:color="auto" w:fill="FFFFFF"/>
            <w:tcMar>
              <w:top w:w="12" w:type="dxa"/>
              <w:left w:w="12" w:type="dxa"/>
              <w:right w:w="12" w:type="dxa"/>
            </w:tcMar>
            <w:vAlign w:val="center"/>
          </w:tcPr>
          <w:p>
            <w:pPr>
              <w:widowControl/>
              <w:adjustRightInd w:val="0"/>
              <w:jc w:val="center"/>
              <w:textAlignment w:val="center"/>
              <w:rPr>
                <w:rFonts w:ascii="宋体" w:hAnsi="宋体" w:eastAsia="宋体" w:cs="宋体"/>
                <w:color w:val="000000"/>
                <w:sz w:val="20"/>
                <w:szCs w:val="20"/>
              </w:rPr>
            </w:pPr>
            <w:r>
              <w:rPr>
                <w:rFonts w:hint="eastAsia" w:ascii="宋体" w:hAnsi="宋体" w:eastAsia="宋体" w:cs="宋体"/>
                <w:color w:val="000000"/>
                <w:kern w:val="0"/>
                <w:sz w:val="20"/>
                <w:szCs w:val="20"/>
                <w:lang w:bidi="ar"/>
              </w:rPr>
              <w:t>新闻学</w:t>
            </w:r>
          </w:p>
        </w:tc>
        <w:tc>
          <w:tcPr>
            <w:tcW w:w="1134" w:type="dxa"/>
            <w:tcBorders>
              <w:top w:val="single" w:color="000000" w:sz="4" w:space="0"/>
              <w:left w:val="single" w:color="000000" w:sz="4" w:space="0"/>
              <w:bottom w:val="single" w:color="000000" w:sz="4" w:space="0"/>
              <w:right w:val="single" w:color="000000" w:sz="4" w:space="0"/>
            </w:tcBorders>
            <w:shd w:val="clear" w:color="auto" w:fill="FFFFFF"/>
            <w:tcMar>
              <w:top w:w="12" w:type="dxa"/>
              <w:left w:w="12" w:type="dxa"/>
              <w:right w:w="12" w:type="dxa"/>
            </w:tcMar>
            <w:vAlign w:val="center"/>
          </w:tcPr>
          <w:p>
            <w:pPr>
              <w:widowControl/>
              <w:adjustRightInd w:val="0"/>
              <w:jc w:val="center"/>
              <w:textAlignment w:val="center"/>
              <w:rPr>
                <w:rFonts w:ascii="宋体" w:hAnsi="宋体" w:eastAsia="宋体" w:cs="宋体"/>
                <w:color w:val="000000"/>
                <w:sz w:val="20"/>
                <w:szCs w:val="20"/>
              </w:rPr>
            </w:pPr>
            <w:r>
              <w:rPr>
                <w:rFonts w:ascii="宋体" w:hAnsi="宋体" w:eastAsia="宋体" w:cs="宋体"/>
                <w:color w:val="000000"/>
                <w:kern w:val="0"/>
                <w:sz w:val="20"/>
                <w:szCs w:val="20"/>
                <w:lang w:bidi="ar"/>
              </w:rPr>
              <w:t>83</w:t>
            </w:r>
          </w:p>
        </w:tc>
        <w:tc>
          <w:tcPr>
            <w:tcW w:w="1417" w:type="dxa"/>
            <w:tcBorders>
              <w:top w:val="single" w:color="000000" w:sz="4" w:space="0"/>
              <w:left w:val="single" w:color="000000" w:sz="4" w:space="0"/>
              <w:bottom w:val="single" w:color="000000" w:sz="4" w:space="0"/>
              <w:right w:val="single" w:color="000000" w:sz="4" w:space="0"/>
            </w:tcBorders>
            <w:shd w:val="clear" w:color="auto" w:fill="FFFFFF"/>
            <w:tcMar>
              <w:top w:w="12" w:type="dxa"/>
              <w:left w:w="12" w:type="dxa"/>
              <w:right w:w="12" w:type="dxa"/>
            </w:tcMar>
            <w:vAlign w:val="center"/>
          </w:tcPr>
          <w:p>
            <w:pPr>
              <w:widowControl/>
              <w:adjustRightInd w:val="0"/>
              <w:jc w:val="center"/>
              <w:textAlignment w:val="center"/>
              <w:rPr>
                <w:rFonts w:ascii="宋体" w:hAnsi="宋体" w:eastAsia="宋体" w:cs="宋体"/>
                <w:color w:val="000000"/>
                <w:sz w:val="20"/>
                <w:szCs w:val="20"/>
              </w:rPr>
            </w:pPr>
            <w:r>
              <w:rPr>
                <w:rFonts w:ascii="宋体" w:hAnsi="宋体" w:eastAsia="宋体" w:cs="宋体"/>
                <w:color w:val="000000"/>
                <w:sz w:val="20"/>
                <w:szCs w:val="20"/>
              </w:rPr>
              <w:t>74</w:t>
            </w:r>
          </w:p>
        </w:tc>
        <w:tc>
          <w:tcPr>
            <w:tcW w:w="992" w:type="dxa"/>
            <w:tcBorders>
              <w:top w:val="single" w:color="000000" w:sz="4" w:space="0"/>
              <w:left w:val="single" w:color="000000" w:sz="4" w:space="0"/>
              <w:bottom w:val="single" w:color="000000" w:sz="4" w:space="0"/>
              <w:right w:val="single" w:color="000000" w:sz="4" w:space="0"/>
            </w:tcBorders>
            <w:shd w:val="clear" w:color="auto" w:fill="FFFFFF"/>
            <w:tcMar>
              <w:top w:w="12" w:type="dxa"/>
              <w:left w:w="12" w:type="dxa"/>
              <w:right w:w="12" w:type="dxa"/>
            </w:tcMar>
            <w:vAlign w:val="center"/>
          </w:tcPr>
          <w:p>
            <w:pPr>
              <w:widowControl/>
              <w:adjustRightInd w:val="0"/>
              <w:jc w:val="center"/>
              <w:textAlignment w:val="center"/>
              <w:rPr>
                <w:rFonts w:ascii="宋体" w:hAnsi="宋体" w:eastAsia="宋体" w:cs="宋体"/>
                <w:color w:val="000000"/>
                <w:sz w:val="20"/>
                <w:szCs w:val="20"/>
              </w:rPr>
            </w:pPr>
            <w:r>
              <w:rPr>
                <w:rFonts w:ascii="宋体" w:hAnsi="宋体" w:eastAsia="宋体" w:cs="宋体"/>
                <w:color w:val="000000"/>
                <w:sz w:val="20"/>
                <w:szCs w:val="20"/>
              </w:rPr>
              <w:t>5</w:t>
            </w:r>
          </w:p>
        </w:tc>
        <w:tc>
          <w:tcPr>
            <w:tcW w:w="993" w:type="dxa"/>
            <w:tcBorders>
              <w:top w:val="single" w:color="000000" w:sz="4" w:space="0"/>
              <w:left w:val="single" w:color="000000" w:sz="4" w:space="0"/>
              <w:bottom w:val="single" w:color="000000" w:sz="4" w:space="0"/>
              <w:right w:val="single" w:color="000000" w:sz="4" w:space="0"/>
            </w:tcBorders>
            <w:shd w:val="clear" w:color="auto" w:fill="FFFFFF"/>
            <w:tcMar>
              <w:top w:w="12" w:type="dxa"/>
              <w:left w:w="12" w:type="dxa"/>
              <w:right w:w="12" w:type="dxa"/>
            </w:tcMar>
            <w:vAlign w:val="center"/>
          </w:tcPr>
          <w:p>
            <w:pPr>
              <w:widowControl/>
              <w:adjustRightInd w:val="0"/>
              <w:jc w:val="center"/>
              <w:textAlignment w:val="center"/>
              <w:rPr>
                <w:rFonts w:ascii="宋体" w:hAnsi="宋体" w:eastAsia="宋体" w:cs="宋体"/>
                <w:color w:val="000000"/>
                <w:kern w:val="0"/>
                <w:sz w:val="20"/>
                <w:szCs w:val="20"/>
                <w:lang w:bidi="ar"/>
              </w:rPr>
            </w:pPr>
            <w:r>
              <w:rPr>
                <w:rFonts w:ascii="宋体" w:hAnsi="宋体" w:eastAsia="宋体" w:cs="宋体"/>
                <w:color w:val="000000"/>
                <w:kern w:val="0"/>
                <w:sz w:val="20"/>
                <w:szCs w:val="20"/>
                <w:lang w:bidi="ar"/>
              </w:rPr>
              <w:t>2</w:t>
            </w:r>
          </w:p>
        </w:tc>
        <w:tc>
          <w:tcPr>
            <w:tcW w:w="99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adjustRightInd w:val="0"/>
              <w:jc w:val="center"/>
              <w:textAlignment w:val="center"/>
              <w:rPr>
                <w:rFonts w:ascii="宋体" w:hAnsi="宋体" w:eastAsia="宋体" w:cs="宋体"/>
                <w:color w:val="000000"/>
                <w:kern w:val="0"/>
                <w:sz w:val="20"/>
                <w:szCs w:val="20"/>
                <w:lang w:bidi="ar"/>
              </w:rPr>
            </w:pPr>
            <w:r>
              <w:rPr>
                <w:rFonts w:hint="eastAsia" w:ascii="宋体" w:hAnsi="宋体" w:eastAsia="宋体" w:cs="宋体"/>
                <w:color w:val="000000"/>
                <w:kern w:val="0"/>
                <w:sz w:val="20"/>
                <w:szCs w:val="20"/>
                <w:lang w:bidi="ar"/>
              </w:rPr>
              <w:t>2</w:t>
            </w:r>
          </w:p>
        </w:tc>
        <w:tc>
          <w:tcPr>
            <w:tcW w:w="1134" w:type="dxa"/>
            <w:tcBorders>
              <w:top w:val="single" w:color="000000" w:sz="4" w:space="0"/>
              <w:left w:val="single" w:color="000000" w:sz="4" w:space="0"/>
              <w:bottom w:val="single" w:color="000000" w:sz="4" w:space="0"/>
              <w:right w:val="single" w:color="000000" w:sz="4" w:space="0"/>
            </w:tcBorders>
            <w:shd w:val="clear" w:color="auto" w:fill="FFFFFF"/>
            <w:tcMar>
              <w:top w:w="12" w:type="dxa"/>
              <w:left w:w="12" w:type="dxa"/>
              <w:right w:w="12" w:type="dxa"/>
            </w:tcMar>
            <w:vAlign w:val="center"/>
          </w:tcPr>
          <w:p>
            <w:pPr>
              <w:widowControl/>
              <w:adjustRightInd w:val="0"/>
              <w:jc w:val="center"/>
              <w:textAlignment w:val="center"/>
              <w:rPr>
                <w:rFonts w:ascii="宋体" w:hAnsi="宋体" w:eastAsia="宋体" w:cs="宋体"/>
                <w:color w:val="000000"/>
                <w:sz w:val="20"/>
                <w:szCs w:val="20"/>
              </w:rPr>
            </w:pPr>
            <w:r>
              <w:rPr>
                <w:rFonts w:hint="eastAsia" w:ascii="宋体" w:hAnsi="宋体" w:eastAsia="宋体" w:cs="宋体"/>
                <w:color w:val="000000"/>
                <w:kern w:val="0"/>
                <w:sz w:val="20"/>
                <w:szCs w:val="20"/>
                <w:lang w:bidi="ar"/>
              </w:rPr>
              <w:t>9</w:t>
            </w:r>
            <w:r>
              <w:rPr>
                <w:rFonts w:ascii="宋体" w:hAnsi="宋体" w:eastAsia="宋体" w:cs="宋体"/>
                <w:color w:val="000000"/>
                <w:kern w:val="0"/>
                <w:sz w:val="20"/>
                <w:szCs w:val="20"/>
                <w:lang w:bidi="ar"/>
              </w:rPr>
              <w:t>7.59</w:t>
            </w:r>
            <w:r>
              <w:rPr>
                <w:rFonts w:hint="eastAsia" w:ascii="宋体" w:hAnsi="宋体" w:eastAsia="宋体" w:cs="宋体"/>
                <w:color w:val="000000"/>
                <w:kern w:val="0"/>
                <w:sz w:val="20"/>
                <w:szCs w:val="20"/>
                <w:lang w:bidi="ar"/>
              </w:rPr>
              <w:t>%</w:t>
            </w:r>
          </w:p>
        </w:tc>
      </w:tr>
      <w:tr>
        <w:tblPrEx>
          <w:tblCellMar>
            <w:top w:w="0" w:type="dxa"/>
            <w:left w:w="0" w:type="dxa"/>
            <w:bottom w:w="0" w:type="dxa"/>
            <w:right w:w="0" w:type="dxa"/>
          </w:tblCellMar>
        </w:tblPrEx>
        <w:trPr>
          <w:trHeight w:val="396" w:hRule="atLeast"/>
        </w:trPr>
        <w:tc>
          <w:tcPr>
            <w:tcW w:w="1555" w:type="dxa"/>
            <w:tcBorders>
              <w:top w:val="single" w:color="000000" w:sz="4" w:space="0"/>
              <w:left w:val="single" w:color="000000" w:sz="4" w:space="0"/>
              <w:bottom w:val="single" w:color="000000" w:sz="4" w:space="0"/>
              <w:right w:val="single" w:color="000000" w:sz="4" w:space="0"/>
            </w:tcBorders>
            <w:shd w:val="clear" w:color="auto" w:fill="FFFFFF"/>
            <w:tcMar>
              <w:top w:w="12" w:type="dxa"/>
              <w:left w:w="12" w:type="dxa"/>
              <w:right w:w="12" w:type="dxa"/>
            </w:tcMar>
            <w:vAlign w:val="center"/>
          </w:tcPr>
          <w:p>
            <w:pPr>
              <w:widowControl/>
              <w:adjustRightInd w:val="0"/>
              <w:jc w:val="center"/>
              <w:textAlignment w:val="center"/>
              <w:rPr>
                <w:rFonts w:ascii="宋体" w:hAnsi="宋体" w:eastAsia="宋体" w:cs="宋体"/>
                <w:color w:val="000000"/>
                <w:kern w:val="0"/>
                <w:sz w:val="20"/>
                <w:szCs w:val="20"/>
                <w:lang w:bidi="ar"/>
              </w:rPr>
            </w:pPr>
            <w:r>
              <w:rPr>
                <w:rFonts w:hint="eastAsia" w:ascii="宋体" w:hAnsi="宋体" w:eastAsia="宋体" w:cs="宋体"/>
                <w:color w:val="000000"/>
                <w:kern w:val="0"/>
                <w:sz w:val="20"/>
                <w:szCs w:val="20"/>
                <w:lang w:bidi="ar"/>
              </w:rPr>
              <w:t>汉语国际教育（2+2）</w:t>
            </w:r>
          </w:p>
        </w:tc>
        <w:tc>
          <w:tcPr>
            <w:tcW w:w="1134" w:type="dxa"/>
            <w:tcBorders>
              <w:top w:val="single" w:color="000000" w:sz="4" w:space="0"/>
              <w:left w:val="single" w:color="000000" w:sz="4" w:space="0"/>
              <w:bottom w:val="single" w:color="000000" w:sz="4" w:space="0"/>
              <w:right w:val="single" w:color="000000" w:sz="4" w:space="0"/>
            </w:tcBorders>
            <w:shd w:val="clear" w:color="auto" w:fill="FFFFFF"/>
            <w:tcMar>
              <w:top w:w="12" w:type="dxa"/>
              <w:left w:w="12" w:type="dxa"/>
              <w:right w:w="12" w:type="dxa"/>
            </w:tcMar>
            <w:vAlign w:val="center"/>
          </w:tcPr>
          <w:p>
            <w:pPr>
              <w:widowControl/>
              <w:adjustRightInd w:val="0"/>
              <w:jc w:val="center"/>
              <w:textAlignment w:val="center"/>
              <w:rPr>
                <w:rFonts w:ascii="宋体" w:hAnsi="宋体" w:eastAsia="宋体" w:cs="宋体"/>
                <w:color w:val="000000"/>
                <w:kern w:val="0"/>
                <w:sz w:val="20"/>
                <w:szCs w:val="20"/>
                <w:lang w:bidi="ar"/>
              </w:rPr>
            </w:pPr>
            <w:r>
              <w:rPr>
                <w:rFonts w:ascii="宋体" w:hAnsi="宋体" w:eastAsia="宋体" w:cs="宋体"/>
                <w:color w:val="000000"/>
                <w:kern w:val="0"/>
                <w:sz w:val="20"/>
                <w:szCs w:val="20"/>
                <w:lang w:bidi="ar"/>
              </w:rPr>
              <w:t>58</w:t>
            </w:r>
          </w:p>
        </w:tc>
        <w:tc>
          <w:tcPr>
            <w:tcW w:w="1417" w:type="dxa"/>
            <w:tcBorders>
              <w:top w:val="single" w:color="000000" w:sz="4" w:space="0"/>
              <w:left w:val="single" w:color="000000" w:sz="4" w:space="0"/>
              <w:bottom w:val="single" w:color="000000" w:sz="4" w:space="0"/>
              <w:right w:val="single" w:color="000000" w:sz="4" w:space="0"/>
            </w:tcBorders>
            <w:shd w:val="clear" w:color="auto" w:fill="FFFFFF"/>
            <w:tcMar>
              <w:top w:w="12" w:type="dxa"/>
              <w:left w:w="12" w:type="dxa"/>
              <w:right w:w="12" w:type="dxa"/>
            </w:tcMar>
            <w:vAlign w:val="center"/>
          </w:tcPr>
          <w:p>
            <w:pPr>
              <w:widowControl/>
              <w:adjustRightInd w:val="0"/>
              <w:jc w:val="center"/>
              <w:textAlignment w:val="center"/>
              <w:rPr>
                <w:rFonts w:ascii="宋体" w:hAnsi="宋体" w:eastAsia="宋体" w:cs="宋体"/>
                <w:color w:val="000000"/>
                <w:kern w:val="0"/>
                <w:sz w:val="20"/>
                <w:szCs w:val="20"/>
                <w:lang w:bidi="ar"/>
              </w:rPr>
            </w:pPr>
            <w:r>
              <w:rPr>
                <w:rFonts w:hint="eastAsia" w:ascii="宋体" w:hAnsi="宋体" w:eastAsia="宋体" w:cs="宋体"/>
                <w:color w:val="000000"/>
                <w:kern w:val="0"/>
                <w:sz w:val="20"/>
                <w:szCs w:val="20"/>
                <w:lang w:bidi="ar"/>
              </w:rPr>
              <w:t>4</w:t>
            </w:r>
            <w:r>
              <w:rPr>
                <w:rFonts w:ascii="宋体" w:hAnsi="宋体" w:eastAsia="宋体" w:cs="宋体"/>
                <w:color w:val="000000"/>
                <w:kern w:val="0"/>
                <w:sz w:val="20"/>
                <w:szCs w:val="20"/>
                <w:lang w:bidi="ar"/>
              </w:rPr>
              <w:t>7</w:t>
            </w:r>
          </w:p>
        </w:tc>
        <w:tc>
          <w:tcPr>
            <w:tcW w:w="992" w:type="dxa"/>
            <w:tcBorders>
              <w:top w:val="single" w:color="000000" w:sz="4" w:space="0"/>
              <w:left w:val="single" w:color="000000" w:sz="4" w:space="0"/>
              <w:bottom w:val="single" w:color="000000" w:sz="4" w:space="0"/>
              <w:right w:val="single" w:color="000000" w:sz="4" w:space="0"/>
            </w:tcBorders>
            <w:shd w:val="clear" w:color="auto" w:fill="FFFFFF"/>
            <w:tcMar>
              <w:top w:w="12" w:type="dxa"/>
              <w:left w:w="12" w:type="dxa"/>
              <w:right w:w="12" w:type="dxa"/>
            </w:tcMar>
            <w:vAlign w:val="center"/>
          </w:tcPr>
          <w:p>
            <w:pPr>
              <w:widowControl/>
              <w:adjustRightInd w:val="0"/>
              <w:jc w:val="center"/>
              <w:textAlignment w:val="center"/>
              <w:rPr>
                <w:rFonts w:ascii="宋体" w:hAnsi="宋体" w:eastAsia="宋体" w:cs="宋体"/>
                <w:color w:val="000000"/>
                <w:sz w:val="20"/>
                <w:szCs w:val="20"/>
              </w:rPr>
            </w:pPr>
            <w:r>
              <w:rPr>
                <w:rFonts w:hint="eastAsia" w:ascii="宋体" w:hAnsi="宋体" w:eastAsia="宋体" w:cs="宋体"/>
                <w:color w:val="000000"/>
                <w:kern w:val="0"/>
                <w:sz w:val="20"/>
                <w:szCs w:val="20"/>
                <w:lang w:bidi="ar"/>
              </w:rPr>
              <w:t>0</w:t>
            </w:r>
          </w:p>
        </w:tc>
        <w:tc>
          <w:tcPr>
            <w:tcW w:w="993" w:type="dxa"/>
            <w:tcBorders>
              <w:top w:val="single" w:color="000000" w:sz="4" w:space="0"/>
              <w:left w:val="single" w:color="000000" w:sz="4" w:space="0"/>
              <w:bottom w:val="single" w:color="000000" w:sz="4" w:space="0"/>
              <w:right w:val="single" w:color="000000" w:sz="4" w:space="0"/>
            </w:tcBorders>
            <w:shd w:val="clear" w:color="auto" w:fill="FFFFFF"/>
            <w:tcMar>
              <w:top w:w="12" w:type="dxa"/>
              <w:left w:w="12" w:type="dxa"/>
              <w:right w:w="12" w:type="dxa"/>
            </w:tcMar>
            <w:vAlign w:val="center"/>
          </w:tcPr>
          <w:p>
            <w:pPr>
              <w:widowControl/>
              <w:adjustRightInd w:val="0"/>
              <w:jc w:val="center"/>
              <w:textAlignment w:val="center"/>
              <w:rPr>
                <w:rFonts w:ascii="宋体" w:hAnsi="宋体" w:eastAsia="宋体" w:cs="宋体"/>
                <w:color w:val="000000"/>
                <w:kern w:val="0"/>
                <w:sz w:val="20"/>
                <w:szCs w:val="20"/>
                <w:lang w:bidi="ar"/>
              </w:rPr>
            </w:pPr>
            <w:r>
              <w:rPr>
                <w:rFonts w:hint="eastAsia" w:ascii="宋体" w:hAnsi="宋体" w:eastAsia="宋体" w:cs="宋体"/>
                <w:color w:val="000000"/>
                <w:kern w:val="0"/>
                <w:sz w:val="20"/>
                <w:szCs w:val="20"/>
                <w:lang w:bidi="ar"/>
              </w:rPr>
              <w:t>5</w:t>
            </w:r>
          </w:p>
        </w:tc>
        <w:tc>
          <w:tcPr>
            <w:tcW w:w="99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adjustRightInd w:val="0"/>
              <w:jc w:val="center"/>
              <w:textAlignment w:val="center"/>
              <w:rPr>
                <w:rFonts w:ascii="宋体" w:hAnsi="宋体" w:eastAsia="宋体" w:cs="宋体"/>
                <w:color w:val="000000"/>
                <w:kern w:val="0"/>
                <w:sz w:val="20"/>
                <w:szCs w:val="20"/>
                <w:lang w:bidi="ar"/>
              </w:rPr>
            </w:pPr>
            <w:r>
              <w:rPr>
                <w:rFonts w:hint="eastAsia" w:ascii="宋体" w:hAnsi="宋体" w:eastAsia="宋体" w:cs="宋体"/>
                <w:color w:val="000000"/>
                <w:kern w:val="0"/>
                <w:sz w:val="20"/>
                <w:szCs w:val="20"/>
                <w:lang w:bidi="ar"/>
              </w:rPr>
              <w:t>6</w:t>
            </w:r>
          </w:p>
        </w:tc>
        <w:tc>
          <w:tcPr>
            <w:tcW w:w="1134" w:type="dxa"/>
            <w:tcBorders>
              <w:top w:val="single" w:color="000000" w:sz="4" w:space="0"/>
              <w:left w:val="single" w:color="000000" w:sz="4" w:space="0"/>
              <w:bottom w:val="single" w:color="000000" w:sz="4" w:space="0"/>
              <w:right w:val="single" w:color="000000" w:sz="4" w:space="0"/>
            </w:tcBorders>
            <w:shd w:val="clear" w:color="auto" w:fill="FFFFFF"/>
            <w:tcMar>
              <w:top w:w="12" w:type="dxa"/>
              <w:left w:w="12" w:type="dxa"/>
              <w:right w:w="12" w:type="dxa"/>
            </w:tcMar>
            <w:vAlign w:val="center"/>
          </w:tcPr>
          <w:p>
            <w:pPr>
              <w:widowControl/>
              <w:adjustRightInd w:val="0"/>
              <w:jc w:val="center"/>
              <w:textAlignment w:val="center"/>
              <w:rPr>
                <w:rFonts w:ascii="宋体" w:hAnsi="宋体" w:eastAsia="宋体" w:cs="宋体"/>
                <w:color w:val="000000"/>
                <w:kern w:val="0"/>
                <w:sz w:val="20"/>
                <w:szCs w:val="20"/>
                <w:lang w:bidi="ar"/>
              </w:rPr>
            </w:pPr>
            <w:r>
              <w:rPr>
                <w:rFonts w:ascii="宋体" w:hAnsi="宋体" w:eastAsia="宋体" w:cs="宋体"/>
                <w:color w:val="000000"/>
                <w:kern w:val="0"/>
                <w:sz w:val="20"/>
                <w:szCs w:val="20"/>
                <w:lang w:bidi="ar"/>
              </w:rPr>
              <w:t>89</w:t>
            </w:r>
            <w:r>
              <w:rPr>
                <w:rFonts w:hint="eastAsia" w:ascii="宋体" w:hAnsi="宋体" w:eastAsia="宋体" w:cs="宋体"/>
                <w:color w:val="000000"/>
                <w:kern w:val="0"/>
                <w:sz w:val="20"/>
                <w:szCs w:val="20"/>
                <w:lang w:bidi="ar"/>
              </w:rPr>
              <w:t>.</w:t>
            </w:r>
            <w:r>
              <w:rPr>
                <w:rFonts w:ascii="宋体" w:hAnsi="宋体" w:eastAsia="宋体" w:cs="宋体"/>
                <w:color w:val="000000"/>
                <w:kern w:val="0"/>
                <w:sz w:val="20"/>
                <w:szCs w:val="20"/>
                <w:lang w:bidi="ar"/>
              </w:rPr>
              <w:t>66</w:t>
            </w:r>
            <w:r>
              <w:rPr>
                <w:rFonts w:hint="eastAsia" w:ascii="宋体" w:hAnsi="宋体" w:eastAsia="宋体" w:cs="宋体"/>
                <w:color w:val="000000"/>
                <w:kern w:val="0"/>
                <w:sz w:val="20"/>
                <w:szCs w:val="20"/>
                <w:lang w:bidi="ar"/>
              </w:rPr>
              <w:t>%</w:t>
            </w:r>
          </w:p>
        </w:tc>
      </w:tr>
      <w:tr>
        <w:tblPrEx>
          <w:tblCellMar>
            <w:top w:w="0" w:type="dxa"/>
            <w:left w:w="0" w:type="dxa"/>
            <w:bottom w:w="0" w:type="dxa"/>
            <w:right w:w="0" w:type="dxa"/>
          </w:tblCellMar>
        </w:tblPrEx>
        <w:trPr>
          <w:trHeight w:val="680" w:hRule="atLeast"/>
        </w:trPr>
        <w:tc>
          <w:tcPr>
            <w:tcW w:w="1555" w:type="dxa"/>
            <w:tcBorders>
              <w:top w:val="single" w:color="000000" w:sz="4" w:space="0"/>
              <w:left w:val="single" w:color="000000" w:sz="4" w:space="0"/>
              <w:bottom w:val="single" w:color="000000" w:sz="4" w:space="0"/>
              <w:right w:val="single" w:color="000000" w:sz="4" w:space="0"/>
            </w:tcBorders>
            <w:shd w:val="clear" w:color="auto" w:fill="FFFFFF"/>
            <w:tcMar>
              <w:top w:w="12" w:type="dxa"/>
              <w:left w:w="12" w:type="dxa"/>
              <w:right w:w="12" w:type="dxa"/>
            </w:tcMar>
            <w:vAlign w:val="center"/>
          </w:tcPr>
          <w:p>
            <w:pPr>
              <w:widowControl/>
              <w:adjustRightInd w:val="0"/>
              <w:jc w:val="center"/>
              <w:textAlignment w:val="center"/>
              <w:rPr>
                <w:rFonts w:ascii="宋体" w:hAnsi="宋体" w:eastAsia="宋体" w:cs="宋体"/>
                <w:color w:val="000000"/>
                <w:kern w:val="0"/>
                <w:sz w:val="20"/>
                <w:szCs w:val="20"/>
                <w:lang w:bidi="ar"/>
              </w:rPr>
            </w:pPr>
            <w:r>
              <w:rPr>
                <w:rFonts w:hint="eastAsia" w:ascii="宋体" w:hAnsi="宋体" w:eastAsia="宋体" w:cs="宋体"/>
                <w:color w:val="000000"/>
                <w:kern w:val="0"/>
                <w:sz w:val="20"/>
                <w:szCs w:val="20"/>
                <w:lang w:bidi="ar"/>
              </w:rPr>
              <w:t>合计</w:t>
            </w:r>
          </w:p>
        </w:tc>
        <w:tc>
          <w:tcPr>
            <w:tcW w:w="1134" w:type="dxa"/>
            <w:tcBorders>
              <w:top w:val="single" w:color="000000" w:sz="4" w:space="0"/>
              <w:left w:val="single" w:color="000000" w:sz="4" w:space="0"/>
              <w:bottom w:val="single" w:color="000000" w:sz="4" w:space="0"/>
              <w:right w:val="single" w:color="000000" w:sz="4" w:space="0"/>
            </w:tcBorders>
            <w:shd w:val="clear" w:color="auto" w:fill="FFFFFF"/>
            <w:tcMar>
              <w:top w:w="12" w:type="dxa"/>
              <w:left w:w="12" w:type="dxa"/>
              <w:right w:w="12" w:type="dxa"/>
            </w:tcMar>
            <w:vAlign w:val="center"/>
          </w:tcPr>
          <w:p>
            <w:pPr>
              <w:widowControl/>
              <w:adjustRightInd w:val="0"/>
              <w:jc w:val="center"/>
              <w:textAlignment w:val="center"/>
              <w:rPr>
                <w:rFonts w:ascii="宋体" w:hAnsi="宋体" w:eastAsia="宋体" w:cs="宋体"/>
                <w:color w:val="000000"/>
                <w:kern w:val="0"/>
                <w:sz w:val="20"/>
                <w:szCs w:val="20"/>
                <w:lang w:bidi="ar"/>
              </w:rPr>
            </w:pPr>
            <w:r>
              <w:rPr>
                <w:rFonts w:ascii="宋体" w:hAnsi="宋体" w:eastAsia="宋体" w:cs="宋体"/>
                <w:color w:val="000000"/>
                <w:kern w:val="0"/>
                <w:sz w:val="20"/>
                <w:szCs w:val="20"/>
                <w:lang w:bidi="ar"/>
              </w:rPr>
              <w:t>250</w:t>
            </w:r>
          </w:p>
        </w:tc>
        <w:tc>
          <w:tcPr>
            <w:tcW w:w="1417" w:type="dxa"/>
            <w:tcBorders>
              <w:top w:val="single" w:color="000000" w:sz="4" w:space="0"/>
              <w:left w:val="single" w:color="000000" w:sz="4" w:space="0"/>
              <w:bottom w:val="single" w:color="000000" w:sz="4" w:space="0"/>
              <w:right w:val="single" w:color="000000" w:sz="4" w:space="0"/>
            </w:tcBorders>
            <w:shd w:val="clear" w:color="auto" w:fill="FFFFFF"/>
            <w:tcMar>
              <w:top w:w="12" w:type="dxa"/>
              <w:left w:w="12" w:type="dxa"/>
              <w:right w:w="12" w:type="dxa"/>
            </w:tcMar>
            <w:vAlign w:val="center"/>
          </w:tcPr>
          <w:p>
            <w:pPr>
              <w:widowControl/>
              <w:adjustRightInd w:val="0"/>
              <w:jc w:val="center"/>
              <w:textAlignment w:val="center"/>
              <w:rPr>
                <w:rFonts w:ascii="宋体" w:hAnsi="宋体" w:eastAsia="宋体" w:cs="宋体"/>
                <w:color w:val="000000"/>
                <w:kern w:val="0"/>
                <w:sz w:val="20"/>
                <w:szCs w:val="20"/>
                <w:lang w:bidi="ar"/>
              </w:rPr>
            </w:pPr>
            <w:r>
              <w:rPr>
                <w:rFonts w:hint="eastAsia" w:ascii="宋体" w:hAnsi="宋体" w:eastAsia="宋体" w:cs="宋体"/>
                <w:color w:val="000000"/>
                <w:kern w:val="0"/>
                <w:sz w:val="20"/>
                <w:szCs w:val="20"/>
                <w:lang w:bidi="ar"/>
              </w:rPr>
              <w:t>2</w:t>
            </w:r>
            <w:r>
              <w:rPr>
                <w:rFonts w:ascii="宋体" w:hAnsi="宋体" w:eastAsia="宋体" w:cs="宋体"/>
                <w:color w:val="000000"/>
                <w:kern w:val="0"/>
                <w:sz w:val="20"/>
                <w:szCs w:val="20"/>
                <w:lang w:bidi="ar"/>
              </w:rPr>
              <w:t>15</w:t>
            </w:r>
          </w:p>
        </w:tc>
        <w:tc>
          <w:tcPr>
            <w:tcW w:w="992" w:type="dxa"/>
            <w:tcBorders>
              <w:top w:val="single" w:color="000000" w:sz="4" w:space="0"/>
              <w:left w:val="single" w:color="000000" w:sz="4" w:space="0"/>
              <w:bottom w:val="single" w:color="000000" w:sz="4" w:space="0"/>
              <w:right w:val="single" w:color="000000" w:sz="4" w:space="0"/>
            </w:tcBorders>
            <w:shd w:val="clear" w:color="auto" w:fill="FFFFFF"/>
            <w:tcMar>
              <w:top w:w="12" w:type="dxa"/>
              <w:left w:w="12" w:type="dxa"/>
              <w:right w:w="12" w:type="dxa"/>
            </w:tcMar>
            <w:vAlign w:val="center"/>
          </w:tcPr>
          <w:p>
            <w:pPr>
              <w:widowControl/>
              <w:adjustRightInd w:val="0"/>
              <w:jc w:val="center"/>
              <w:textAlignment w:val="center"/>
              <w:rPr>
                <w:rFonts w:ascii="宋体" w:hAnsi="宋体" w:eastAsia="宋体" w:cs="宋体"/>
                <w:color w:val="000000"/>
                <w:sz w:val="20"/>
                <w:szCs w:val="20"/>
              </w:rPr>
            </w:pPr>
            <w:r>
              <w:rPr>
                <w:rFonts w:ascii="宋体" w:hAnsi="宋体" w:eastAsia="宋体" w:cs="宋体"/>
                <w:color w:val="000000"/>
                <w:sz w:val="20"/>
                <w:szCs w:val="20"/>
              </w:rPr>
              <w:t>1</w:t>
            </w:r>
            <w:r>
              <w:rPr>
                <w:rFonts w:hint="eastAsia" w:ascii="宋体" w:hAnsi="宋体" w:eastAsia="宋体" w:cs="宋体"/>
                <w:color w:val="000000"/>
                <w:sz w:val="20"/>
                <w:szCs w:val="20"/>
              </w:rPr>
              <w:t>9</w:t>
            </w:r>
          </w:p>
        </w:tc>
        <w:tc>
          <w:tcPr>
            <w:tcW w:w="993" w:type="dxa"/>
            <w:tcBorders>
              <w:top w:val="single" w:color="000000" w:sz="4" w:space="0"/>
              <w:left w:val="single" w:color="000000" w:sz="4" w:space="0"/>
              <w:bottom w:val="single" w:color="000000" w:sz="4" w:space="0"/>
              <w:right w:val="single" w:color="000000" w:sz="4" w:space="0"/>
            </w:tcBorders>
            <w:shd w:val="clear" w:color="auto" w:fill="FFFFFF"/>
            <w:tcMar>
              <w:top w:w="12" w:type="dxa"/>
              <w:left w:w="12" w:type="dxa"/>
              <w:right w:w="12" w:type="dxa"/>
            </w:tcMar>
            <w:vAlign w:val="center"/>
          </w:tcPr>
          <w:p>
            <w:pPr>
              <w:widowControl/>
              <w:adjustRightInd w:val="0"/>
              <w:jc w:val="center"/>
              <w:textAlignment w:val="center"/>
              <w:rPr>
                <w:rFonts w:ascii="宋体" w:hAnsi="宋体" w:eastAsia="宋体" w:cs="宋体"/>
                <w:color w:val="000000"/>
                <w:kern w:val="0"/>
                <w:sz w:val="20"/>
                <w:szCs w:val="20"/>
                <w:lang w:bidi="ar"/>
              </w:rPr>
            </w:pPr>
            <w:r>
              <w:rPr>
                <w:rFonts w:ascii="宋体" w:hAnsi="宋体" w:eastAsia="宋体" w:cs="宋体"/>
                <w:color w:val="000000"/>
                <w:kern w:val="0"/>
                <w:sz w:val="20"/>
                <w:szCs w:val="20"/>
                <w:lang w:bidi="ar"/>
              </w:rPr>
              <w:t>7</w:t>
            </w:r>
          </w:p>
        </w:tc>
        <w:tc>
          <w:tcPr>
            <w:tcW w:w="99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adjustRightInd w:val="0"/>
              <w:jc w:val="center"/>
              <w:textAlignment w:val="center"/>
              <w:rPr>
                <w:rFonts w:ascii="宋体" w:hAnsi="宋体" w:eastAsia="宋体" w:cs="宋体"/>
                <w:color w:val="000000"/>
                <w:kern w:val="0"/>
                <w:sz w:val="20"/>
                <w:szCs w:val="20"/>
                <w:lang w:bidi="ar"/>
              </w:rPr>
            </w:pPr>
            <w:r>
              <w:rPr>
                <w:rFonts w:hint="eastAsia" w:ascii="宋体" w:hAnsi="宋体" w:eastAsia="宋体" w:cs="宋体"/>
                <w:color w:val="000000"/>
                <w:kern w:val="0"/>
                <w:sz w:val="20"/>
                <w:szCs w:val="20"/>
                <w:lang w:bidi="ar"/>
              </w:rPr>
              <w:t>9</w:t>
            </w:r>
          </w:p>
        </w:tc>
        <w:tc>
          <w:tcPr>
            <w:tcW w:w="1134" w:type="dxa"/>
            <w:tcBorders>
              <w:top w:val="single" w:color="000000" w:sz="4" w:space="0"/>
              <w:left w:val="single" w:color="000000" w:sz="4" w:space="0"/>
              <w:bottom w:val="single" w:color="000000" w:sz="4" w:space="0"/>
              <w:right w:val="single" w:color="000000" w:sz="4" w:space="0"/>
            </w:tcBorders>
            <w:shd w:val="clear" w:color="auto" w:fill="FFFFFF"/>
            <w:tcMar>
              <w:top w:w="12" w:type="dxa"/>
              <w:left w:w="12" w:type="dxa"/>
              <w:right w:w="12" w:type="dxa"/>
            </w:tcMar>
            <w:vAlign w:val="center"/>
          </w:tcPr>
          <w:p>
            <w:pPr>
              <w:widowControl/>
              <w:adjustRightInd w:val="0"/>
              <w:jc w:val="center"/>
              <w:textAlignment w:val="center"/>
              <w:rPr>
                <w:rFonts w:ascii="宋体" w:hAnsi="宋体" w:eastAsia="宋体" w:cs="宋体"/>
                <w:color w:val="000000"/>
                <w:kern w:val="0"/>
                <w:sz w:val="20"/>
                <w:szCs w:val="20"/>
                <w:lang w:bidi="ar"/>
              </w:rPr>
            </w:pPr>
            <w:r>
              <w:rPr>
                <w:rFonts w:hint="eastAsia" w:ascii="宋体" w:hAnsi="宋体" w:eastAsia="宋体" w:cs="宋体"/>
                <w:color w:val="000000"/>
                <w:kern w:val="0"/>
                <w:sz w:val="20"/>
                <w:szCs w:val="20"/>
                <w:lang w:bidi="ar"/>
              </w:rPr>
              <w:t>9</w:t>
            </w:r>
            <w:r>
              <w:rPr>
                <w:rFonts w:ascii="宋体" w:hAnsi="宋体" w:eastAsia="宋体" w:cs="宋体"/>
                <w:color w:val="000000"/>
                <w:kern w:val="0"/>
                <w:sz w:val="20"/>
                <w:szCs w:val="20"/>
                <w:lang w:bidi="ar"/>
              </w:rPr>
              <w:t>6</w:t>
            </w:r>
            <w:r>
              <w:rPr>
                <w:rFonts w:hint="eastAsia" w:ascii="宋体" w:hAnsi="宋体" w:eastAsia="宋体" w:cs="宋体"/>
                <w:color w:val="000000"/>
                <w:kern w:val="0"/>
                <w:sz w:val="20"/>
                <w:szCs w:val="20"/>
                <w:lang w:bidi="ar"/>
              </w:rPr>
              <w:t>.</w:t>
            </w:r>
            <w:r>
              <w:rPr>
                <w:rFonts w:ascii="宋体" w:hAnsi="宋体" w:eastAsia="宋体" w:cs="宋体"/>
                <w:color w:val="000000"/>
                <w:kern w:val="0"/>
                <w:sz w:val="20"/>
                <w:szCs w:val="20"/>
                <w:lang w:bidi="ar"/>
              </w:rPr>
              <w:t>40</w:t>
            </w:r>
            <w:r>
              <w:rPr>
                <w:rFonts w:hint="eastAsia" w:ascii="宋体" w:hAnsi="宋体" w:eastAsia="宋体" w:cs="宋体"/>
                <w:color w:val="000000"/>
                <w:kern w:val="0"/>
                <w:sz w:val="20"/>
                <w:szCs w:val="20"/>
                <w:lang w:bidi="ar"/>
              </w:rPr>
              <w:t>%</w:t>
            </w:r>
          </w:p>
        </w:tc>
      </w:tr>
    </w:tbl>
    <w:p>
      <w:pPr>
        <w:spacing w:line="360" w:lineRule="auto"/>
        <w:ind w:firstLine="480" w:firstLineChars="200"/>
        <w:rPr>
          <w:rFonts w:ascii="宋体" w:hAnsi="宋体" w:eastAsia="宋体" w:cs="宋体"/>
          <w:bCs/>
          <w:kern w:val="0"/>
          <w:sz w:val="24"/>
          <w:szCs w:val="24"/>
        </w:rPr>
      </w:pPr>
    </w:p>
    <w:p>
      <w:pPr>
        <w:widowControl/>
        <w:spacing w:before="100" w:after="100" w:line="360" w:lineRule="auto"/>
        <w:ind w:firstLine="480" w:firstLineChars="200"/>
        <w:jc w:val="left"/>
        <w:rPr>
          <w:rFonts w:ascii="宋体" w:hAnsi="宋体" w:eastAsia="宋体" w:cs="宋体"/>
          <w:kern w:val="0"/>
          <w:sz w:val="24"/>
          <w:szCs w:val="24"/>
        </w:rPr>
      </w:pPr>
      <w:r>
        <w:rPr>
          <w:rFonts w:hint="eastAsia" w:ascii="宋体" w:hAnsi="宋体" w:eastAsia="宋体" w:cs="宋体"/>
          <w:kern w:val="0"/>
          <w:sz w:val="24"/>
          <w:szCs w:val="24"/>
        </w:rPr>
        <w:t xml:space="preserve">    </w:t>
      </w:r>
      <w:r>
        <w:rPr>
          <w:rFonts w:ascii="宋体" w:hAnsi="宋体" w:eastAsia="宋体" w:cs="宋体"/>
          <w:kern w:val="0"/>
          <w:sz w:val="24"/>
          <w:szCs w:val="24"/>
        </w:rPr>
        <w:t xml:space="preserve">  </w:t>
      </w:r>
      <w:r>
        <w:rPr>
          <w:rFonts w:hint="eastAsia" w:ascii="宋体" w:hAnsi="宋体" w:eastAsia="宋体" w:cs="宋体"/>
          <w:kern w:val="0"/>
          <w:sz w:val="24"/>
          <w:szCs w:val="24"/>
        </w:rPr>
        <w:t xml:space="preserve"> </w:t>
      </w:r>
      <w:r>
        <w:rPr>
          <w:rFonts w:hint="eastAsia" w:ascii="宋体" w:hAnsi="宋体" w:eastAsia="宋体" w:cs="宋体"/>
          <w:b/>
          <w:bCs/>
          <w:kern w:val="0"/>
          <w:sz w:val="24"/>
          <w:szCs w:val="24"/>
        </w:rPr>
        <w:t xml:space="preserve"> 第二部分：语言文化与传媒学院各专业就业结构分析情况</w:t>
      </w:r>
    </w:p>
    <w:p>
      <w:pPr>
        <w:spacing w:line="360" w:lineRule="auto"/>
        <w:ind w:firstLine="480" w:firstLineChars="200"/>
        <w:rPr>
          <w:rFonts w:ascii="宋体" w:hAnsi="宋体" w:eastAsia="宋体" w:cs="宋体"/>
          <w:kern w:val="0"/>
          <w:sz w:val="24"/>
          <w:szCs w:val="24"/>
        </w:rPr>
      </w:pPr>
      <w:r>
        <w:rPr>
          <w:rFonts w:hint="eastAsia" w:ascii="宋体" w:hAnsi="宋体" w:eastAsia="宋体" w:cs="宋体"/>
          <w:kern w:val="0"/>
          <w:sz w:val="24"/>
          <w:szCs w:val="24"/>
        </w:rPr>
        <w:t>为了更好的做好我院2022届毕业生的就业工作，我们对</w:t>
      </w:r>
      <w:r>
        <w:rPr>
          <w:rFonts w:ascii="宋体" w:hAnsi="宋体" w:eastAsia="宋体" w:cs="宋体"/>
          <w:kern w:val="0"/>
          <w:sz w:val="24"/>
          <w:szCs w:val="24"/>
        </w:rPr>
        <w:t>2022</w:t>
      </w:r>
      <w:r>
        <w:rPr>
          <w:rFonts w:hint="eastAsia" w:ascii="宋体" w:hAnsi="宋体" w:eastAsia="宋体" w:cs="宋体"/>
          <w:kern w:val="0"/>
          <w:sz w:val="24"/>
          <w:szCs w:val="24"/>
        </w:rPr>
        <w:t>届毕业生的就业结构进行了初步简单的分析，了解毕业生的就业基本情况，以便于更好的指导今后的工作。</w:t>
      </w:r>
    </w:p>
    <w:p>
      <w:pPr>
        <w:spacing w:line="360" w:lineRule="auto"/>
        <w:ind w:firstLine="480" w:firstLineChars="200"/>
        <w:rPr>
          <w:rFonts w:ascii="宋体" w:hAnsi="宋体" w:eastAsia="宋体" w:cs="宋体"/>
          <w:kern w:val="0"/>
          <w:sz w:val="24"/>
          <w:szCs w:val="24"/>
        </w:rPr>
      </w:pPr>
      <w:r>
        <w:rPr>
          <w:rFonts w:hint="eastAsia" w:ascii="宋体" w:hAnsi="宋体" w:eastAsia="宋体" w:cs="宋体"/>
          <w:kern w:val="0"/>
          <w:sz w:val="24"/>
          <w:szCs w:val="24"/>
        </w:rPr>
        <w:t>一、就业结构</w:t>
      </w:r>
    </w:p>
    <w:p>
      <w:pPr>
        <w:widowControl/>
        <w:spacing w:line="360" w:lineRule="auto"/>
        <w:ind w:firstLine="480" w:firstLineChars="200"/>
        <w:jc w:val="left"/>
        <w:rPr>
          <w:rFonts w:ascii="宋体" w:hAnsi="宋体" w:eastAsia="宋体" w:cs="宋体"/>
          <w:kern w:val="0"/>
          <w:sz w:val="24"/>
          <w:szCs w:val="24"/>
        </w:rPr>
      </w:pPr>
      <w:r>
        <w:rPr>
          <w:rFonts w:hint="eastAsia" w:ascii="宋体" w:hAnsi="宋体" w:eastAsia="宋体" w:cs="宋体"/>
          <w:kern w:val="0"/>
          <w:sz w:val="24"/>
          <w:szCs w:val="24"/>
        </w:rPr>
        <w:t>我院2022届毕业生共</w:t>
      </w:r>
      <w:r>
        <w:rPr>
          <w:rFonts w:ascii="宋体" w:hAnsi="宋体" w:eastAsia="宋体" w:cs="宋体"/>
          <w:kern w:val="0"/>
          <w:sz w:val="24"/>
          <w:szCs w:val="24"/>
        </w:rPr>
        <w:t>250</w:t>
      </w:r>
      <w:r>
        <w:rPr>
          <w:rFonts w:hint="eastAsia" w:ascii="宋体" w:hAnsi="宋体" w:eastAsia="宋体" w:cs="宋体"/>
          <w:kern w:val="0"/>
          <w:sz w:val="24"/>
          <w:szCs w:val="24"/>
        </w:rPr>
        <w:t>人，以下分别是从专业、性别、行业等不同的角度对我院毕业生的就业结构进行的统计分析。</w:t>
      </w:r>
    </w:p>
    <w:p>
      <w:pPr>
        <w:widowControl/>
        <w:numPr>
          <w:ilvl w:val="0"/>
          <w:numId w:val="10"/>
        </w:numPr>
        <w:spacing w:line="360" w:lineRule="auto"/>
        <w:ind w:firstLine="480" w:firstLineChars="200"/>
        <w:jc w:val="left"/>
        <w:rPr>
          <w:rFonts w:ascii="宋体" w:hAnsi="宋体" w:eastAsia="宋体" w:cs="宋体"/>
          <w:kern w:val="0"/>
          <w:sz w:val="24"/>
          <w:szCs w:val="24"/>
        </w:rPr>
      </w:pPr>
      <w:r>
        <w:rPr>
          <w:rFonts w:hint="eastAsia" w:ascii="宋体" w:hAnsi="宋体" w:eastAsia="宋体" w:cs="宋体"/>
          <w:kern w:val="0"/>
          <w:sz w:val="24"/>
          <w:szCs w:val="24"/>
        </w:rPr>
        <w:t>文传学院整体就业情况</w:t>
      </w:r>
    </w:p>
    <w:p>
      <w:pPr>
        <w:widowControl/>
        <w:spacing w:line="360" w:lineRule="auto"/>
        <w:ind w:firstLine="480" w:firstLineChars="200"/>
        <w:jc w:val="left"/>
        <w:rPr>
          <w:rFonts w:ascii="宋体" w:hAnsi="宋体" w:eastAsia="宋体" w:cs="宋体"/>
          <w:kern w:val="0"/>
          <w:sz w:val="24"/>
          <w:szCs w:val="24"/>
        </w:rPr>
      </w:pPr>
      <w:r>
        <w:rPr>
          <w:rFonts w:hint="eastAsia" w:ascii="宋体" w:hAnsi="宋体" w:eastAsia="宋体" w:cs="宋体"/>
          <w:kern w:val="0"/>
          <w:sz w:val="24"/>
          <w:szCs w:val="24"/>
        </w:rPr>
        <w:drawing>
          <wp:anchor distT="0" distB="0" distL="114300" distR="114300" simplePos="0" relativeHeight="251660288" behindDoc="0" locked="0" layoutInCell="1" allowOverlap="1">
            <wp:simplePos x="0" y="0"/>
            <wp:positionH relativeFrom="margin">
              <wp:align>left</wp:align>
            </wp:positionH>
            <wp:positionV relativeFrom="paragraph">
              <wp:posOffset>868680</wp:posOffset>
            </wp:positionV>
            <wp:extent cx="5274310" cy="3076575"/>
            <wp:effectExtent l="5080" t="4445" r="16510" b="5080"/>
            <wp:wrapTopAndBottom/>
            <wp:docPr id="123" name="图表 123"/>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anchor>
        </w:drawing>
      </w:r>
      <w:r>
        <w:rPr>
          <w:rFonts w:hint="eastAsia" w:ascii="宋体" w:hAnsi="宋体" w:eastAsia="宋体" w:cs="宋体"/>
          <w:kern w:val="0"/>
          <w:sz w:val="24"/>
          <w:szCs w:val="24"/>
        </w:rPr>
        <w:t>2022年文传学院共有毕业生</w:t>
      </w:r>
      <w:r>
        <w:rPr>
          <w:rFonts w:ascii="宋体" w:hAnsi="宋体" w:eastAsia="宋体" w:cs="宋体"/>
          <w:kern w:val="0"/>
          <w:sz w:val="24"/>
          <w:szCs w:val="24"/>
        </w:rPr>
        <w:t>250</w:t>
      </w:r>
      <w:r>
        <w:rPr>
          <w:rFonts w:hint="eastAsia" w:ascii="宋体" w:hAnsi="宋体" w:eastAsia="宋体" w:cs="宋体"/>
          <w:kern w:val="0"/>
          <w:sz w:val="24"/>
          <w:szCs w:val="24"/>
        </w:rPr>
        <w:t>人。其中未就业9人，已经就业</w:t>
      </w:r>
      <w:r>
        <w:rPr>
          <w:rFonts w:ascii="宋体" w:hAnsi="宋体" w:eastAsia="宋体" w:cs="宋体"/>
          <w:kern w:val="0"/>
          <w:sz w:val="24"/>
          <w:szCs w:val="24"/>
        </w:rPr>
        <w:t>241</w:t>
      </w:r>
      <w:r>
        <w:rPr>
          <w:rFonts w:hint="eastAsia" w:ascii="宋体" w:hAnsi="宋体" w:eastAsia="宋体" w:cs="宋体"/>
          <w:kern w:val="0"/>
          <w:sz w:val="24"/>
          <w:szCs w:val="24"/>
        </w:rPr>
        <w:t>人。已经就业学生主要包含以下几个部分：签订规范就业协议</w:t>
      </w:r>
      <w:r>
        <w:rPr>
          <w:rFonts w:ascii="宋体" w:hAnsi="宋体" w:eastAsia="宋体" w:cs="宋体"/>
          <w:kern w:val="0"/>
          <w:sz w:val="24"/>
          <w:szCs w:val="24"/>
        </w:rPr>
        <w:t>215</w:t>
      </w:r>
      <w:r>
        <w:rPr>
          <w:rFonts w:hint="eastAsia" w:ascii="宋体" w:hAnsi="宋体" w:eastAsia="宋体" w:cs="宋体"/>
          <w:kern w:val="0"/>
          <w:sz w:val="24"/>
          <w:szCs w:val="24"/>
        </w:rPr>
        <w:t>人，出国留学</w:t>
      </w:r>
      <w:r>
        <w:rPr>
          <w:rFonts w:ascii="宋体" w:hAnsi="宋体" w:eastAsia="宋体" w:cs="宋体"/>
          <w:kern w:val="0"/>
          <w:sz w:val="24"/>
          <w:szCs w:val="24"/>
        </w:rPr>
        <w:t>7</w:t>
      </w:r>
      <w:r>
        <w:rPr>
          <w:rFonts w:hint="eastAsia" w:ascii="宋体" w:hAnsi="宋体" w:eastAsia="宋体" w:cs="宋体"/>
          <w:kern w:val="0"/>
          <w:sz w:val="24"/>
          <w:szCs w:val="24"/>
        </w:rPr>
        <w:t>人， 考取研究生的人数</w:t>
      </w:r>
      <w:r>
        <w:rPr>
          <w:rFonts w:ascii="宋体" w:hAnsi="宋体" w:eastAsia="宋体" w:cs="宋体"/>
          <w:kern w:val="0"/>
          <w:sz w:val="24"/>
          <w:szCs w:val="24"/>
        </w:rPr>
        <w:t>19</w:t>
      </w:r>
      <w:r>
        <w:rPr>
          <w:rFonts w:hint="eastAsia" w:ascii="宋体" w:hAnsi="宋体" w:eastAsia="宋体" w:cs="宋体"/>
          <w:kern w:val="0"/>
          <w:sz w:val="24"/>
          <w:szCs w:val="24"/>
        </w:rPr>
        <w:t xml:space="preserve">人。各部分所占比例如图1所示：       </w:t>
      </w:r>
    </w:p>
    <w:p>
      <w:pPr>
        <w:widowControl/>
        <w:spacing w:line="360" w:lineRule="auto"/>
        <w:ind w:left="480"/>
        <w:jc w:val="center"/>
        <w:rPr>
          <w:rFonts w:ascii="宋体" w:hAnsi="宋体" w:eastAsia="宋体" w:cs="宋体"/>
          <w:kern w:val="0"/>
          <w:sz w:val="24"/>
          <w:szCs w:val="24"/>
        </w:rPr>
      </w:pPr>
      <w:r>
        <w:rPr>
          <w:rFonts w:hint="eastAsia" w:ascii="宋体" w:hAnsi="宋体" w:eastAsia="宋体" w:cs="宋体"/>
          <w:kern w:val="0"/>
          <w:sz w:val="24"/>
          <w:szCs w:val="24"/>
        </w:rPr>
        <w:t>图1</w:t>
      </w:r>
    </w:p>
    <w:p>
      <w:pPr>
        <w:widowControl/>
        <w:spacing w:line="360" w:lineRule="auto"/>
        <w:ind w:left="480"/>
        <w:jc w:val="center"/>
        <w:rPr>
          <w:rFonts w:ascii="宋体" w:hAnsi="宋体" w:eastAsia="宋体" w:cs="宋体"/>
          <w:kern w:val="0"/>
          <w:sz w:val="24"/>
          <w:szCs w:val="24"/>
        </w:rPr>
      </w:pPr>
    </w:p>
    <w:p>
      <w:pPr>
        <w:widowControl/>
        <w:numPr>
          <w:ilvl w:val="0"/>
          <w:numId w:val="10"/>
        </w:numPr>
        <w:spacing w:line="360" w:lineRule="auto"/>
        <w:ind w:firstLine="480" w:firstLineChars="200"/>
        <w:jc w:val="left"/>
        <w:rPr>
          <w:rFonts w:ascii="宋体" w:hAnsi="宋体" w:eastAsia="宋体" w:cs="宋体"/>
          <w:kern w:val="0"/>
          <w:sz w:val="24"/>
          <w:szCs w:val="24"/>
        </w:rPr>
      </w:pPr>
      <w:r>
        <w:rPr>
          <w:rFonts w:hint="eastAsia" w:ascii="宋体" w:hAnsi="宋体" w:eastAsia="宋体" w:cs="宋体"/>
          <w:kern w:val="0"/>
          <w:sz w:val="24"/>
          <w:szCs w:val="24"/>
        </w:rPr>
        <w:t>不同性别学生就业率统计</w:t>
      </w:r>
    </w:p>
    <w:p>
      <w:pPr>
        <w:widowControl/>
        <w:spacing w:line="360" w:lineRule="auto"/>
        <w:ind w:firstLine="420" w:firstLineChars="200"/>
        <w:jc w:val="left"/>
        <w:rPr>
          <w:rFonts w:ascii="宋体" w:hAnsi="宋体" w:eastAsia="宋体" w:cs="宋体"/>
          <w:kern w:val="0"/>
          <w:sz w:val="24"/>
          <w:szCs w:val="24"/>
        </w:rPr>
      </w:pPr>
      <w:r>
        <w:drawing>
          <wp:anchor distT="0" distB="0" distL="114300" distR="114300" simplePos="0" relativeHeight="251662336" behindDoc="0" locked="0" layoutInCell="1" allowOverlap="1">
            <wp:simplePos x="0" y="0"/>
            <wp:positionH relativeFrom="margin">
              <wp:posOffset>2678430</wp:posOffset>
            </wp:positionH>
            <wp:positionV relativeFrom="paragraph">
              <wp:posOffset>644525</wp:posOffset>
            </wp:positionV>
            <wp:extent cx="2599690" cy="2632075"/>
            <wp:effectExtent l="4445" t="4445" r="12065" b="5080"/>
            <wp:wrapTopAndBottom/>
            <wp:docPr id="124" name="图表 3"/>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anchor>
        </w:drawing>
      </w:r>
      <w:r>
        <w:drawing>
          <wp:anchor distT="0" distB="0" distL="114300" distR="114300" simplePos="0" relativeHeight="251661312" behindDoc="0" locked="0" layoutInCell="1" allowOverlap="1">
            <wp:simplePos x="0" y="0"/>
            <wp:positionH relativeFrom="margin">
              <wp:align>left</wp:align>
            </wp:positionH>
            <wp:positionV relativeFrom="paragraph">
              <wp:posOffset>641985</wp:posOffset>
            </wp:positionV>
            <wp:extent cx="2806065" cy="2632710"/>
            <wp:effectExtent l="4445" t="4445" r="8890" b="17145"/>
            <wp:wrapTopAndBottom/>
            <wp:docPr id="125" name="图表 2"/>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anchor>
        </w:drawing>
      </w:r>
      <w:r>
        <w:rPr>
          <w:rFonts w:hint="eastAsia" w:ascii="宋体" w:hAnsi="宋体" w:eastAsia="宋体" w:cs="宋体"/>
          <w:kern w:val="0"/>
          <w:sz w:val="24"/>
          <w:szCs w:val="24"/>
        </w:rPr>
        <w:t>我院共有男生</w:t>
      </w:r>
      <w:r>
        <w:rPr>
          <w:rFonts w:ascii="宋体" w:hAnsi="宋体" w:eastAsia="宋体" w:cs="宋体"/>
          <w:kern w:val="0"/>
          <w:sz w:val="24"/>
          <w:szCs w:val="24"/>
        </w:rPr>
        <w:t>45</w:t>
      </w:r>
      <w:r>
        <w:rPr>
          <w:rFonts w:hint="eastAsia" w:ascii="宋体" w:hAnsi="宋体" w:eastAsia="宋体" w:cs="宋体"/>
          <w:kern w:val="0"/>
          <w:sz w:val="24"/>
          <w:szCs w:val="24"/>
        </w:rPr>
        <w:t>人，女生</w:t>
      </w:r>
      <w:r>
        <w:rPr>
          <w:rFonts w:ascii="宋体" w:hAnsi="宋体" w:eastAsia="宋体" w:cs="宋体"/>
          <w:kern w:val="0"/>
          <w:sz w:val="24"/>
          <w:szCs w:val="24"/>
        </w:rPr>
        <w:t>205</w:t>
      </w:r>
      <w:r>
        <w:rPr>
          <w:rFonts w:hint="eastAsia" w:ascii="宋体" w:hAnsi="宋体" w:eastAsia="宋体" w:cs="宋体"/>
          <w:kern w:val="0"/>
          <w:sz w:val="24"/>
          <w:szCs w:val="24"/>
        </w:rPr>
        <w:t>人。已经就业学生中，男生</w:t>
      </w:r>
      <w:r>
        <w:rPr>
          <w:rFonts w:ascii="宋体" w:hAnsi="宋体" w:eastAsia="宋体" w:cs="宋体"/>
          <w:kern w:val="0"/>
          <w:sz w:val="24"/>
          <w:szCs w:val="24"/>
        </w:rPr>
        <w:t>4</w:t>
      </w:r>
      <w:r>
        <w:rPr>
          <w:rFonts w:hint="eastAsia" w:ascii="宋体" w:hAnsi="宋体" w:eastAsia="宋体" w:cs="宋体"/>
          <w:kern w:val="0"/>
          <w:sz w:val="24"/>
          <w:szCs w:val="24"/>
        </w:rPr>
        <w:t>3人，女生1</w:t>
      </w:r>
      <w:r>
        <w:rPr>
          <w:rFonts w:ascii="宋体" w:hAnsi="宋体" w:eastAsia="宋体" w:cs="宋体"/>
          <w:kern w:val="0"/>
          <w:sz w:val="24"/>
          <w:szCs w:val="24"/>
        </w:rPr>
        <w:t>98</w:t>
      </w:r>
      <w:r>
        <w:rPr>
          <w:rFonts w:hint="eastAsia" w:ascii="宋体" w:hAnsi="宋体" w:eastAsia="宋体" w:cs="宋体"/>
          <w:kern w:val="0"/>
          <w:sz w:val="24"/>
          <w:szCs w:val="24"/>
        </w:rPr>
        <w:t>人。不同性别学生就业率如图2所示：</w:t>
      </w:r>
    </w:p>
    <w:p>
      <w:pPr>
        <w:widowControl/>
        <w:spacing w:line="360" w:lineRule="auto"/>
        <w:ind w:firstLine="480" w:firstLineChars="200"/>
        <w:jc w:val="center"/>
        <w:rPr>
          <w:rFonts w:ascii="宋体" w:hAnsi="宋体" w:eastAsia="宋体" w:cs="宋体"/>
          <w:kern w:val="0"/>
          <w:sz w:val="24"/>
          <w:szCs w:val="24"/>
        </w:rPr>
      </w:pPr>
      <w:r>
        <w:rPr>
          <w:rFonts w:hint="eastAsia" w:ascii="宋体" w:hAnsi="宋体" w:eastAsia="宋体" w:cs="宋体"/>
          <w:kern w:val="0"/>
          <w:sz w:val="24"/>
          <w:szCs w:val="24"/>
        </w:rPr>
        <w:t>图2</w:t>
      </w:r>
    </w:p>
    <w:p>
      <w:pPr>
        <w:widowControl/>
        <w:spacing w:line="360" w:lineRule="auto"/>
        <w:ind w:firstLine="480" w:firstLineChars="200"/>
        <w:jc w:val="left"/>
        <w:rPr>
          <w:rFonts w:ascii="宋体" w:hAnsi="宋体" w:eastAsia="宋体" w:cs="宋体"/>
          <w:kern w:val="0"/>
          <w:sz w:val="24"/>
          <w:szCs w:val="24"/>
        </w:rPr>
      </w:pPr>
      <w:r>
        <w:rPr>
          <w:rFonts w:hint="eastAsia" w:ascii="宋体" w:hAnsi="宋体" w:eastAsia="宋体" w:cs="宋体"/>
          <w:kern w:val="0"/>
          <w:sz w:val="24"/>
          <w:szCs w:val="24"/>
        </w:rPr>
        <w:t>3.签订规范就业协议书学生所做工作与本专业的相关性</w:t>
      </w:r>
    </w:p>
    <w:p>
      <w:pPr>
        <w:widowControl/>
        <w:spacing w:line="360" w:lineRule="auto"/>
        <w:ind w:firstLine="480" w:firstLineChars="200"/>
        <w:jc w:val="left"/>
        <w:rPr>
          <w:rFonts w:ascii="宋体" w:hAnsi="宋体" w:eastAsia="宋体" w:cs="宋体"/>
          <w:kern w:val="0"/>
          <w:sz w:val="24"/>
          <w:szCs w:val="24"/>
        </w:rPr>
      </w:pPr>
      <w:r>
        <w:rPr>
          <w:rFonts w:ascii="宋体" w:hAnsi="宋体" w:eastAsia="宋体" w:cs="宋体"/>
          <w:kern w:val="0"/>
          <w:sz w:val="24"/>
          <w:szCs w:val="24"/>
        </w:rPr>
        <w:drawing>
          <wp:anchor distT="0" distB="0" distL="114300" distR="114300" simplePos="0" relativeHeight="251659264" behindDoc="0" locked="0" layoutInCell="1" allowOverlap="1">
            <wp:simplePos x="0" y="0"/>
            <wp:positionH relativeFrom="margin">
              <wp:align>left</wp:align>
            </wp:positionH>
            <wp:positionV relativeFrom="paragraph">
              <wp:posOffset>932180</wp:posOffset>
            </wp:positionV>
            <wp:extent cx="5274310" cy="3076575"/>
            <wp:effectExtent l="5080" t="4445" r="16510" b="5080"/>
            <wp:wrapTopAndBottom/>
            <wp:docPr id="126" name="图表 126"/>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anchor>
        </w:drawing>
      </w:r>
      <w:r>
        <w:rPr>
          <w:rFonts w:hint="eastAsia" w:ascii="宋体" w:hAnsi="宋体" w:eastAsia="宋体" w:cs="宋体"/>
          <w:kern w:val="0"/>
          <w:sz w:val="24"/>
          <w:szCs w:val="24"/>
        </w:rPr>
        <w:t>我院实际参加工作学生共</w:t>
      </w:r>
      <w:r>
        <w:rPr>
          <w:rFonts w:ascii="宋体" w:hAnsi="宋体" w:eastAsia="宋体" w:cs="宋体"/>
          <w:kern w:val="0"/>
          <w:sz w:val="24"/>
          <w:szCs w:val="24"/>
        </w:rPr>
        <w:t>215</w:t>
      </w:r>
      <w:r>
        <w:rPr>
          <w:rFonts w:hint="eastAsia" w:ascii="宋体" w:hAnsi="宋体" w:eastAsia="宋体" w:cs="宋体"/>
          <w:kern w:val="0"/>
          <w:sz w:val="24"/>
          <w:szCs w:val="24"/>
        </w:rPr>
        <w:t>人，其中所做工作与本专业相关的人数为</w:t>
      </w:r>
      <w:r>
        <w:rPr>
          <w:rFonts w:ascii="宋体" w:hAnsi="宋体" w:eastAsia="宋体" w:cs="宋体"/>
          <w:kern w:val="0"/>
          <w:sz w:val="24"/>
          <w:szCs w:val="24"/>
        </w:rPr>
        <w:t>152</w:t>
      </w:r>
      <w:r>
        <w:rPr>
          <w:rFonts w:hint="eastAsia" w:ascii="宋体" w:hAnsi="宋体" w:eastAsia="宋体" w:cs="宋体"/>
          <w:kern w:val="0"/>
          <w:sz w:val="24"/>
          <w:szCs w:val="24"/>
        </w:rPr>
        <w:t>人，所做工作与本专业不相关的人数为</w:t>
      </w:r>
      <w:r>
        <w:rPr>
          <w:rFonts w:ascii="宋体" w:hAnsi="宋体" w:eastAsia="宋体" w:cs="宋体"/>
          <w:kern w:val="0"/>
          <w:sz w:val="24"/>
          <w:szCs w:val="24"/>
        </w:rPr>
        <w:t>63</w:t>
      </w:r>
      <w:r>
        <w:rPr>
          <w:rFonts w:hint="eastAsia" w:ascii="宋体" w:hAnsi="宋体" w:eastAsia="宋体" w:cs="宋体"/>
          <w:kern w:val="0"/>
          <w:sz w:val="24"/>
          <w:szCs w:val="24"/>
        </w:rPr>
        <w:t>人。签订规范就业协议书学生所做工作与本专业相关的比率如图3所示：</w:t>
      </w:r>
    </w:p>
    <w:p>
      <w:pPr>
        <w:widowControl/>
        <w:spacing w:line="360" w:lineRule="auto"/>
        <w:ind w:firstLine="480" w:firstLineChars="200"/>
        <w:jc w:val="center"/>
        <w:rPr>
          <w:rFonts w:ascii="宋体" w:hAnsi="宋体" w:eastAsia="宋体" w:cs="宋体"/>
          <w:kern w:val="0"/>
          <w:sz w:val="24"/>
          <w:szCs w:val="24"/>
        </w:rPr>
      </w:pPr>
      <w:r>
        <w:rPr>
          <w:rFonts w:hint="eastAsia" w:ascii="宋体" w:hAnsi="宋体" w:eastAsia="宋体" w:cs="宋体"/>
          <w:kern w:val="0"/>
          <w:sz w:val="24"/>
          <w:szCs w:val="24"/>
        </w:rPr>
        <w:t>图3</w:t>
      </w:r>
    </w:p>
    <w:p>
      <w:pPr>
        <w:widowControl/>
        <w:spacing w:line="360" w:lineRule="auto"/>
        <w:ind w:firstLine="480" w:firstLineChars="200"/>
        <w:jc w:val="center"/>
        <w:rPr>
          <w:rFonts w:ascii="宋体" w:hAnsi="宋体" w:eastAsia="宋体" w:cs="宋体"/>
          <w:kern w:val="0"/>
          <w:sz w:val="24"/>
          <w:szCs w:val="24"/>
        </w:rPr>
      </w:pPr>
    </w:p>
    <w:p>
      <w:pPr>
        <w:widowControl/>
        <w:spacing w:line="360" w:lineRule="auto"/>
        <w:ind w:firstLine="240" w:firstLineChars="100"/>
        <w:jc w:val="left"/>
        <w:rPr>
          <w:rFonts w:ascii="宋体" w:hAnsi="宋体" w:eastAsia="宋体" w:cs="宋体"/>
          <w:kern w:val="0"/>
          <w:sz w:val="24"/>
          <w:szCs w:val="24"/>
        </w:rPr>
      </w:pPr>
      <w:r>
        <w:rPr>
          <w:rFonts w:hint="eastAsia" w:ascii="宋体" w:hAnsi="宋体" w:eastAsia="宋体" w:cs="宋体"/>
          <w:kern w:val="0"/>
          <w:sz w:val="24"/>
          <w:szCs w:val="24"/>
        </w:rPr>
        <w:t xml:space="preserve"> 4.签订规范协议书的学生分布在不同行业不同地区的情况分析</w:t>
      </w:r>
    </w:p>
    <w:p>
      <w:pPr>
        <w:widowControl/>
        <w:spacing w:line="360" w:lineRule="auto"/>
        <w:ind w:firstLine="480" w:firstLineChars="200"/>
        <w:jc w:val="left"/>
        <w:rPr>
          <w:rFonts w:ascii="宋体" w:hAnsi="宋体" w:eastAsia="宋体" w:cs="宋体"/>
          <w:kern w:val="0"/>
          <w:sz w:val="24"/>
          <w:szCs w:val="24"/>
        </w:rPr>
      </w:pPr>
      <w:bookmarkStart w:id="3" w:name="OLE_LINK1"/>
      <w:r>
        <w:rPr>
          <w:rFonts w:hint="eastAsia" w:ascii="宋体" w:hAnsi="宋体" w:eastAsia="宋体" w:cs="宋体"/>
          <w:kern w:val="0"/>
          <w:sz w:val="24"/>
          <w:szCs w:val="24"/>
        </w:rPr>
        <w:t>我院</w:t>
      </w:r>
      <w:bookmarkEnd w:id="3"/>
      <w:r>
        <w:rPr>
          <w:rFonts w:hint="eastAsia" w:ascii="宋体" w:hAnsi="宋体" w:eastAsia="宋体" w:cs="宋体"/>
          <w:kern w:val="0"/>
          <w:sz w:val="24"/>
          <w:szCs w:val="24"/>
        </w:rPr>
        <w:t>签订规范协议书的学生人数为</w:t>
      </w:r>
      <w:r>
        <w:rPr>
          <w:rFonts w:ascii="宋体" w:hAnsi="宋体" w:eastAsia="宋体" w:cs="宋体"/>
          <w:kern w:val="0"/>
          <w:sz w:val="24"/>
          <w:szCs w:val="24"/>
        </w:rPr>
        <w:t>215</w:t>
      </w:r>
      <w:r>
        <w:rPr>
          <w:rFonts w:hint="eastAsia" w:ascii="宋体" w:hAnsi="宋体" w:eastAsia="宋体" w:cs="宋体"/>
          <w:kern w:val="0"/>
          <w:sz w:val="24"/>
          <w:szCs w:val="24"/>
        </w:rPr>
        <w:t>人，考上公务员、事业单位</w:t>
      </w:r>
      <w:r>
        <w:rPr>
          <w:rFonts w:ascii="宋体" w:hAnsi="宋体" w:eastAsia="宋体" w:cs="宋体"/>
          <w:kern w:val="0"/>
          <w:sz w:val="24"/>
          <w:szCs w:val="24"/>
        </w:rPr>
        <w:t>12</w:t>
      </w:r>
      <w:r>
        <w:rPr>
          <w:rFonts w:hint="eastAsia" w:ascii="宋体" w:hAnsi="宋体" w:eastAsia="宋体" w:cs="宋体"/>
          <w:kern w:val="0"/>
          <w:sz w:val="24"/>
          <w:szCs w:val="24"/>
        </w:rPr>
        <w:t>人，参加西部计划有</w:t>
      </w:r>
      <w:r>
        <w:rPr>
          <w:rFonts w:ascii="宋体" w:hAnsi="宋体" w:eastAsia="宋体" w:cs="宋体"/>
          <w:kern w:val="0"/>
          <w:sz w:val="24"/>
          <w:szCs w:val="24"/>
        </w:rPr>
        <w:t>2</w:t>
      </w:r>
      <w:r>
        <w:rPr>
          <w:rFonts w:hint="eastAsia" w:ascii="宋体" w:hAnsi="宋体" w:eastAsia="宋体" w:cs="宋体"/>
          <w:kern w:val="0"/>
          <w:sz w:val="24"/>
          <w:szCs w:val="24"/>
        </w:rPr>
        <w:t>人，参军入伍</w:t>
      </w:r>
      <w:r>
        <w:rPr>
          <w:rFonts w:ascii="宋体" w:hAnsi="宋体" w:eastAsia="宋体" w:cs="宋体"/>
          <w:kern w:val="0"/>
          <w:sz w:val="24"/>
          <w:szCs w:val="24"/>
        </w:rPr>
        <w:t>2</w:t>
      </w:r>
      <w:r>
        <w:rPr>
          <w:rFonts w:hint="eastAsia" w:ascii="宋体" w:hAnsi="宋体" w:eastAsia="宋体" w:cs="宋体"/>
          <w:kern w:val="0"/>
          <w:sz w:val="24"/>
          <w:szCs w:val="24"/>
        </w:rPr>
        <w:t>人，进入国有企业有1</w:t>
      </w:r>
      <w:r>
        <w:rPr>
          <w:rFonts w:ascii="宋体" w:hAnsi="宋体" w:eastAsia="宋体" w:cs="宋体"/>
          <w:kern w:val="0"/>
          <w:sz w:val="24"/>
          <w:szCs w:val="24"/>
        </w:rPr>
        <w:t>6</w:t>
      </w:r>
      <w:r>
        <w:rPr>
          <w:rFonts w:hint="eastAsia" w:ascii="宋体" w:hAnsi="宋体" w:eastAsia="宋体" w:cs="宋体"/>
          <w:kern w:val="0"/>
          <w:sz w:val="24"/>
          <w:szCs w:val="24"/>
        </w:rPr>
        <w:t>人，进入私营企业有1</w:t>
      </w:r>
      <w:r>
        <w:rPr>
          <w:rFonts w:ascii="宋体" w:hAnsi="宋体" w:eastAsia="宋体" w:cs="宋体"/>
          <w:kern w:val="0"/>
          <w:sz w:val="24"/>
          <w:szCs w:val="24"/>
        </w:rPr>
        <w:t>83</w:t>
      </w:r>
      <w:r>
        <w:rPr>
          <w:rFonts w:hint="eastAsia" w:ascii="宋体" w:hAnsi="宋体" w:eastAsia="宋体" w:cs="宋体"/>
          <w:kern w:val="0"/>
          <w:sz w:val="24"/>
          <w:szCs w:val="24"/>
        </w:rPr>
        <w:t>人。签订就业协议书学生就业类型如图4所示：</w:t>
      </w:r>
    </w:p>
    <w:p>
      <w:pPr>
        <w:widowControl/>
        <w:spacing w:line="360" w:lineRule="auto"/>
        <w:ind w:firstLine="480" w:firstLineChars="200"/>
        <w:jc w:val="center"/>
        <w:rPr>
          <w:rFonts w:ascii="宋体" w:hAnsi="宋体" w:eastAsia="宋体" w:cs="宋体"/>
          <w:kern w:val="0"/>
          <w:sz w:val="24"/>
          <w:szCs w:val="24"/>
        </w:rPr>
      </w:pPr>
      <w:r>
        <w:rPr>
          <w:rFonts w:ascii="宋体" w:hAnsi="宋体" w:eastAsia="宋体" w:cs="宋体"/>
          <w:kern w:val="0"/>
          <w:sz w:val="24"/>
          <w:szCs w:val="24"/>
        </w:rPr>
        <w:drawing>
          <wp:inline distT="0" distB="0" distL="0" distR="0">
            <wp:extent cx="5274310" cy="2336800"/>
            <wp:effectExtent l="4445" t="4445" r="17145" b="8255"/>
            <wp:docPr id="127" name="图表 127"/>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pPr>
        <w:widowControl/>
        <w:spacing w:line="360" w:lineRule="auto"/>
        <w:ind w:firstLine="480" w:firstLineChars="200"/>
        <w:jc w:val="center"/>
        <w:rPr>
          <w:rFonts w:ascii="宋体" w:hAnsi="宋体" w:eastAsia="宋体" w:cs="宋体"/>
          <w:kern w:val="0"/>
          <w:sz w:val="24"/>
          <w:szCs w:val="24"/>
        </w:rPr>
      </w:pPr>
      <w:r>
        <w:rPr>
          <w:rFonts w:hint="eastAsia" w:ascii="宋体" w:hAnsi="宋体" w:eastAsia="宋体" w:cs="宋体"/>
          <w:kern w:val="0"/>
          <w:sz w:val="24"/>
          <w:szCs w:val="24"/>
        </w:rPr>
        <w:t>图4</w:t>
      </w:r>
    </w:p>
    <w:p>
      <w:pPr>
        <w:widowControl/>
        <w:spacing w:line="360" w:lineRule="auto"/>
        <w:ind w:firstLine="480" w:firstLineChars="200"/>
        <w:jc w:val="center"/>
        <w:rPr>
          <w:rFonts w:ascii="宋体" w:hAnsi="宋体" w:eastAsia="宋体" w:cs="宋体"/>
          <w:kern w:val="0"/>
          <w:sz w:val="24"/>
          <w:szCs w:val="24"/>
        </w:rPr>
      </w:pPr>
    </w:p>
    <w:p>
      <w:pPr>
        <w:widowControl/>
        <w:spacing w:line="360" w:lineRule="auto"/>
        <w:ind w:firstLine="480" w:firstLineChars="200"/>
        <w:jc w:val="left"/>
        <w:rPr>
          <w:rFonts w:ascii="宋体" w:hAnsi="宋体" w:eastAsia="宋体" w:cs="宋体"/>
          <w:kern w:val="0"/>
          <w:sz w:val="24"/>
          <w:szCs w:val="24"/>
        </w:rPr>
      </w:pPr>
      <w:r>
        <w:rPr>
          <w:rFonts w:hint="eastAsia" w:ascii="宋体" w:hAnsi="宋体" w:eastAsia="宋体" w:cs="宋体"/>
          <w:kern w:val="0"/>
          <w:sz w:val="24"/>
          <w:szCs w:val="24"/>
        </w:rPr>
        <w:t>我院实际参加工作的学生为</w:t>
      </w:r>
      <w:r>
        <w:rPr>
          <w:rFonts w:ascii="宋体" w:hAnsi="宋体" w:eastAsia="宋体" w:cs="宋体"/>
          <w:kern w:val="0"/>
          <w:sz w:val="24"/>
          <w:szCs w:val="24"/>
        </w:rPr>
        <w:t>215</w:t>
      </w:r>
      <w:r>
        <w:rPr>
          <w:rFonts w:hint="eastAsia" w:ascii="宋体" w:hAnsi="宋体" w:eastAsia="宋体" w:cs="宋体"/>
          <w:kern w:val="0"/>
          <w:sz w:val="24"/>
          <w:szCs w:val="24"/>
        </w:rPr>
        <w:t>人，其中在省内就业的有1</w:t>
      </w:r>
      <w:r>
        <w:rPr>
          <w:rFonts w:ascii="宋体" w:hAnsi="宋体" w:eastAsia="宋体" w:cs="宋体"/>
          <w:kern w:val="0"/>
          <w:sz w:val="24"/>
          <w:szCs w:val="24"/>
        </w:rPr>
        <w:t>33</w:t>
      </w:r>
      <w:r>
        <w:rPr>
          <w:rFonts w:hint="eastAsia" w:ascii="宋体" w:hAnsi="宋体" w:eastAsia="宋体" w:cs="宋体"/>
          <w:kern w:val="0"/>
          <w:sz w:val="24"/>
          <w:szCs w:val="24"/>
        </w:rPr>
        <w:t>人，江浙沪地区就业3</w:t>
      </w:r>
      <w:r>
        <w:rPr>
          <w:rFonts w:ascii="宋体" w:hAnsi="宋体" w:eastAsia="宋体" w:cs="宋体"/>
          <w:kern w:val="0"/>
          <w:sz w:val="24"/>
          <w:szCs w:val="24"/>
        </w:rPr>
        <w:t>4</w:t>
      </w:r>
      <w:r>
        <w:rPr>
          <w:rFonts w:hint="eastAsia" w:ascii="宋体" w:hAnsi="宋体" w:eastAsia="宋体" w:cs="宋体"/>
          <w:kern w:val="0"/>
          <w:sz w:val="24"/>
          <w:szCs w:val="24"/>
        </w:rPr>
        <w:t>人，其他地区</w:t>
      </w:r>
      <w:r>
        <w:rPr>
          <w:rFonts w:ascii="宋体" w:hAnsi="宋体" w:eastAsia="宋体" w:cs="宋体"/>
          <w:kern w:val="0"/>
          <w:sz w:val="24"/>
          <w:szCs w:val="24"/>
        </w:rPr>
        <w:t>48</w:t>
      </w:r>
      <w:r>
        <w:rPr>
          <w:rFonts w:hint="eastAsia" w:ascii="宋体" w:hAnsi="宋体" w:eastAsia="宋体" w:cs="宋体"/>
          <w:kern w:val="0"/>
          <w:sz w:val="24"/>
          <w:szCs w:val="24"/>
        </w:rPr>
        <w:t>人。大致情况如图5：</w:t>
      </w:r>
    </w:p>
    <w:p>
      <w:pPr>
        <w:widowControl/>
        <w:spacing w:line="360" w:lineRule="auto"/>
        <w:ind w:firstLine="420" w:firstLineChars="200"/>
        <w:jc w:val="center"/>
      </w:pPr>
      <w:r>
        <w:drawing>
          <wp:inline distT="0" distB="0" distL="0" distR="0">
            <wp:extent cx="5274310" cy="3076575"/>
            <wp:effectExtent l="5080" t="4445" r="16510" b="5080"/>
            <wp:docPr id="128" name="图表 128"/>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pPr>
        <w:widowControl/>
        <w:tabs>
          <w:tab w:val="left" w:pos="384"/>
        </w:tabs>
        <w:spacing w:line="360" w:lineRule="auto"/>
        <w:ind w:firstLine="480" w:firstLineChars="200"/>
        <w:jc w:val="center"/>
        <w:rPr>
          <w:rFonts w:ascii="宋体" w:hAnsi="宋体" w:eastAsia="宋体" w:cs="宋体"/>
          <w:kern w:val="0"/>
          <w:sz w:val="24"/>
          <w:szCs w:val="24"/>
        </w:rPr>
      </w:pPr>
      <w:r>
        <w:rPr>
          <w:rFonts w:hint="eastAsia" w:ascii="宋体" w:hAnsi="宋体" w:eastAsia="宋体" w:cs="宋体"/>
          <w:kern w:val="0"/>
          <w:sz w:val="24"/>
          <w:szCs w:val="24"/>
        </w:rPr>
        <w:t>图5</w:t>
      </w:r>
    </w:p>
    <w:p>
      <w:pPr>
        <w:widowControl/>
        <w:tabs>
          <w:tab w:val="left" w:pos="384"/>
        </w:tabs>
        <w:spacing w:line="360" w:lineRule="auto"/>
        <w:ind w:firstLine="480" w:firstLineChars="200"/>
        <w:jc w:val="center"/>
        <w:rPr>
          <w:rFonts w:ascii="宋体" w:hAnsi="宋体" w:eastAsia="宋体" w:cs="宋体"/>
          <w:sz w:val="24"/>
          <w:szCs w:val="24"/>
        </w:rPr>
      </w:pPr>
    </w:p>
    <w:p>
      <w:pPr>
        <w:widowControl/>
        <w:tabs>
          <w:tab w:val="left" w:pos="384"/>
        </w:tabs>
        <w:spacing w:line="360" w:lineRule="auto"/>
        <w:ind w:firstLine="480" w:firstLineChars="200"/>
        <w:jc w:val="left"/>
        <w:rPr>
          <w:rFonts w:ascii="宋体" w:hAnsi="宋体" w:eastAsia="宋体" w:cs="宋体"/>
          <w:sz w:val="24"/>
          <w:szCs w:val="24"/>
        </w:rPr>
      </w:pPr>
      <w:r>
        <w:rPr>
          <w:rFonts w:hint="eastAsia" w:ascii="宋体" w:hAnsi="宋体" w:eastAsia="宋体" w:cs="宋体"/>
          <w:sz w:val="24"/>
          <w:szCs w:val="24"/>
        </w:rPr>
        <w:t>参加工作学生在各行各业的分布如图6所示：</w:t>
      </w:r>
    </w:p>
    <w:p>
      <w:pPr>
        <w:widowControl/>
        <w:tabs>
          <w:tab w:val="left" w:pos="384"/>
        </w:tabs>
        <w:spacing w:line="360" w:lineRule="auto"/>
        <w:ind w:firstLine="480" w:firstLineChars="200"/>
        <w:jc w:val="center"/>
        <w:rPr>
          <w:rFonts w:ascii="宋体" w:hAnsi="宋体" w:eastAsia="宋体" w:cs="宋体"/>
          <w:sz w:val="24"/>
          <w:szCs w:val="24"/>
        </w:rPr>
      </w:pPr>
      <w:r>
        <w:rPr>
          <w:rFonts w:ascii="宋体" w:hAnsi="宋体" w:eastAsia="宋体" w:cs="宋体"/>
          <w:sz w:val="24"/>
          <w:szCs w:val="24"/>
        </w:rPr>
        <w:drawing>
          <wp:inline distT="0" distB="0" distL="0" distR="0">
            <wp:extent cx="5274310" cy="3448050"/>
            <wp:effectExtent l="4445" t="4445" r="17145" b="14605"/>
            <wp:docPr id="129" name="图表 129"/>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pPr>
        <w:widowControl/>
        <w:tabs>
          <w:tab w:val="left" w:pos="384"/>
        </w:tabs>
        <w:spacing w:line="360" w:lineRule="auto"/>
        <w:ind w:firstLine="480" w:firstLineChars="200"/>
        <w:jc w:val="center"/>
        <w:rPr>
          <w:rFonts w:ascii="宋体" w:hAnsi="宋体" w:eastAsia="宋体" w:cs="宋体"/>
          <w:sz w:val="24"/>
          <w:szCs w:val="24"/>
        </w:rPr>
      </w:pPr>
      <w:r>
        <w:rPr>
          <w:rFonts w:hint="eastAsia" w:ascii="宋体" w:hAnsi="宋体" w:eastAsia="宋体" w:cs="宋体"/>
          <w:sz w:val="24"/>
          <w:szCs w:val="24"/>
        </w:rPr>
        <w:t>图6</w:t>
      </w:r>
    </w:p>
    <w:p>
      <w:pPr>
        <w:widowControl/>
        <w:numPr>
          <w:ilvl w:val="0"/>
          <w:numId w:val="11"/>
        </w:num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就业结构的分析</w:t>
      </w:r>
    </w:p>
    <w:p>
      <w:pPr>
        <w:widowControl/>
        <w:numPr>
          <w:ilvl w:val="0"/>
          <w:numId w:val="12"/>
        </w:num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汉语国际教育（2+2）专业的就业率较低，汉语言文学、新闻学和秘书学就业率较高。</w:t>
      </w:r>
    </w:p>
    <w:p>
      <w:pPr>
        <w:widowControl/>
        <w:numPr>
          <w:ilvl w:val="0"/>
          <w:numId w:val="12"/>
        </w:num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未就业学生中女生人数较多，经过调查这部分学生家庭情况较好加之父母过渡宠爱导致学生本人独立性意识较差。学院下一年重点加强对学生思想特别是价值观和就业观念的引导。</w:t>
      </w:r>
    </w:p>
    <w:p>
      <w:pPr>
        <w:widowControl/>
        <w:numPr>
          <w:ilvl w:val="0"/>
          <w:numId w:val="12"/>
        </w:num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学生参与考研和公务员考试的比例仍然居高不下。这需要学院一方面继续加强研究生和公务员考试的专业指导，另一方面也需要加强鼓励学生到企业就业的思想引导，不断扩大我院毕业生的就业渠道。此外我院参加支援西部计划、选调生、三支一扶、特岗教师的比例都不高，我院学生服务基层的意识有待于进一步的提高。</w:t>
      </w:r>
    </w:p>
    <w:p>
      <w:pPr>
        <w:widowControl/>
        <w:numPr>
          <w:ilvl w:val="0"/>
          <w:numId w:val="12"/>
        </w:num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省内就业的学生比率明显高于外省就业的学生比率。很多学生就业时都会选择离家近的地方就业，这可能和很多学生都是独生子女有关但是一定程度上也限制了他们就业的范围和就业的质量。这需要学院在以后的就业工作中加强对学生职业生涯规划的引导，鼓励他们就业。</w:t>
      </w:r>
    </w:p>
    <w:p>
      <w:pPr>
        <w:widowControl/>
        <w:spacing w:before="100" w:after="100" w:line="360" w:lineRule="auto"/>
        <w:ind w:firstLine="480" w:firstLineChars="200"/>
        <w:jc w:val="left"/>
        <w:rPr>
          <w:rFonts w:ascii="宋体" w:hAnsi="宋体" w:eastAsia="宋体" w:cs="宋体"/>
          <w:b/>
          <w:bCs/>
          <w:kern w:val="0"/>
          <w:sz w:val="24"/>
          <w:szCs w:val="24"/>
        </w:rPr>
      </w:pPr>
      <w:r>
        <w:rPr>
          <w:rFonts w:hint="eastAsia" w:ascii="宋体" w:hAnsi="宋体" w:eastAsia="宋体" w:cs="宋体"/>
          <w:kern w:val="0"/>
          <w:sz w:val="24"/>
          <w:szCs w:val="24"/>
        </w:rPr>
        <w:t xml:space="preserve">       </w:t>
      </w:r>
      <w:r>
        <w:rPr>
          <w:rFonts w:hint="eastAsia" w:ascii="宋体" w:hAnsi="宋体" w:eastAsia="宋体" w:cs="宋体"/>
          <w:b/>
          <w:bCs/>
          <w:kern w:val="0"/>
          <w:sz w:val="24"/>
          <w:szCs w:val="24"/>
        </w:rPr>
        <w:t>第三部分：语言文化与传媒学院各专业市场需求调查情况</w:t>
      </w:r>
    </w:p>
    <w:p>
      <w:pPr>
        <w:widowControl/>
        <w:spacing w:before="100" w:after="100" w:line="360" w:lineRule="auto"/>
        <w:ind w:firstLine="480" w:firstLineChars="200"/>
        <w:jc w:val="left"/>
        <w:rPr>
          <w:rFonts w:hint="eastAsia" w:ascii="宋体" w:hAnsi="宋体" w:eastAsia="宋体"/>
          <w:sz w:val="24"/>
          <w:szCs w:val="24"/>
          <w:lang w:eastAsia="zh-CN"/>
        </w:rPr>
      </w:pPr>
      <w:r>
        <w:rPr>
          <w:rFonts w:ascii="宋体" w:hAnsi="宋体" w:eastAsia="宋体"/>
          <w:sz w:val="24"/>
          <w:szCs w:val="24"/>
        </w:rPr>
        <w:t>这几年，我院各专业就业情况良好，就业率都在90%以上，但是也存在着不足。虽然</w:t>
      </w:r>
      <w:r>
        <w:rPr>
          <w:rFonts w:hint="eastAsia" w:ascii="宋体" w:hAnsi="宋体" w:eastAsia="宋体"/>
          <w:sz w:val="24"/>
          <w:szCs w:val="24"/>
        </w:rPr>
        <w:t>我院</w:t>
      </w:r>
      <w:r>
        <w:rPr>
          <w:rFonts w:ascii="宋体" w:hAnsi="宋体" w:eastAsia="宋体"/>
          <w:sz w:val="24"/>
          <w:szCs w:val="24"/>
        </w:rPr>
        <w:t>专业就业面广，但我们的学生就业过程中还是比较迷茫。为了做好就业工作，我们开展了一次市场需求调查。</w:t>
      </w:r>
    </w:p>
    <w:p>
      <w:pPr>
        <w:widowControl/>
        <w:spacing w:before="100" w:after="100" w:line="360" w:lineRule="auto"/>
        <w:ind w:firstLine="480" w:firstLineChars="200"/>
        <w:jc w:val="left"/>
        <w:rPr>
          <w:rFonts w:hint="eastAsia" w:ascii="宋体" w:hAnsi="宋体" w:eastAsia="宋体"/>
          <w:sz w:val="24"/>
          <w:szCs w:val="24"/>
          <w:lang w:eastAsia="zh-CN"/>
        </w:rPr>
      </w:pPr>
      <w:r>
        <w:rPr>
          <w:rFonts w:hint="eastAsia" w:ascii="宋体" w:hAnsi="宋体" w:eastAsia="宋体"/>
          <w:sz w:val="24"/>
          <w:szCs w:val="24"/>
        </w:rPr>
        <w:t xml:space="preserve"> </w:t>
      </w:r>
      <w:r>
        <w:rPr>
          <w:rFonts w:ascii="宋体" w:hAnsi="宋体" w:eastAsia="宋体"/>
          <w:sz w:val="24"/>
          <w:szCs w:val="24"/>
        </w:rPr>
        <w:t xml:space="preserve">  </w:t>
      </w:r>
      <w:r>
        <w:rPr>
          <w:rFonts w:hint="eastAsia" w:ascii="宋体" w:hAnsi="宋体" w:eastAsia="宋体"/>
          <w:sz w:val="24"/>
          <w:szCs w:val="24"/>
        </w:rPr>
        <w:t xml:space="preserve"> </w:t>
      </w:r>
      <w:r>
        <w:rPr>
          <w:rFonts w:ascii="宋体" w:hAnsi="宋体" w:eastAsia="宋体"/>
          <w:sz w:val="24"/>
          <w:szCs w:val="24"/>
        </w:rPr>
        <w:t>一、调查目的</w:t>
      </w:r>
    </w:p>
    <w:p>
      <w:pPr>
        <w:widowControl/>
        <w:spacing w:before="100" w:after="100" w:line="360" w:lineRule="auto"/>
        <w:ind w:firstLine="480" w:firstLineChars="200"/>
        <w:jc w:val="left"/>
        <w:rPr>
          <w:rFonts w:hint="eastAsia" w:ascii="宋体" w:hAnsi="宋体" w:eastAsia="宋体"/>
          <w:sz w:val="24"/>
          <w:szCs w:val="24"/>
          <w:lang w:eastAsia="zh-CN"/>
        </w:rPr>
      </w:pPr>
      <w:r>
        <w:rPr>
          <w:rFonts w:ascii="宋体" w:hAnsi="宋体" w:eastAsia="宋体"/>
          <w:sz w:val="24"/>
          <w:szCs w:val="24"/>
        </w:rPr>
        <w:t xml:space="preserve">    1.加强</w:t>
      </w:r>
      <w:r>
        <w:rPr>
          <w:rFonts w:hint="eastAsia" w:ascii="宋体" w:hAnsi="宋体" w:eastAsia="宋体"/>
          <w:sz w:val="24"/>
          <w:szCs w:val="24"/>
        </w:rPr>
        <w:t>2022</w:t>
      </w:r>
      <w:r>
        <w:rPr>
          <w:rFonts w:ascii="宋体" w:hAnsi="宋体" w:eastAsia="宋体"/>
          <w:sz w:val="24"/>
          <w:szCs w:val="24"/>
        </w:rPr>
        <w:t>届毕业生对专业的认识，帮助他们明确今后就业的大致方向。</w:t>
      </w:r>
    </w:p>
    <w:p>
      <w:pPr>
        <w:widowControl/>
        <w:spacing w:before="100" w:after="100" w:line="360" w:lineRule="auto"/>
        <w:ind w:firstLine="480" w:firstLineChars="200"/>
        <w:jc w:val="left"/>
        <w:rPr>
          <w:rFonts w:hint="eastAsia" w:ascii="宋体" w:hAnsi="宋体" w:eastAsia="宋体"/>
          <w:sz w:val="24"/>
          <w:szCs w:val="24"/>
          <w:lang w:eastAsia="zh-CN"/>
        </w:rPr>
      </w:pPr>
      <w:r>
        <w:rPr>
          <w:rFonts w:ascii="宋体" w:hAnsi="宋体" w:eastAsia="宋体"/>
          <w:sz w:val="24"/>
          <w:szCs w:val="24"/>
        </w:rPr>
        <w:t xml:space="preserve">    2.不断优化文传学院人才培养方案，培养出更符合社会需要的专业人才。</w:t>
      </w:r>
    </w:p>
    <w:p>
      <w:pPr>
        <w:widowControl/>
        <w:spacing w:before="100" w:after="100" w:line="360" w:lineRule="auto"/>
        <w:ind w:firstLine="480" w:firstLineChars="200"/>
        <w:jc w:val="left"/>
        <w:rPr>
          <w:rFonts w:hint="eastAsia" w:ascii="宋体" w:hAnsi="宋体" w:eastAsia="宋体"/>
          <w:sz w:val="24"/>
          <w:szCs w:val="24"/>
          <w:lang w:eastAsia="zh-CN"/>
        </w:rPr>
      </w:pPr>
      <w:r>
        <w:rPr>
          <w:rFonts w:hint="eastAsia" w:ascii="宋体" w:hAnsi="宋体" w:eastAsia="宋体"/>
          <w:sz w:val="24"/>
          <w:szCs w:val="24"/>
        </w:rPr>
        <w:t xml:space="preserve">    </w:t>
      </w:r>
      <w:r>
        <w:rPr>
          <w:rFonts w:ascii="宋体" w:hAnsi="宋体" w:eastAsia="宋体"/>
          <w:sz w:val="24"/>
          <w:szCs w:val="24"/>
        </w:rPr>
        <w:t>二、调查对象、内容和方式</w:t>
      </w:r>
    </w:p>
    <w:p>
      <w:pPr>
        <w:widowControl/>
        <w:spacing w:before="100" w:after="100" w:line="360" w:lineRule="auto"/>
        <w:ind w:firstLine="480" w:firstLineChars="200"/>
        <w:jc w:val="left"/>
        <w:rPr>
          <w:rFonts w:hint="eastAsia" w:ascii="宋体" w:hAnsi="宋体" w:eastAsia="宋体"/>
          <w:sz w:val="24"/>
          <w:szCs w:val="24"/>
          <w:lang w:eastAsia="zh-CN"/>
        </w:rPr>
      </w:pPr>
      <w:r>
        <w:rPr>
          <w:rFonts w:hint="eastAsia" w:ascii="宋体" w:hAnsi="宋体" w:eastAsia="宋体"/>
          <w:sz w:val="24"/>
          <w:szCs w:val="24"/>
        </w:rPr>
        <w:t xml:space="preserve">    </w:t>
      </w:r>
      <w:r>
        <w:rPr>
          <w:rFonts w:ascii="宋体" w:hAnsi="宋体" w:eastAsia="宋体"/>
          <w:sz w:val="24"/>
          <w:szCs w:val="24"/>
        </w:rPr>
        <w:t>通过与用人单位面谈</w:t>
      </w:r>
      <w:r>
        <w:rPr>
          <w:rFonts w:hint="eastAsia" w:ascii="宋体" w:hAnsi="宋体" w:eastAsia="宋体"/>
          <w:sz w:val="24"/>
          <w:szCs w:val="24"/>
        </w:rPr>
        <w:t>、</w:t>
      </w:r>
      <w:r>
        <w:rPr>
          <w:rFonts w:ascii="宋体" w:hAnsi="宋体" w:eastAsia="宋体"/>
          <w:sz w:val="24"/>
          <w:szCs w:val="24"/>
        </w:rPr>
        <w:t>电话或者QQ交流</w:t>
      </w:r>
      <w:r>
        <w:rPr>
          <w:rFonts w:hint="eastAsia" w:ascii="宋体" w:hAnsi="宋体" w:eastAsia="宋体"/>
          <w:sz w:val="24"/>
          <w:szCs w:val="24"/>
        </w:rPr>
        <w:t>，</w:t>
      </w:r>
      <w:r>
        <w:rPr>
          <w:rFonts w:ascii="宋体" w:hAnsi="宋体" w:eastAsia="宋体"/>
          <w:sz w:val="24"/>
          <w:szCs w:val="24"/>
        </w:rPr>
        <w:t>围绕以下几点展开：用人单位对</w:t>
      </w:r>
      <w:r>
        <w:rPr>
          <w:rFonts w:hint="eastAsia" w:ascii="宋体" w:hAnsi="宋体" w:eastAsia="宋体"/>
          <w:sz w:val="24"/>
          <w:szCs w:val="24"/>
        </w:rPr>
        <w:t>我院各</w:t>
      </w:r>
      <w:r>
        <w:rPr>
          <w:rFonts w:ascii="宋体" w:hAnsi="宋体" w:eastAsia="宋体"/>
          <w:sz w:val="24"/>
          <w:szCs w:val="24"/>
        </w:rPr>
        <w:t>专业毕业生的需求情况以及毕业生的综合能力要求等。</w:t>
      </w:r>
    </w:p>
    <w:p>
      <w:pPr>
        <w:widowControl/>
        <w:spacing w:before="100" w:after="100" w:line="360" w:lineRule="auto"/>
        <w:ind w:firstLine="480" w:firstLineChars="200"/>
        <w:jc w:val="left"/>
        <w:rPr>
          <w:rFonts w:hint="eastAsia" w:ascii="宋体" w:hAnsi="宋体" w:eastAsia="宋体"/>
          <w:sz w:val="24"/>
          <w:szCs w:val="24"/>
          <w:lang w:eastAsia="zh-CN"/>
        </w:rPr>
      </w:pPr>
      <w:r>
        <w:rPr>
          <w:rFonts w:hint="eastAsia" w:ascii="宋体" w:hAnsi="宋体" w:eastAsia="宋体"/>
          <w:sz w:val="24"/>
          <w:szCs w:val="24"/>
        </w:rPr>
        <w:t xml:space="preserve">    </w:t>
      </w:r>
      <w:r>
        <w:rPr>
          <w:rFonts w:ascii="宋体" w:hAnsi="宋体" w:eastAsia="宋体"/>
          <w:sz w:val="24"/>
          <w:szCs w:val="24"/>
        </w:rPr>
        <w:t>三、调查时间</w:t>
      </w:r>
    </w:p>
    <w:p>
      <w:pPr>
        <w:widowControl/>
        <w:spacing w:before="100" w:after="100" w:line="360" w:lineRule="auto"/>
        <w:ind w:firstLine="480" w:firstLineChars="200"/>
        <w:jc w:val="left"/>
        <w:rPr>
          <w:rFonts w:hint="eastAsia" w:ascii="宋体" w:hAnsi="宋体" w:eastAsia="宋体"/>
          <w:sz w:val="24"/>
          <w:szCs w:val="24"/>
          <w:lang w:eastAsia="zh-CN"/>
        </w:rPr>
      </w:pPr>
      <w:r>
        <w:rPr>
          <w:rFonts w:ascii="宋体" w:hAnsi="宋体" w:eastAsia="宋体"/>
          <w:sz w:val="24"/>
          <w:szCs w:val="24"/>
        </w:rPr>
        <w:t xml:space="preserve">    20</w:t>
      </w:r>
      <w:r>
        <w:rPr>
          <w:rFonts w:hint="eastAsia" w:ascii="宋体" w:hAnsi="宋体" w:eastAsia="宋体"/>
          <w:sz w:val="24"/>
          <w:szCs w:val="24"/>
        </w:rPr>
        <w:t>2</w:t>
      </w:r>
      <w:r>
        <w:rPr>
          <w:rFonts w:ascii="宋体" w:hAnsi="宋体" w:eastAsia="宋体"/>
          <w:sz w:val="24"/>
          <w:szCs w:val="24"/>
        </w:rPr>
        <w:t>1年12月-</w:t>
      </w:r>
      <w:r>
        <w:rPr>
          <w:rFonts w:hint="eastAsia" w:ascii="宋体" w:hAnsi="宋体" w:eastAsia="宋体"/>
          <w:sz w:val="24"/>
          <w:szCs w:val="24"/>
        </w:rPr>
        <w:t>2022</w:t>
      </w:r>
      <w:r>
        <w:rPr>
          <w:rFonts w:ascii="宋体" w:hAnsi="宋体" w:eastAsia="宋体"/>
          <w:sz w:val="24"/>
          <w:szCs w:val="24"/>
        </w:rPr>
        <w:t>年6月</w:t>
      </w:r>
    </w:p>
    <w:p>
      <w:pPr>
        <w:widowControl/>
        <w:spacing w:before="100" w:after="100" w:line="360" w:lineRule="auto"/>
        <w:ind w:firstLine="480" w:firstLineChars="200"/>
        <w:jc w:val="left"/>
        <w:rPr>
          <w:rFonts w:hint="eastAsia" w:ascii="宋体" w:hAnsi="宋体" w:eastAsia="宋体"/>
          <w:sz w:val="24"/>
          <w:szCs w:val="24"/>
          <w:lang w:eastAsia="zh-CN"/>
        </w:rPr>
      </w:pPr>
      <w:r>
        <w:rPr>
          <w:rFonts w:ascii="宋体" w:hAnsi="宋体" w:eastAsia="宋体"/>
          <w:sz w:val="24"/>
          <w:szCs w:val="24"/>
        </w:rPr>
        <w:t xml:space="preserve">    四、调查的情况</w:t>
      </w:r>
    </w:p>
    <w:p>
      <w:pPr>
        <w:widowControl/>
        <w:spacing w:before="100" w:after="100" w:line="360" w:lineRule="auto"/>
        <w:ind w:firstLine="480" w:firstLineChars="200"/>
        <w:jc w:val="left"/>
        <w:rPr>
          <w:rFonts w:hint="eastAsia" w:ascii="宋体" w:hAnsi="宋体" w:eastAsia="宋体"/>
          <w:sz w:val="24"/>
          <w:szCs w:val="24"/>
          <w:lang w:eastAsia="zh-CN"/>
        </w:rPr>
      </w:pPr>
      <w:r>
        <w:rPr>
          <w:rFonts w:hint="eastAsia" w:ascii="宋体" w:hAnsi="宋体" w:eastAsia="宋体"/>
          <w:sz w:val="24"/>
          <w:szCs w:val="24"/>
        </w:rPr>
        <w:t xml:space="preserve">   </w:t>
      </w:r>
      <w:r>
        <w:rPr>
          <w:rFonts w:ascii="宋体" w:hAnsi="宋体" w:eastAsia="宋体"/>
          <w:sz w:val="24"/>
          <w:szCs w:val="24"/>
        </w:rPr>
        <w:t xml:space="preserve"> 从反馈回来的信息来看，文传学院各专业</w:t>
      </w:r>
      <w:r>
        <w:rPr>
          <w:rFonts w:hint="eastAsia" w:ascii="宋体" w:hAnsi="宋体" w:eastAsia="宋体"/>
          <w:sz w:val="24"/>
          <w:szCs w:val="24"/>
        </w:rPr>
        <w:t>的</w:t>
      </w:r>
      <w:r>
        <w:rPr>
          <w:rFonts w:ascii="宋体" w:hAnsi="宋体" w:eastAsia="宋体"/>
          <w:sz w:val="24"/>
          <w:szCs w:val="24"/>
        </w:rPr>
        <w:t>薪酬待遇不是最好，但</w:t>
      </w:r>
      <w:r>
        <w:rPr>
          <w:rFonts w:hint="eastAsia" w:ascii="宋体" w:hAnsi="宋体" w:eastAsia="宋体"/>
          <w:sz w:val="24"/>
          <w:szCs w:val="24"/>
        </w:rPr>
        <w:t>用</w:t>
      </w:r>
      <w:r>
        <w:rPr>
          <w:rFonts w:ascii="宋体" w:hAnsi="宋体" w:eastAsia="宋体"/>
          <w:sz w:val="24"/>
          <w:szCs w:val="24"/>
        </w:rPr>
        <w:t>需求量却</w:t>
      </w:r>
      <w:r>
        <w:rPr>
          <w:rFonts w:hint="eastAsia" w:ascii="宋体" w:hAnsi="宋体" w:eastAsia="宋体"/>
          <w:sz w:val="24"/>
          <w:szCs w:val="24"/>
        </w:rPr>
        <w:t>不少</w:t>
      </w:r>
      <w:r>
        <w:rPr>
          <w:rFonts w:ascii="宋体" w:hAnsi="宋体" w:eastAsia="宋体"/>
          <w:sz w:val="24"/>
          <w:szCs w:val="24"/>
        </w:rPr>
        <w:t>，主要集中在以下几个行业和岗位：</w:t>
      </w:r>
    </w:p>
    <w:p>
      <w:pPr>
        <w:widowControl/>
        <w:spacing w:before="100" w:after="100" w:line="360" w:lineRule="auto"/>
        <w:ind w:firstLine="480" w:firstLineChars="200"/>
        <w:jc w:val="left"/>
        <w:rPr>
          <w:rFonts w:hint="eastAsia" w:ascii="宋体" w:hAnsi="宋体" w:eastAsia="宋体"/>
          <w:sz w:val="24"/>
          <w:szCs w:val="24"/>
          <w:lang w:eastAsia="zh-CN"/>
        </w:rPr>
      </w:pPr>
      <w:r>
        <w:rPr>
          <w:rFonts w:ascii="宋体" w:hAnsi="宋体" w:eastAsia="宋体"/>
          <w:sz w:val="24"/>
          <w:szCs w:val="24"/>
        </w:rPr>
        <w:t xml:space="preserve">    </w:t>
      </w:r>
      <w:r>
        <w:rPr>
          <w:rFonts w:hint="eastAsia" w:ascii="宋体" w:hAnsi="宋体" w:eastAsia="宋体"/>
          <w:sz w:val="24"/>
          <w:szCs w:val="24"/>
        </w:rPr>
        <w:t>1</w:t>
      </w:r>
      <w:r>
        <w:rPr>
          <w:rFonts w:ascii="宋体" w:hAnsi="宋体" w:eastAsia="宋体"/>
          <w:sz w:val="24"/>
          <w:szCs w:val="24"/>
        </w:rPr>
        <w:t>.</w:t>
      </w:r>
      <w:r>
        <w:rPr>
          <w:rFonts w:hint="eastAsia" w:ascii="宋体" w:hAnsi="宋体" w:eastAsia="宋体"/>
          <w:sz w:val="24"/>
          <w:szCs w:val="24"/>
        </w:rPr>
        <w:t>新闻</w:t>
      </w:r>
      <w:r>
        <w:rPr>
          <w:rFonts w:ascii="宋体" w:hAnsi="宋体" w:eastAsia="宋体"/>
          <w:sz w:val="24"/>
          <w:szCs w:val="24"/>
        </w:rPr>
        <w:t>宣传岗。该岗位主要是负责新闻文艺出版部门、科研机构和机关企业事业单位相关文学评论、汉语言文学教学与研究工作以及文化、宣传方面的实际工作；加之近年来各类网络媒体平台例如微信公众平台的兴起，对于写作能力强，知识面广，具备一定的策划、组织能力的专业人才需求量极大。所以从专业对口的角度来看，我院新闻学专业的人才在就业市场上需求量特别大。未来我院新闻学专业学生可相对扩大招生规模。</w:t>
      </w:r>
    </w:p>
    <w:p>
      <w:pPr>
        <w:widowControl/>
        <w:spacing w:before="100" w:after="100" w:line="360" w:lineRule="auto"/>
        <w:ind w:firstLine="480" w:firstLineChars="200"/>
        <w:jc w:val="left"/>
        <w:rPr>
          <w:rFonts w:hint="eastAsia" w:ascii="宋体" w:hAnsi="宋体" w:eastAsia="宋体"/>
          <w:sz w:val="24"/>
          <w:szCs w:val="24"/>
          <w:lang w:eastAsia="zh-CN"/>
        </w:rPr>
      </w:pPr>
      <w:r>
        <w:rPr>
          <w:rFonts w:ascii="宋体" w:hAnsi="宋体" w:eastAsia="宋体"/>
          <w:sz w:val="24"/>
          <w:szCs w:val="24"/>
        </w:rPr>
        <w:t xml:space="preserve">    </w:t>
      </w:r>
      <w:r>
        <w:rPr>
          <w:rFonts w:hint="eastAsia" w:ascii="宋体" w:hAnsi="宋体" w:eastAsia="宋体"/>
          <w:sz w:val="24"/>
          <w:szCs w:val="24"/>
        </w:rPr>
        <w:t>2</w:t>
      </w:r>
      <w:r>
        <w:rPr>
          <w:rFonts w:ascii="宋体" w:hAnsi="宋体" w:eastAsia="宋体"/>
          <w:sz w:val="24"/>
          <w:szCs w:val="24"/>
        </w:rPr>
        <w:t>.文秘岗。要求熟练掌握办公自动化技能，扎实的公文写作能力，良好的沟通能力，较高的英语水平。最好能有相关资格证书。我们学院女生居多，从每年的就业结构来看，除了考研和考编的，大约三分之一的女生都会选择这个职业。</w:t>
      </w:r>
    </w:p>
    <w:p>
      <w:pPr>
        <w:widowControl/>
        <w:spacing w:before="100" w:after="100" w:line="360" w:lineRule="auto"/>
        <w:ind w:firstLine="480" w:firstLineChars="200"/>
        <w:jc w:val="left"/>
        <w:rPr>
          <w:rFonts w:ascii="宋体" w:hAnsi="宋体" w:eastAsia="宋体"/>
          <w:sz w:val="24"/>
          <w:szCs w:val="24"/>
        </w:rPr>
      </w:pPr>
      <w:r>
        <w:rPr>
          <w:rFonts w:ascii="宋体" w:hAnsi="宋体" w:eastAsia="宋体"/>
          <w:sz w:val="24"/>
          <w:szCs w:val="24"/>
        </w:rPr>
        <w:t xml:space="preserve">    </w:t>
      </w:r>
      <w:r>
        <w:rPr>
          <w:rFonts w:hint="eastAsia" w:ascii="宋体" w:hAnsi="宋体" w:eastAsia="宋体"/>
          <w:sz w:val="24"/>
          <w:szCs w:val="24"/>
        </w:rPr>
        <w:t>3</w:t>
      </w:r>
      <w:r>
        <w:rPr>
          <w:rFonts w:ascii="宋体" w:hAnsi="宋体" w:eastAsia="宋体"/>
          <w:sz w:val="24"/>
          <w:szCs w:val="24"/>
        </w:rPr>
        <w:t>.文案策划岗。这方面需求对专业知识要求比较高，同时具备一定的市场营销、广告专业知识。该岗位对汉语言文学专业的学生需求量较大。从我院往年的就业情况来看，从事方案策划的人员，就业分布比较集中，最多的还是集中在南方和沿海的几个省市，如广东、上海、北京、江苏、浙江等，毕业生到此岗位后，明显感觉压力比较大，当然收入也相对较高，除此之外，流动性也比较大，毕业后学生在短期内调整工作单位也比较多。</w:t>
      </w:r>
    </w:p>
    <w:p>
      <w:pPr>
        <w:widowControl/>
        <w:spacing w:before="100" w:after="100" w:line="360" w:lineRule="auto"/>
        <w:ind w:firstLine="480" w:firstLineChars="200"/>
        <w:jc w:val="left"/>
        <w:rPr>
          <w:rFonts w:hint="eastAsia" w:ascii="宋体" w:hAnsi="宋体" w:eastAsia="宋体"/>
          <w:sz w:val="24"/>
          <w:szCs w:val="24"/>
          <w:lang w:eastAsia="zh-CN"/>
        </w:rPr>
      </w:pPr>
      <w:r>
        <w:rPr>
          <w:rFonts w:hint="eastAsia" w:ascii="宋体" w:hAnsi="宋体" w:eastAsia="宋体"/>
          <w:sz w:val="24"/>
          <w:szCs w:val="24"/>
        </w:rPr>
        <w:t>4.新媒体运营岗。新媒体运营岗是近些年需求较多的岗位，该岗位利用现代化移动互联网手段，通过利用抖音、快手、微信、微博、贴吧等新兴媒体平台工具进行产品宣传、推广、产品营销的一系列运营手段，策划品牌相关的优质、高度传播性的内容和线上活动，向客户广泛或者精准推送消息，提高参与度，提高知名度，从而充分利用粉丝经济，达到相应营销目的。这就要求毕业生对新媒体有所了解，要想有一定的“网感”，要求新媒体运营者及时抓住热点，并拥有较强的数据分析和信息搜集能力。同时具备一定的写作和数据分析能力，不断从数据中提出问题，不断尝试，用数据来优化运营策略，进而实现客户和业务的增长</w:t>
      </w:r>
    </w:p>
    <w:p>
      <w:pPr>
        <w:widowControl/>
        <w:spacing w:before="100" w:after="100" w:line="360" w:lineRule="auto"/>
        <w:ind w:firstLine="480" w:firstLineChars="200"/>
        <w:jc w:val="left"/>
        <w:rPr>
          <w:rFonts w:hint="eastAsia" w:ascii="宋体" w:hAnsi="宋体" w:eastAsia="宋体"/>
          <w:sz w:val="24"/>
          <w:szCs w:val="24"/>
          <w:lang w:eastAsia="zh-CN"/>
        </w:rPr>
      </w:pPr>
      <w:r>
        <w:rPr>
          <w:rFonts w:ascii="宋体" w:hAnsi="宋体" w:eastAsia="宋体"/>
          <w:sz w:val="24"/>
          <w:szCs w:val="24"/>
        </w:rPr>
        <w:t xml:space="preserve"> </w:t>
      </w:r>
      <w:r>
        <w:rPr>
          <w:rFonts w:hint="eastAsia" w:ascii="宋体" w:hAnsi="宋体" w:eastAsia="宋体"/>
          <w:sz w:val="24"/>
          <w:szCs w:val="24"/>
        </w:rPr>
        <w:t xml:space="preserve">   </w:t>
      </w:r>
      <w:r>
        <w:rPr>
          <w:rFonts w:ascii="宋体" w:hAnsi="宋体" w:eastAsia="宋体"/>
          <w:sz w:val="24"/>
          <w:szCs w:val="24"/>
        </w:rPr>
        <w:t>五、调查的收获</w:t>
      </w:r>
    </w:p>
    <w:p>
      <w:pPr>
        <w:widowControl/>
        <w:spacing w:before="100" w:after="100" w:line="360" w:lineRule="auto"/>
        <w:ind w:firstLine="480" w:firstLineChars="200"/>
        <w:jc w:val="left"/>
        <w:rPr>
          <w:rFonts w:hint="eastAsia" w:ascii="宋体" w:hAnsi="宋体" w:eastAsia="宋体"/>
          <w:sz w:val="24"/>
          <w:szCs w:val="24"/>
          <w:lang w:eastAsia="zh-CN"/>
        </w:rPr>
      </w:pPr>
      <w:r>
        <w:rPr>
          <w:rFonts w:ascii="宋体" w:hAnsi="宋体" w:eastAsia="宋体"/>
          <w:sz w:val="24"/>
          <w:szCs w:val="24"/>
        </w:rPr>
        <w:t xml:space="preserve">    1.就业前景：总体供求平衡，</w:t>
      </w:r>
      <w:r>
        <w:rPr>
          <w:rFonts w:hint="eastAsia" w:ascii="宋体" w:hAnsi="宋体" w:eastAsia="宋体"/>
          <w:sz w:val="24"/>
          <w:szCs w:val="24"/>
        </w:rPr>
        <w:t>但</w:t>
      </w:r>
      <w:r>
        <w:rPr>
          <w:rFonts w:ascii="宋体" w:hAnsi="宋体" w:eastAsia="宋体"/>
          <w:sz w:val="24"/>
          <w:szCs w:val="24"/>
        </w:rPr>
        <w:t>企业对学生的综合素质要求越来越高。本科毕业生如果较强的写作能力，较强的分析、研究能力则在就业市场上还是很占优势的。这也对我院的本科教学工作提出了严格的要求。总体来说，汉语言文学专业在市场上虽不算热门行业但是就业形势一直比较平稳；新闻学专业在市场上较为热门，该专业毕业生就业相对占优势。</w:t>
      </w:r>
    </w:p>
    <w:p>
      <w:pPr>
        <w:widowControl/>
        <w:spacing w:before="100" w:after="100" w:line="360" w:lineRule="auto"/>
        <w:ind w:firstLine="480" w:firstLineChars="200"/>
        <w:jc w:val="left"/>
        <w:rPr>
          <w:rFonts w:hint="eastAsia" w:ascii="宋体" w:hAnsi="宋体" w:eastAsia="宋体"/>
          <w:sz w:val="24"/>
          <w:szCs w:val="24"/>
          <w:lang w:eastAsia="zh-CN"/>
        </w:rPr>
      </w:pPr>
      <w:r>
        <w:rPr>
          <w:rFonts w:ascii="宋体" w:hAnsi="宋体" w:eastAsia="宋体"/>
          <w:sz w:val="24"/>
          <w:szCs w:val="24"/>
        </w:rPr>
        <w:t xml:space="preserve">    2.就业优势：就业面宽，</w:t>
      </w:r>
      <w:r>
        <w:rPr>
          <w:rFonts w:hint="eastAsia" w:ascii="宋体" w:hAnsi="宋体" w:eastAsia="宋体"/>
          <w:sz w:val="24"/>
          <w:szCs w:val="24"/>
        </w:rPr>
        <w:t>学院</w:t>
      </w:r>
      <w:r>
        <w:rPr>
          <w:rFonts w:ascii="宋体" w:hAnsi="宋体" w:eastAsia="宋体"/>
          <w:sz w:val="24"/>
          <w:szCs w:val="24"/>
        </w:rPr>
        <w:t>毕业生一般文笔较好，思维活跃。可以胜任很多部门和机构的工作。比较专业的部门可以是广播电台、网络微信公众平台等单位从事记者、编辑等工作，也可在企事业单位的文秘、宣传部门发挥自己的写作特长。</w:t>
      </w:r>
    </w:p>
    <w:p>
      <w:pPr>
        <w:widowControl/>
        <w:spacing w:before="100" w:after="100" w:line="360" w:lineRule="auto"/>
        <w:ind w:firstLine="480" w:firstLineChars="200"/>
        <w:jc w:val="left"/>
        <w:rPr>
          <w:rFonts w:hint="eastAsia" w:ascii="宋体" w:hAnsi="宋体" w:eastAsia="宋体"/>
          <w:sz w:val="24"/>
          <w:szCs w:val="24"/>
          <w:lang w:eastAsia="zh-CN"/>
        </w:rPr>
      </w:pPr>
      <w:r>
        <w:rPr>
          <w:rFonts w:ascii="宋体" w:hAnsi="宋体" w:eastAsia="宋体"/>
          <w:sz w:val="24"/>
          <w:szCs w:val="24"/>
        </w:rPr>
        <w:t xml:space="preserve">    3.就业劣势：</w:t>
      </w:r>
    </w:p>
    <w:p>
      <w:pPr>
        <w:widowControl/>
        <w:spacing w:before="100" w:after="100" w:line="360" w:lineRule="auto"/>
        <w:ind w:firstLine="480" w:firstLineChars="200"/>
        <w:jc w:val="left"/>
        <w:rPr>
          <w:rFonts w:ascii="宋体" w:hAnsi="宋体" w:eastAsia="宋体"/>
          <w:sz w:val="24"/>
          <w:szCs w:val="24"/>
        </w:rPr>
      </w:pPr>
      <w:r>
        <w:rPr>
          <w:rFonts w:ascii="宋体" w:hAnsi="宋体" w:eastAsia="宋体"/>
          <w:sz w:val="24"/>
          <w:szCs w:val="24"/>
        </w:rPr>
        <w:t>  （1）部分专业需求趋于饱和。</w:t>
      </w:r>
      <w:r>
        <w:rPr>
          <w:rFonts w:hint="eastAsia" w:ascii="宋体" w:hAnsi="宋体" w:eastAsia="宋体"/>
          <w:sz w:val="24"/>
          <w:szCs w:val="24"/>
        </w:rPr>
        <w:t>文传学院</w:t>
      </w:r>
      <w:r>
        <w:rPr>
          <w:rFonts w:ascii="宋体" w:hAnsi="宋体" w:eastAsia="宋体"/>
          <w:sz w:val="24"/>
          <w:szCs w:val="24"/>
        </w:rPr>
        <w:t>各专业，尤其是汉语言文学专业作为一个传统专业，历年来招生人数有增无减，社会需求虽然也在增大，但总体来说趋于饱和，所以汉语言文学专业的一般人才面临着就业难的</w:t>
      </w:r>
      <w:r>
        <w:rPr>
          <w:rFonts w:hint="eastAsia" w:ascii="宋体" w:hAnsi="宋体" w:eastAsia="宋体"/>
          <w:sz w:val="24"/>
          <w:szCs w:val="24"/>
        </w:rPr>
        <w:t>严峻考验。</w:t>
      </w:r>
      <w:r>
        <w:rPr>
          <w:rFonts w:ascii="宋体" w:hAnsi="宋体" w:eastAsia="宋体"/>
          <w:sz w:val="24"/>
          <w:szCs w:val="24"/>
        </w:rPr>
        <w:t xml:space="preserve">  </w:t>
      </w:r>
    </w:p>
    <w:p>
      <w:pPr>
        <w:widowControl/>
        <w:spacing w:before="100" w:after="100" w:line="360" w:lineRule="auto"/>
        <w:ind w:firstLine="480" w:firstLineChars="200"/>
        <w:jc w:val="left"/>
        <w:rPr>
          <w:rFonts w:ascii="宋体" w:hAnsi="宋体" w:eastAsia="宋体" w:cs="宋体"/>
          <w:kern w:val="0"/>
          <w:sz w:val="24"/>
          <w:szCs w:val="24"/>
        </w:rPr>
      </w:pPr>
      <w:r>
        <w:rPr>
          <w:rFonts w:ascii="宋体" w:hAnsi="宋体" w:eastAsia="宋体"/>
          <w:sz w:val="24"/>
          <w:szCs w:val="24"/>
        </w:rPr>
        <w:t>（2）知识结构不适应市场需求。传统专业所开设的专业课程大多且局限于</w:t>
      </w:r>
      <w:r>
        <w:rPr>
          <w:rFonts w:hint="eastAsia" w:ascii="宋体" w:hAnsi="宋体" w:eastAsia="宋体"/>
          <w:sz w:val="24"/>
          <w:szCs w:val="24"/>
        </w:rPr>
        <w:t>理论性</w:t>
      </w:r>
      <w:r>
        <w:rPr>
          <w:rFonts w:ascii="宋体" w:hAnsi="宋体" w:eastAsia="宋体"/>
          <w:sz w:val="24"/>
          <w:szCs w:val="24"/>
        </w:rPr>
        <w:t>科目，</w:t>
      </w:r>
      <w:r>
        <w:rPr>
          <w:rFonts w:hint="eastAsia" w:ascii="宋体" w:hAnsi="宋体" w:eastAsia="宋体"/>
          <w:sz w:val="24"/>
          <w:szCs w:val="24"/>
        </w:rPr>
        <w:t>导致</w:t>
      </w:r>
      <w:r>
        <w:rPr>
          <w:rFonts w:ascii="宋体" w:hAnsi="宋体" w:eastAsia="宋体"/>
          <w:sz w:val="24"/>
          <w:szCs w:val="24"/>
        </w:rPr>
        <w:t>学生知识结构单一</w:t>
      </w:r>
      <w:r>
        <w:rPr>
          <w:rFonts w:hint="eastAsia" w:ascii="宋体" w:hAnsi="宋体" w:eastAsia="宋体"/>
          <w:sz w:val="24"/>
          <w:szCs w:val="24"/>
        </w:rPr>
        <w:t>，实践技能薄弱</w:t>
      </w:r>
      <w:r>
        <w:rPr>
          <w:rFonts w:ascii="宋体" w:hAnsi="宋体" w:eastAsia="宋体"/>
          <w:sz w:val="24"/>
          <w:szCs w:val="24"/>
        </w:rPr>
        <w:t>。而市场需要的是具有一定文学素养加具有核心素质能力的复合型人才，例如：急需文案策划人才、写作人才等等。二者之间存在着一定的差距。与此相反我院传统的新闻学专业课程开设的又太多太广泛，学生所学知识太繁杂，从而导致学生的知识系统不牢固也相对缺乏核心竞争力。这和就业市场对新闻学专业人才的要求也有一定的差距。这就需要我们学院不断的优化人才培养方案，适应市场的需求。汉语言文学专业需要培养学生具备更多实际操作能力，如：各种文案写作，计算机办公软件的操作，善于沟通和表达等。只有这样才能适应市场的变化。而新闻学专业则需将学生的知识系统再适当压缩，即集中精力培养学生某一方面的核心能力，例如：摄影摄像能力、广告策划能力、视频剪辑能力等等。这样未来我院新闻学专业的学生在就业市场上将更具优势。</w:t>
      </w:r>
    </w:p>
    <w:p>
      <w:pPr>
        <w:widowControl/>
        <w:spacing w:before="100" w:after="100" w:line="360" w:lineRule="auto"/>
        <w:ind w:firstLine="480" w:firstLineChars="200"/>
        <w:jc w:val="left"/>
        <w:rPr>
          <w:rFonts w:ascii="宋体" w:hAnsi="宋体" w:eastAsia="宋体" w:cs="宋体"/>
          <w:kern w:val="0"/>
          <w:sz w:val="24"/>
          <w:szCs w:val="24"/>
        </w:rPr>
      </w:pPr>
      <w:r>
        <w:rPr>
          <w:rFonts w:hint="eastAsia" w:ascii="宋体" w:hAnsi="宋体" w:eastAsia="宋体" w:cs="宋体"/>
          <w:kern w:val="0"/>
          <w:sz w:val="24"/>
          <w:szCs w:val="24"/>
        </w:rPr>
        <w:t xml:space="preserve">      </w:t>
      </w:r>
      <w:r>
        <w:rPr>
          <w:rFonts w:hint="eastAsia" w:ascii="宋体" w:hAnsi="宋体" w:eastAsia="宋体" w:cs="宋体"/>
          <w:b/>
          <w:bCs/>
          <w:kern w:val="0"/>
          <w:sz w:val="24"/>
          <w:szCs w:val="24"/>
        </w:rPr>
        <w:t>第四部分：语言文化与传媒学院就业工作的重点与亮点</w:t>
      </w:r>
    </w:p>
    <w:p>
      <w:pPr>
        <w:widowControl/>
        <w:spacing w:line="360" w:lineRule="auto"/>
        <w:ind w:firstLine="480" w:firstLineChars="200"/>
        <w:jc w:val="left"/>
        <w:rPr>
          <w:rFonts w:hint="eastAsia" w:ascii="宋体" w:hAnsi="宋体" w:eastAsia="宋体"/>
          <w:sz w:val="24"/>
          <w:szCs w:val="24"/>
          <w:lang w:eastAsia="zh-CN"/>
        </w:rPr>
      </w:pPr>
      <w:r>
        <w:rPr>
          <w:rFonts w:hint="eastAsia" w:ascii="宋体" w:hAnsi="宋体" w:eastAsia="宋体"/>
          <w:sz w:val="24"/>
          <w:szCs w:val="24"/>
        </w:rPr>
        <w:t>2022</w:t>
      </w:r>
      <w:r>
        <w:rPr>
          <w:rFonts w:ascii="宋体" w:hAnsi="宋体" w:eastAsia="宋体"/>
          <w:sz w:val="24"/>
          <w:szCs w:val="24"/>
        </w:rPr>
        <w:t>年我院根据疫情期间就业形势的需要以及现代大学生的特点，有针对性地加强了毕业生就业指导和教育工作，取得较为明显的成绩，也形成了自己的工作重点和特色，现总结如下：</w:t>
      </w:r>
    </w:p>
    <w:p>
      <w:pPr>
        <w:widowControl/>
        <w:spacing w:line="360" w:lineRule="auto"/>
        <w:ind w:firstLine="480" w:firstLineChars="200"/>
        <w:jc w:val="left"/>
        <w:rPr>
          <w:rFonts w:hint="eastAsia" w:ascii="宋体" w:hAnsi="宋体" w:eastAsia="宋体"/>
          <w:sz w:val="24"/>
          <w:szCs w:val="24"/>
          <w:lang w:eastAsia="zh-CN"/>
        </w:rPr>
      </w:pPr>
      <w:r>
        <w:rPr>
          <w:rFonts w:hint="eastAsia" w:ascii="宋体" w:hAnsi="宋体" w:eastAsia="宋体"/>
          <w:sz w:val="24"/>
          <w:szCs w:val="24"/>
        </w:rPr>
        <w:t xml:space="preserve">    </w:t>
      </w:r>
      <w:r>
        <w:rPr>
          <w:rFonts w:ascii="宋体" w:hAnsi="宋体" w:eastAsia="宋体"/>
          <w:sz w:val="24"/>
          <w:szCs w:val="24"/>
        </w:rPr>
        <w:t>一、加强毕业生就业指导</w:t>
      </w:r>
    </w:p>
    <w:p>
      <w:pPr>
        <w:widowControl/>
        <w:spacing w:line="360" w:lineRule="auto"/>
        <w:ind w:firstLine="480" w:firstLineChars="200"/>
        <w:jc w:val="left"/>
        <w:rPr>
          <w:rFonts w:hint="eastAsia" w:ascii="宋体" w:hAnsi="宋体" w:eastAsia="宋体"/>
          <w:sz w:val="24"/>
          <w:szCs w:val="24"/>
          <w:lang w:eastAsia="zh-CN"/>
        </w:rPr>
      </w:pPr>
      <w:r>
        <w:rPr>
          <w:rFonts w:ascii="宋体" w:hAnsi="宋体" w:eastAsia="宋体"/>
          <w:sz w:val="24"/>
          <w:szCs w:val="24"/>
        </w:rPr>
        <w:t xml:space="preserve">    1.认真上好就业指导。就业指导课是做好就业工作的重要一环。为了就业指导课程可以落到实处，我院领导多次深入学生宿舍了解学生当下的需求和困惑；以学生当下的需求为基础来展开就业指导；引导学生正确看待就业难的问题，认真分析自身优势与不足，调整期望值；帮助学生做好自我定位，逐步树立先就业再择业后创业的理念；一方面帮助他们寻求就业信息，另一方面引导他们确立择业方向，对我院学生的就业成功帮助很大。</w:t>
      </w:r>
    </w:p>
    <w:p>
      <w:pPr>
        <w:widowControl/>
        <w:spacing w:line="360" w:lineRule="auto"/>
        <w:ind w:firstLine="480" w:firstLineChars="200"/>
        <w:jc w:val="left"/>
        <w:rPr>
          <w:rFonts w:hint="eastAsia" w:ascii="宋体" w:hAnsi="宋体" w:eastAsia="宋体"/>
          <w:sz w:val="24"/>
          <w:szCs w:val="24"/>
          <w:lang w:eastAsia="zh-CN"/>
        </w:rPr>
      </w:pPr>
      <w:r>
        <w:rPr>
          <w:rFonts w:ascii="宋体" w:hAnsi="宋体" w:eastAsia="宋体"/>
          <w:sz w:val="24"/>
          <w:szCs w:val="24"/>
        </w:rPr>
        <w:t xml:space="preserve">    2.做好深入细致的思想教育工作。我们首先通过多次的座谈会了解了我院毕业生的择业观念、人生态度和择业取向等，然后结合教育实习、报告会、专题讲座经验分享交流会、心理健康教育等多种形式，有针对性的加强毕业生理想信念教育、职业道德教育、角色转变教育、就业技巧指导和心理辅导工作。学院要求每位论文导师必须要深入了解自己所带学生的思想动态，发现问题及时沟通解决。对于一些就业有困难的学生，学院要求毕业班辅导员一方面为他们积极寻找就业途径，一方面帮助他们树立信心，辅导他们的面试技巧和技能。</w:t>
      </w:r>
    </w:p>
    <w:p>
      <w:pPr>
        <w:widowControl/>
        <w:spacing w:line="360" w:lineRule="auto"/>
        <w:ind w:firstLine="480" w:firstLineChars="200"/>
        <w:jc w:val="left"/>
        <w:rPr>
          <w:rFonts w:hint="eastAsia" w:ascii="宋体" w:hAnsi="宋体" w:eastAsia="宋体"/>
          <w:sz w:val="24"/>
          <w:szCs w:val="24"/>
          <w:lang w:eastAsia="zh-CN"/>
        </w:rPr>
      </w:pPr>
      <w:r>
        <w:rPr>
          <w:rFonts w:hint="eastAsia" w:ascii="宋体" w:hAnsi="宋体" w:eastAsia="宋体"/>
          <w:sz w:val="24"/>
          <w:szCs w:val="24"/>
        </w:rPr>
        <w:t xml:space="preserve">    </w:t>
      </w:r>
      <w:r>
        <w:rPr>
          <w:rFonts w:ascii="宋体" w:hAnsi="宋体" w:eastAsia="宋体"/>
          <w:sz w:val="24"/>
          <w:szCs w:val="24"/>
        </w:rPr>
        <w:t>二、加强就业工作分类指导和精准帮扶</w:t>
      </w:r>
    </w:p>
    <w:p>
      <w:pPr>
        <w:widowControl/>
        <w:spacing w:line="360" w:lineRule="auto"/>
        <w:ind w:firstLine="480" w:firstLineChars="200"/>
        <w:jc w:val="left"/>
        <w:rPr>
          <w:rFonts w:ascii="宋体" w:hAnsi="宋体" w:eastAsia="宋体"/>
          <w:sz w:val="24"/>
          <w:szCs w:val="24"/>
        </w:rPr>
      </w:pPr>
      <w:r>
        <w:rPr>
          <w:rFonts w:hint="eastAsia" w:ascii="宋体" w:hAnsi="宋体" w:eastAsia="宋体"/>
          <w:sz w:val="24"/>
          <w:szCs w:val="24"/>
        </w:rPr>
        <w:t xml:space="preserve">    </w:t>
      </w:r>
      <w:r>
        <w:rPr>
          <w:rFonts w:ascii="宋体" w:hAnsi="宋体" w:eastAsia="宋体"/>
          <w:sz w:val="24"/>
          <w:szCs w:val="24"/>
        </w:rPr>
        <w:t>加强对毕业生精准分类摸排，及时跟新细化毕业生“一生一策”信息表，全面掌握升学、出国、考公、企业就职等学生基本情况，建立一生一册动态台账，全方位了解学生的求职意向、求职进度、实际困难。重点加强对建档立卡贫困学生、</w:t>
      </w:r>
    </w:p>
    <w:p>
      <w:pPr>
        <w:widowControl/>
        <w:spacing w:line="360" w:lineRule="auto"/>
        <w:ind w:firstLine="480" w:firstLineChars="200"/>
        <w:jc w:val="left"/>
        <w:rPr>
          <w:rFonts w:hint="eastAsia" w:ascii="宋体" w:hAnsi="宋体" w:eastAsia="宋体"/>
          <w:sz w:val="24"/>
          <w:szCs w:val="24"/>
          <w:lang w:eastAsia="zh-CN"/>
        </w:rPr>
      </w:pPr>
      <w:r>
        <w:rPr>
          <w:rFonts w:ascii="宋体" w:hAnsi="宋体" w:eastAsia="宋体"/>
          <w:sz w:val="24"/>
          <w:szCs w:val="24"/>
        </w:rPr>
        <w:t>考研失败学生、考公考编学生的在线指导帮扶，确保就业困难或家庭困难等毕业生就业工作的包保责任。对于未就业的困难特殊群体，通过QQ</w:t>
      </w:r>
      <w:r>
        <w:rPr>
          <w:rFonts w:hint="eastAsia" w:ascii="宋体" w:hAnsi="宋体" w:eastAsia="宋体"/>
          <w:sz w:val="24"/>
          <w:szCs w:val="24"/>
        </w:rPr>
        <w:t>、</w:t>
      </w:r>
      <w:r>
        <w:rPr>
          <w:rFonts w:ascii="宋体" w:hAnsi="宋体" w:eastAsia="宋体"/>
          <w:sz w:val="24"/>
          <w:szCs w:val="24"/>
        </w:rPr>
        <w:t>微信等有针对性地开展就业岗位推送工作，鼓励他们参加西部计划、特岗教师等面向基层的就业岗位招聘。</w:t>
      </w:r>
    </w:p>
    <w:p>
      <w:pPr>
        <w:widowControl/>
        <w:spacing w:line="360" w:lineRule="auto"/>
        <w:ind w:firstLine="480" w:firstLineChars="200"/>
        <w:jc w:val="left"/>
        <w:rPr>
          <w:rFonts w:hint="eastAsia" w:ascii="宋体" w:hAnsi="宋体" w:eastAsia="宋体"/>
          <w:sz w:val="24"/>
          <w:szCs w:val="24"/>
          <w:lang w:eastAsia="zh-CN"/>
        </w:rPr>
      </w:pPr>
      <w:r>
        <w:rPr>
          <w:rFonts w:hint="eastAsia" w:ascii="宋体" w:hAnsi="宋体" w:eastAsia="宋体"/>
          <w:sz w:val="24"/>
          <w:szCs w:val="24"/>
        </w:rPr>
        <w:t xml:space="preserve">    </w:t>
      </w:r>
      <w:r>
        <w:rPr>
          <w:rFonts w:ascii="宋体" w:hAnsi="宋体" w:eastAsia="宋体"/>
          <w:sz w:val="24"/>
          <w:szCs w:val="24"/>
        </w:rPr>
        <w:t>三、进一步落实帮扶包保责任制</w:t>
      </w:r>
    </w:p>
    <w:p>
      <w:pPr>
        <w:widowControl/>
        <w:spacing w:line="360" w:lineRule="auto"/>
        <w:ind w:firstLine="480" w:firstLineChars="200"/>
        <w:jc w:val="left"/>
        <w:rPr>
          <w:rFonts w:ascii="宋体" w:hAnsi="宋体" w:eastAsia="宋体"/>
          <w:sz w:val="24"/>
          <w:szCs w:val="24"/>
        </w:rPr>
      </w:pPr>
      <w:r>
        <w:rPr>
          <w:rFonts w:hint="eastAsia" w:ascii="宋体" w:hAnsi="宋体" w:eastAsia="宋体"/>
          <w:sz w:val="24"/>
          <w:szCs w:val="24"/>
        </w:rPr>
        <w:t xml:space="preserve">    </w:t>
      </w:r>
      <w:r>
        <w:rPr>
          <w:rFonts w:ascii="宋体" w:hAnsi="宋体" w:eastAsia="宋体"/>
          <w:sz w:val="24"/>
          <w:szCs w:val="24"/>
        </w:rPr>
        <w:t>我院充分发挥教研室主任、论文指导老师的作用，实行三级责任制度。即要求书记、主任“盯”教研室主任、班主任、辅导员；教研室主任“盯”论文指导老师；论文指导老师、班主任、辅导员“盯”学生。动员一切力量为未学生提供职业指导，解答毕业生求职就业关心的问题，督促学生积极就业。层层压实责任，努力完成我院的就业任务。我院要求论文指导老师必须每</w:t>
      </w:r>
      <w:r>
        <w:rPr>
          <w:rFonts w:hint="eastAsia" w:ascii="宋体" w:hAnsi="宋体" w:eastAsia="宋体"/>
          <w:sz w:val="24"/>
          <w:szCs w:val="24"/>
        </w:rPr>
        <w:t>周</w:t>
      </w:r>
      <w:r>
        <w:rPr>
          <w:rFonts w:ascii="宋体" w:hAnsi="宋体" w:eastAsia="宋体"/>
          <w:sz w:val="24"/>
          <w:szCs w:val="24"/>
        </w:rPr>
        <w:t>联系一次未就业学生，每周给未就业学生推送3条以上就业信息。每周一论文指导老师向教研室主任汇报未就业学生人数、未就业原因及下周帮扶措施。每周一和周五毕业班辅导员向学院汇报两次就业情况，以及就业困难学生具体情况。学院学工队伍每周汇总就业困难学生具体情况并研究下周具体帮扶措施。</w:t>
      </w:r>
    </w:p>
    <w:p>
      <w:pPr>
        <w:widowControl/>
        <w:spacing w:line="360" w:lineRule="auto"/>
        <w:ind w:firstLine="480" w:firstLineChars="200"/>
        <w:jc w:val="left"/>
        <w:rPr>
          <w:rFonts w:ascii="宋体" w:hAnsi="宋体" w:eastAsia="宋体"/>
          <w:sz w:val="24"/>
          <w:szCs w:val="24"/>
        </w:rPr>
      </w:pPr>
      <w:r>
        <w:rPr>
          <w:rFonts w:ascii="宋体" w:hAnsi="宋体" w:eastAsia="宋体"/>
          <w:sz w:val="24"/>
          <w:szCs w:val="24"/>
        </w:rPr>
        <w:t>今年的就业工作已经告一段落，明年的就业形势依然严峻，相信在院党委的正确领导下，在全院师生员工的共同努力下，明年我院的就业工作一定会取得更大的进步。</w:t>
      </w:r>
    </w:p>
    <w:p>
      <w:pPr>
        <w:widowControl/>
        <w:spacing w:line="360" w:lineRule="auto"/>
        <w:ind w:firstLine="480" w:firstLineChars="200"/>
        <w:jc w:val="center"/>
        <w:rPr>
          <w:rFonts w:ascii="宋体" w:hAnsi="宋体" w:eastAsia="宋体"/>
          <w:sz w:val="24"/>
          <w:szCs w:val="24"/>
        </w:rPr>
      </w:pPr>
    </w:p>
    <w:p>
      <w:pPr>
        <w:spacing w:line="360" w:lineRule="auto"/>
        <w:jc w:val="center"/>
        <w:rPr>
          <w:rFonts w:ascii="宋体" w:hAnsi="宋体" w:eastAsia="宋体" w:cs="宋体"/>
          <w:b/>
          <w:bCs/>
          <w:kern w:val="0"/>
          <w:sz w:val="24"/>
          <w:szCs w:val="24"/>
        </w:rPr>
      </w:pPr>
      <w:r>
        <w:rPr>
          <w:rFonts w:hint="eastAsia" w:ascii="宋体" w:hAnsi="宋体" w:eastAsia="宋体" w:cs="宋体"/>
          <w:b/>
          <w:bCs/>
          <w:kern w:val="0"/>
          <w:sz w:val="24"/>
          <w:szCs w:val="24"/>
        </w:rPr>
        <w:t>第五部分：学院对就业困难、弱势群体、特殊问题、建档立卡学生的帮扶情况</w:t>
      </w:r>
    </w:p>
    <w:p>
      <w:pPr>
        <w:spacing w:line="360" w:lineRule="auto"/>
        <w:ind w:firstLine="480" w:firstLineChars="200"/>
        <w:rPr>
          <w:rFonts w:hint="eastAsia" w:ascii="宋体" w:hAnsi="宋体" w:eastAsia="宋体"/>
          <w:sz w:val="24"/>
          <w:szCs w:val="24"/>
          <w:lang w:eastAsia="zh-CN"/>
        </w:rPr>
      </w:pPr>
      <w:r>
        <w:rPr>
          <w:rFonts w:ascii="宋体" w:hAnsi="宋体" w:eastAsia="宋体"/>
          <w:sz w:val="24"/>
          <w:szCs w:val="24"/>
        </w:rPr>
        <w:t>为了确保</w:t>
      </w:r>
      <w:r>
        <w:rPr>
          <w:rFonts w:hint="eastAsia" w:ascii="宋体" w:hAnsi="宋体" w:eastAsia="宋体"/>
          <w:sz w:val="24"/>
          <w:szCs w:val="24"/>
        </w:rPr>
        <w:t>就业困难、弱势群体、特殊问题、建档立卡毕业生</w:t>
      </w:r>
      <w:r>
        <w:rPr>
          <w:rFonts w:ascii="宋体" w:hAnsi="宋体" w:eastAsia="宋体"/>
          <w:sz w:val="24"/>
          <w:szCs w:val="24"/>
        </w:rPr>
        <w:t>能顺利毕业</w:t>
      </w:r>
      <w:r>
        <w:rPr>
          <w:rFonts w:hint="eastAsia" w:ascii="宋体" w:hAnsi="宋体" w:eastAsia="宋体"/>
          <w:sz w:val="24"/>
          <w:szCs w:val="24"/>
        </w:rPr>
        <w:t>，</w:t>
      </w:r>
      <w:r>
        <w:rPr>
          <w:rFonts w:ascii="宋体" w:hAnsi="宋体" w:eastAsia="宋体"/>
          <w:sz w:val="24"/>
          <w:szCs w:val="24"/>
        </w:rPr>
        <w:t>我院采取了行之有效的措施</w:t>
      </w:r>
      <w:r>
        <w:rPr>
          <w:rFonts w:hint="eastAsia" w:ascii="宋体" w:hAnsi="宋体" w:eastAsia="宋体"/>
          <w:sz w:val="24"/>
          <w:szCs w:val="24"/>
        </w:rPr>
        <w:t>，具体如下：</w:t>
      </w:r>
    </w:p>
    <w:p>
      <w:pPr>
        <w:spacing w:line="360" w:lineRule="auto"/>
        <w:ind w:firstLine="480" w:firstLineChars="200"/>
        <w:rPr>
          <w:rFonts w:hint="eastAsia" w:ascii="宋体" w:hAnsi="宋体" w:eastAsia="宋体"/>
          <w:sz w:val="24"/>
          <w:szCs w:val="24"/>
          <w:lang w:eastAsia="zh-CN"/>
        </w:rPr>
      </w:pPr>
      <w:r>
        <w:rPr>
          <w:rFonts w:hint="eastAsia" w:ascii="宋体" w:hAnsi="宋体" w:eastAsia="宋体"/>
          <w:sz w:val="24"/>
          <w:szCs w:val="24"/>
        </w:rPr>
        <w:t xml:space="preserve">  </w:t>
      </w:r>
      <w:r>
        <w:rPr>
          <w:rFonts w:ascii="宋体" w:hAnsi="宋体" w:eastAsia="宋体"/>
          <w:sz w:val="24"/>
          <w:szCs w:val="24"/>
        </w:rPr>
        <w:t xml:space="preserve"> </w:t>
      </w:r>
      <w:r>
        <w:rPr>
          <w:rFonts w:hint="eastAsia" w:ascii="宋体" w:hAnsi="宋体" w:eastAsia="宋体"/>
          <w:sz w:val="24"/>
          <w:szCs w:val="24"/>
        </w:rPr>
        <w:t xml:space="preserve"> </w:t>
      </w:r>
      <w:r>
        <w:rPr>
          <w:rFonts w:ascii="宋体" w:hAnsi="宋体" w:eastAsia="宋体"/>
          <w:sz w:val="24"/>
          <w:szCs w:val="24"/>
        </w:rPr>
        <w:t>一、对家庭经济困难的毕业生的就业帮扶</w:t>
      </w:r>
    </w:p>
    <w:p>
      <w:pPr>
        <w:spacing w:line="360" w:lineRule="auto"/>
        <w:ind w:firstLine="480" w:firstLineChars="200"/>
        <w:rPr>
          <w:rFonts w:hint="eastAsia" w:ascii="宋体" w:hAnsi="宋体" w:eastAsia="宋体"/>
          <w:sz w:val="24"/>
          <w:szCs w:val="24"/>
          <w:lang w:eastAsia="zh-CN"/>
        </w:rPr>
      </w:pPr>
      <w:r>
        <w:rPr>
          <w:rFonts w:hint="eastAsia" w:ascii="宋体" w:hAnsi="宋体" w:eastAsia="宋体"/>
          <w:sz w:val="24"/>
          <w:szCs w:val="24"/>
        </w:rPr>
        <w:t xml:space="preserve">    </w:t>
      </w:r>
      <w:r>
        <w:rPr>
          <w:rFonts w:ascii="宋体" w:hAnsi="宋体" w:eastAsia="宋体"/>
          <w:sz w:val="24"/>
          <w:szCs w:val="24"/>
        </w:rPr>
        <w:t>我院</w:t>
      </w:r>
      <w:r>
        <w:rPr>
          <w:rFonts w:hint="eastAsia" w:ascii="宋体" w:hAnsi="宋体" w:eastAsia="宋体"/>
          <w:sz w:val="24"/>
          <w:szCs w:val="24"/>
        </w:rPr>
        <w:t>2022</w:t>
      </w:r>
      <w:r>
        <w:rPr>
          <w:rFonts w:ascii="宋体" w:hAnsi="宋体" w:eastAsia="宋体"/>
          <w:sz w:val="24"/>
          <w:szCs w:val="24"/>
        </w:rPr>
        <w:t>届毕业生共250名，其中</w:t>
      </w:r>
      <w:r>
        <w:rPr>
          <w:rFonts w:hint="eastAsia" w:ascii="宋体" w:hAnsi="宋体" w:eastAsia="宋体"/>
          <w:sz w:val="24"/>
          <w:szCs w:val="24"/>
        </w:rPr>
        <w:t>家庭经济困难学生4</w:t>
      </w:r>
      <w:r>
        <w:rPr>
          <w:rFonts w:ascii="宋体" w:hAnsi="宋体" w:eastAsia="宋体"/>
          <w:sz w:val="24"/>
          <w:szCs w:val="24"/>
        </w:rPr>
        <w:t>4</w:t>
      </w:r>
      <w:r>
        <w:rPr>
          <w:rFonts w:hint="eastAsia" w:ascii="宋体" w:hAnsi="宋体" w:eastAsia="宋体"/>
          <w:sz w:val="24"/>
          <w:szCs w:val="24"/>
        </w:rPr>
        <w:t>名</w:t>
      </w:r>
      <w:r>
        <w:rPr>
          <w:rFonts w:ascii="宋体" w:hAnsi="宋体" w:eastAsia="宋体"/>
          <w:sz w:val="24"/>
          <w:szCs w:val="24"/>
        </w:rPr>
        <w:t>，这部分学生在就业过程中较为保守，寻求安稳，考研考公占大多数。我们针对学生具体情况，采取有效措施，一方面在评选国家助学金的时候就充分考虑到这部分学生的困难，积极帮助他们申请国家助学金，另一方面学院也积极为他们申请校内外的困难毕业生补助。此外还重点对他们进行就业心理辅导，帮助他们分析就业环境，鼓励他们多参加校内招聘会，帮助他们找企业，修改简历等，一定程度上缓解了他们的问题。</w:t>
      </w:r>
    </w:p>
    <w:p>
      <w:pPr>
        <w:spacing w:line="360" w:lineRule="auto"/>
        <w:ind w:firstLine="480" w:firstLineChars="200"/>
        <w:rPr>
          <w:rFonts w:hint="eastAsia" w:ascii="宋体" w:hAnsi="宋体" w:eastAsia="宋体"/>
          <w:sz w:val="24"/>
          <w:szCs w:val="24"/>
          <w:lang w:eastAsia="zh-CN"/>
        </w:rPr>
      </w:pPr>
      <w:r>
        <w:rPr>
          <w:rFonts w:hint="eastAsia" w:ascii="宋体" w:hAnsi="宋体" w:eastAsia="宋体"/>
          <w:sz w:val="24"/>
          <w:szCs w:val="24"/>
        </w:rPr>
        <w:t xml:space="preserve">  </w:t>
      </w:r>
      <w:r>
        <w:rPr>
          <w:rFonts w:ascii="宋体" w:hAnsi="宋体" w:eastAsia="宋体"/>
          <w:sz w:val="24"/>
          <w:szCs w:val="24"/>
        </w:rPr>
        <w:t xml:space="preserve"> </w:t>
      </w:r>
      <w:r>
        <w:rPr>
          <w:rFonts w:hint="eastAsia" w:ascii="宋体" w:hAnsi="宋体" w:eastAsia="宋体"/>
          <w:sz w:val="24"/>
          <w:szCs w:val="24"/>
        </w:rPr>
        <w:t xml:space="preserve"> </w:t>
      </w:r>
      <w:r>
        <w:rPr>
          <w:rFonts w:ascii="宋体" w:hAnsi="宋体" w:eastAsia="宋体"/>
          <w:sz w:val="24"/>
          <w:szCs w:val="24"/>
        </w:rPr>
        <w:t>二、对就业能力</w:t>
      </w:r>
      <w:r>
        <w:rPr>
          <w:rFonts w:hint="eastAsia" w:ascii="宋体" w:hAnsi="宋体" w:eastAsia="宋体"/>
          <w:sz w:val="24"/>
          <w:szCs w:val="24"/>
        </w:rPr>
        <w:t>较弱</w:t>
      </w:r>
      <w:r>
        <w:rPr>
          <w:rFonts w:ascii="宋体" w:hAnsi="宋体" w:eastAsia="宋体"/>
          <w:sz w:val="24"/>
          <w:szCs w:val="24"/>
        </w:rPr>
        <w:t>、有特殊心理问题的学生的就业帮扶。</w:t>
      </w:r>
    </w:p>
    <w:p>
      <w:pPr>
        <w:spacing w:line="360" w:lineRule="auto"/>
        <w:ind w:firstLine="480" w:firstLineChars="200"/>
        <w:rPr>
          <w:rFonts w:hint="eastAsia" w:ascii="宋体" w:hAnsi="宋体" w:eastAsia="宋体"/>
          <w:sz w:val="24"/>
          <w:szCs w:val="24"/>
          <w:lang w:eastAsia="zh-CN"/>
        </w:rPr>
      </w:pPr>
      <w:r>
        <w:rPr>
          <w:rFonts w:hint="eastAsia" w:ascii="宋体" w:hAnsi="宋体" w:eastAsia="宋体"/>
          <w:sz w:val="24"/>
          <w:szCs w:val="24"/>
        </w:rPr>
        <w:t xml:space="preserve">    </w:t>
      </w:r>
      <w:r>
        <w:rPr>
          <w:rFonts w:ascii="宋体" w:hAnsi="宋体" w:eastAsia="宋体"/>
          <w:sz w:val="24"/>
          <w:szCs w:val="24"/>
        </w:rPr>
        <w:t>我院除了部分经济上较为拮据的学生就业有困难以外，其他存在就业困难的学生主要集中在以下两个方面。一方面是思想上坚定要走考研和公务员道路的学生，另一方面是就业技能</w:t>
      </w:r>
      <w:r>
        <w:rPr>
          <w:rFonts w:hint="eastAsia" w:ascii="宋体" w:hAnsi="宋体" w:eastAsia="宋体"/>
          <w:sz w:val="24"/>
          <w:szCs w:val="24"/>
        </w:rPr>
        <w:t>弱</w:t>
      </w:r>
      <w:r>
        <w:rPr>
          <w:rFonts w:ascii="宋体" w:hAnsi="宋体" w:eastAsia="宋体"/>
          <w:sz w:val="24"/>
          <w:szCs w:val="24"/>
        </w:rPr>
        <w:t>或者心理封闭逃避就业的学生。这部分学生大约占有全院学生的1/3。这两部分学生左等右看，四处观望，迟迟不肯签订就业协议，严重影响我院就业工作的顺利推进。对此我院</w:t>
      </w:r>
      <w:r>
        <w:rPr>
          <w:rFonts w:hint="eastAsia" w:ascii="宋体" w:hAnsi="宋体" w:eastAsia="宋体"/>
          <w:sz w:val="24"/>
          <w:szCs w:val="24"/>
        </w:rPr>
        <w:t>领导</w:t>
      </w:r>
      <w:r>
        <w:rPr>
          <w:rFonts w:ascii="宋体" w:hAnsi="宋体" w:eastAsia="宋体"/>
          <w:sz w:val="24"/>
          <w:szCs w:val="24"/>
        </w:rPr>
        <w:t>高度重视，采取了一系列的措施对这部分学生进行帮扶。第一，建立困难毕业生信息库。我院要求毕业班辅导员悉心摸查本班毕业生的基本情况，掌握本班有哪些学生是就业技能较低或者有心理障碍的毕业生，建立就业难毕业生信息库，做到不遗漏一位就业难毕业生。掌握每位就业难毕业生的基本情况、思想动态，分析他们的困难情况（身体、心理、求职技巧、家庭情况、性格特点等），实施动态管理，及时掌握就业难毕业生的就业情况。第二，对于考公务员和研究生的学生我们院部给予足够的尊重和关怀。考公务员、研究生期间我们院老师特别成立了考研和考公指导小组，分别对考公务员和考研的学生予以全程指导。学院在对考公务员和研究生的学生进行考试指导的同时也安排老师对他们的心理进行辅导，帮助他们分析应届毕业生就业的优势、就业市场的严峻、帮助他们树立先就业再择业的观念、帮助他们树立正确的人生观和择业观念，鼓励他们多参加特岗教师、三支一扶等基层招聘。第三，对于就业技能</w:t>
      </w:r>
      <w:r>
        <w:rPr>
          <w:rFonts w:hint="eastAsia" w:ascii="宋体" w:hAnsi="宋体" w:eastAsia="宋体"/>
          <w:sz w:val="24"/>
          <w:szCs w:val="24"/>
        </w:rPr>
        <w:t>薄弱</w:t>
      </w:r>
      <w:r>
        <w:rPr>
          <w:rFonts w:ascii="宋体" w:hAnsi="宋体" w:eastAsia="宋体"/>
          <w:sz w:val="24"/>
          <w:szCs w:val="24"/>
        </w:rPr>
        <w:t>或者心理封闭逃避就业的学生，学院主要采取以下措施对他们进行帮扶。首先，把这部分学生分配给不同的老师，由专门的老师对他们进行一对一的就业指导，具体包括简历制作、面试技巧、自信心等方面的训练。对于严重逃避就业的学生，我们学院老师甚至联系了学生家长，和学生家长一起做学生的思想教育工作。其次，积极的为这部分学生寻找就业机会和就业信息，及时的转发给学生本人并且督促他们及时参加面试等。在本次就业工作中，我院相关老师专门联系了</w:t>
      </w:r>
      <w:r>
        <w:rPr>
          <w:rFonts w:hint="eastAsia" w:ascii="宋体" w:hAnsi="宋体" w:eastAsia="宋体"/>
          <w:sz w:val="24"/>
          <w:szCs w:val="24"/>
        </w:rPr>
        <w:t>包河区青年产业园、安测智库公司、包河文广产业园区</w:t>
      </w:r>
      <w:r>
        <w:rPr>
          <w:rFonts w:ascii="宋体" w:hAnsi="宋体" w:eastAsia="宋体"/>
          <w:sz w:val="24"/>
          <w:szCs w:val="24"/>
        </w:rPr>
        <w:t>等单位通过线上招聘的方式针对这部分弱势学生展开招聘。很多就业困难的学生在这些单位的招聘中找到了和自己能力相当的工作。</w:t>
      </w:r>
    </w:p>
    <w:p>
      <w:pPr>
        <w:spacing w:line="360" w:lineRule="auto"/>
        <w:ind w:firstLine="480" w:firstLineChars="200"/>
        <w:rPr>
          <w:rFonts w:hint="eastAsia" w:ascii="宋体" w:hAnsi="宋体" w:eastAsia="宋体"/>
          <w:sz w:val="24"/>
          <w:szCs w:val="24"/>
          <w:lang w:eastAsia="zh-CN"/>
        </w:rPr>
      </w:pPr>
      <w:r>
        <w:rPr>
          <w:rFonts w:hint="eastAsia" w:ascii="宋体" w:hAnsi="宋体" w:eastAsia="宋体"/>
          <w:sz w:val="24"/>
          <w:szCs w:val="24"/>
        </w:rPr>
        <w:t xml:space="preserve">    </w:t>
      </w:r>
      <w:r>
        <w:rPr>
          <w:rFonts w:ascii="宋体" w:hAnsi="宋体" w:eastAsia="宋体"/>
          <w:sz w:val="24"/>
          <w:szCs w:val="24"/>
        </w:rPr>
        <w:t>三、对建档立卡学生</w:t>
      </w:r>
      <w:r>
        <w:rPr>
          <w:rFonts w:hint="eastAsia" w:ascii="宋体" w:hAnsi="宋体" w:eastAsia="宋体"/>
          <w:sz w:val="24"/>
          <w:szCs w:val="24"/>
        </w:rPr>
        <w:t>帮扶情况</w:t>
      </w:r>
    </w:p>
    <w:p>
      <w:pPr>
        <w:spacing w:line="360" w:lineRule="auto"/>
        <w:ind w:firstLine="480" w:firstLineChars="200"/>
        <w:rPr>
          <w:rFonts w:hint="eastAsia" w:ascii="宋体" w:hAnsi="宋体" w:eastAsia="宋体"/>
          <w:sz w:val="24"/>
          <w:szCs w:val="24"/>
          <w:lang w:eastAsia="zh-CN"/>
        </w:rPr>
      </w:pPr>
      <w:r>
        <w:rPr>
          <w:rFonts w:ascii="宋体" w:hAnsi="宋体" w:eastAsia="宋体"/>
          <w:sz w:val="24"/>
          <w:szCs w:val="24"/>
        </w:rPr>
        <w:t xml:space="preserve">    </w:t>
      </w:r>
      <w:r>
        <w:rPr>
          <w:rFonts w:hint="eastAsia" w:ascii="宋体" w:hAnsi="宋体" w:eastAsia="宋体"/>
          <w:sz w:val="24"/>
          <w:szCs w:val="24"/>
        </w:rPr>
        <w:t>2022</w:t>
      </w:r>
      <w:r>
        <w:rPr>
          <w:rFonts w:ascii="宋体" w:hAnsi="宋体" w:eastAsia="宋体"/>
          <w:sz w:val="24"/>
          <w:szCs w:val="24"/>
        </w:rPr>
        <w:t>年我院共有11名建档立卡毕业生，这些学生家庭都比较困难。在就业中存在的问题主要有：思想保守，仍想通过考研或者找稳定的工作改变自己的命运；经济能力差，不愿意多跑就业市场，希望机会找上门来。针对他们的特殊情况，我院主要开展了以下帮扶：一是召开线上建档立卡学生的就业座谈会，鼓励他们走出旧思维，勇敢投入市场，寻找有挑战性的工作；二是积极为他们申请毕业生求职补贴等资金缓解他们就业压力。截止</w:t>
      </w:r>
      <w:r>
        <w:rPr>
          <w:rFonts w:hint="eastAsia" w:ascii="宋体" w:hAnsi="宋体" w:eastAsia="宋体"/>
          <w:sz w:val="24"/>
          <w:szCs w:val="24"/>
        </w:rPr>
        <w:t>2022</w:t>
      </w:r>
      <w:r>
        <w:rPr>
          <w:rFonts w:ascii="宋体" w:hAnsi="宋体" w:eastAsia="宋体"/>
          <w:sz w:val="24"/>
          <w:szCs w:val="24"/>
        </w:rPr>
        <w:t>年8月31日，我院所有建档立卡学生都顺利就业，</w:t>
      </w:r>
      <w:r>
        <w:rPr>
          <w:rFonts w:hint="eastAsia" w:ascii="宋体" w:hAnsi="宋体" w:eastAsia="宋体"/>
          <w:sz w:val="24"/>
          <w:szCs w:val="24"/>
        </w:rPr>
        <w:t>其中2</w:t>
      </w:r>
      <w:r>
        <w:rPr>
          <w:rFonts w:ascii="宋体" w:hAnsi="宋体" w:eastAsia="宋体"/>
          <w:sz w:val="24"/>
          <w:szCs w:val="24"/>
        </w:rPr>
        <w:t>名学生成功考取研究生</w:t>
      </w:r>
      <w:r>
        <w:rPr>
          <w:rFonts w:hint="eastAsia" w:ascii="宋体" w:hAnsi="宋体" w:eastAsia="宋体"/>
          <w:sz w:val="24"/>
          <w:szCs w:val="24"/>
        </w:rPr>
        <w:t>，1人考取国家公务员</w:t>
      </w:r>
      <w:r>
        <w:rPr>
          <w:rFonts w:ascii="宋体" w:hAnsi="宋体" w:eastAsia="宋体"/>
          <w:sz w:val="24"/>
          <w:szCs w:val="24"/>
        </w:rPr>
        <w:t>。</w:t>
      </w:r>
    </w:p>
    <w:p>
      <w:pPr>
        <w:spacing w:line="360" w:lineRule="auto"/>
        <w:ind w:firstLine="480" w:firstLineChars="200"/>
        <w:rPr>
          <w:rFonts w:hint="eastAsia" w:ascii="宋体" w:hAnsi="宋体" w:eastAsia="宋体"/>
          <w:sz w:val="24"/>
          <w:szCs w:val="24"/>
          <w:lang w:eastAsia="zh-CN"/>
        </w:rPr>
      </w:pPr>
      <w:r>
        <w:rPr>
          <w:rFonts w:hint="eastAsia" w:ascii="宋体" w:hAnsi="宋体" w:eastAsia="宋体"/>
          <w:sz w:val="24"/>
          <w:szCs w:val="24"/>
        </w:rPr>
        <w:t xml:space="preserve">   四</w:t>
      </w:r>
      <w:r>
        <w:rPr>
          <w:rFonts w:ascii="宋体" w:hAnsi="宋体" w:eastAsia="宋体"/>
          <w:sz w:val="24"/>
          <w:szCs w:val="24"/>
        </w:rPr>
        <w:t>、对离校未就业学生的帮扶情况</w:t>
      </w:r>
    </w:p>
    <w:p>
      <w:pPr>
        <w:spacing w:line="360" w:lineRule="auto"/>
        <w:ind w:firstLine="480" w:firstLineChars="200"/>
        <w:rPr>
          <w:rFonts w:ascii="宋体" w:hAnsi="宋体" w:eastAsia="宋体" w:cs="宋体"/>
          <w:b/>
          <w:bCs/>
          <w:kern w:val="0"/>
          <w:sz w:val="24"/>
          <w:szCs w:val="24"/>
        </w:rPr>
      </w:pPr>
      <w:r>
        <w:rPr>
          <w:rFonts w:hint="eastAsia" w:ascii="宋体" w:hAnsi="宋体" w:eastAsia="宋体"/>
          <w:sz w:val="24"/>
          <w:szCs w:val="24"/>
        </w:rPr>
        <w:t xml:space="preserve">    </w:t>
      </w:r>
      <w:r>
        <w:rPr>
          <w:rFonts w:ascii="宋体" w:hAnsi="宋体" w:eastAsia="宋体"/>
          <w:sz w:val="24"/>
          <w:szCs w:val="24"/>
        </w:rPr>
        <w:t>通过全院上下老师的共同努力，大部分就业难的学生最终都找到了自己相对满意的工作，实现了就业。但是截止目前为止，我院仍有</w:t>
      </w:r>
      <w:r>
        <w:rPr>
          <w:rFonts w:hint="eastAsia" w:ascii="宋体" w:hAnsi="宋体" w:eastAsia="宋体"/>
          <w:sz w:val="24"/>
          <w:szCs w:val="24"/>
        </w:rPr>
        <w:t>9</w:t>
      </w:r>
      <w:r>
        <w:rPr>
          <w:rFonts w:ascii="宋体" w:hAnsi="宋体" w:eastAsia="宋体"/>
          <w:sz w:val="24"/>
          <w:szCs w:val="24"/>
        </w:rPr>
        <w:t>名毕业生未落实就业，他们当中大多数都是慢就业心态，打算二战考研或者二战考公务员。为了真正帮助这部分学生实现就业我院专门制定了离校未就业学生的帮扶方案。一方面要求辅导员制定详细的一生一策，另一方面要求</w:t>
      </w:r>
      <w:r>
        <w:rPr>
          <w:rFonts w:hint="eastAsia" w:ascii="宋体" w:hAnsi="宋体" w:eastAsia="宋体"/>
          <w:sz w:val="24"/>
          <w:szCs w:val="24"/>
        </w:rPr>
        <w:t>论文</w:t>
      </w:r>
      <w:r>
        <w:rPr>
          <w:rFonts w:ascii="宋体" w:hAnsi="宋体" w:eastAsia="宋体"/>
          <w:sz w:val="24"/>
          <w:szCs w:val="24"/>
        </w:rPr>
        <w:t>指导老师</w:t>
      </w:r>
      <w:r>
        <w:rPr>
          <w:rFonts w:hint="eastAsia" w:ascii="宋体" w:hAnsi="宋体" w:eastAsia="宋体"/>
          <w:sz w:val="24"/>
          <w:szCs w:val="24"/>
        </w:rPr>
        <w:t>、辅导员定期联系</w:t>
      </w:r>
      <w:r>
        <w:rPr>
          <w:rFonts w:ascii="宋体" w:hAnsi="宋体" w:eastAsia="宋体"/>
          <w:sz w:val="24"/>
          <w:szCs w:val="24"/>
        </w:rPr>
        <w:t>这部分学生并继续做他们的思想工作，直到他们真正落实就业。</w:t>
      </w:r>
    </w:p>
    <w:p>
      <w:pPr>
        <w:widowControl/>
        <w:spacing w:before="100" w:after="100" w:line="360" w:lineRule="auto"/>
        <w:ind w:firstLine="480" w:firstLineChars="200"/>
        <w:jc w:val="left"/>
        <w:rPr>
          <w:rFonts w:ascii="宋体" w:hAnsi="宋体" w:eastAsia="宋体" w:cs="宋体"/>
          <w:b/>
          <w:bCs/>
          <w:kern w:val="0"/>
          <w:sz w:val="24"/>
          <w:szCs w:val="24"/>
        </w:rPr>
      </w:pPr>
      <w:r>
        <w:rPr>
          <w:rFonts w:hint="eastAsia" w:ascii="宋体" w:hAnsi="宋体" w:eastAsia="宋体" w:cs="宋体"/>
          <w:kern w:val="0"/>
          <w:sz w:val="24"/>
          <w:szCs w:val="24"/>
        </w:rPr>
        <w:t xml:space="preserve">       </w:t>
      </w:r>
      <w:r>
        <w:rPr>
          <w:rFonts w:hint="eastAsia" w:ascii="宋体" w:hAnsi="宋体" w:eastAsia="宋体" w:cs="宋体"/>
          <w:b/>
          <w:bCs/>
          <w:kern w:val="0"/>
          <w:sz w:val="24"/>
          <w:szCs w:val="24"/>
        </w:rPr>
        <w:t>第六部分：语言文化与传媒学院各专业毕业生跟踪调查情况</w:t>
      </w:r>
    </w:p>
    <w:p>
      <w:pPr>
        <w:widowControl/>
        <w:spacing w:before="100" w:after="100" w:line="360" w:lineRule="auto"/>
        <w:ind w:firstLine="480" w:firstLineChars="200"/>
        <w:jc w:val="left"/>
        <w:rPr>
          <w:rFonts w:hint="eastAsia" w:ascii="宋体" w:hAnsi="宋体" w:eastAsia="宋体"/>
          <w:sz w:val="24"/>
          <w:szCs w:val="24"/>
          <w:lang w:eastAsia="zh-CN"/>
        </w:rPr>
      </w:pPr>
      <w:r>
        <w:rPr>
          <w:rFonts w:ascii="宋体" w:hAnsi="宋体" w:eastAsia="宋体"/>
          <w:sz w:val="24"/>
          <w:szCs w:val="24"/>
        </w:rPr>
        <w:t>随着</w:t>
      </w:r>
      <w:r>
        <w:rPr>
          <w:rFonts w:hint="eastAsia" w:ascii="宋体" w:hAnsi="宋体" w:eastAsia="宋体"/>
          <w:sz w:val="24"/>
          <w:szCs w:val="24"/>
        </w:rPr>
        <w:t>2022</w:t>
      </w:r>
      <w:r>
        <w:rPr>
          <w:rFonts w:ascii="宋体" w:hAnsi="宋体" w:eastAsia="宋体"/>
          <w:sz w:val="24"/>
          <w:szCs w:val="24"/>
        </w:rPr>
        <w:t>届毕业生就业工作告一段落，毕业生们纷纷走上工作岗位，开始自己的职业生涯。</w:t>
      </w:r>
      <w:r>
        <w:rPr>
          <w:rFonts w:hint="eastAsia" w:ascii="宋体" w:hAnsi="宋体" w:eastAsia="宋体"/>
          <w:sz w:val="24"/>
          <w:szCs w:val="24"/>
        </w:rPr>
        <w:t>2022</w:t>
      </w:r>
      <w:r>
        <w:rPr>
          <w:rFonts w:ascii="宋体" w:hAnsi="宋体" w:eastAsia="宋体"/>
          <w:sz w:val="24"/>
          <w:szCs w:val="24"/>
        </w:rPr>
        <w:t>届毕业生中大部分同学已经在工作岗位上奋斗半年。我院与他们保持了较为紧密的联系。从学校反馈的</w:t>
      </w:r>
      <w:r>
        <w:rPr>
          <w:rFonts w:hint="eastAsia" w:ascii="宋体" w:hAnsi="宋体" w:eastAsia="宋体"/>
          <w:sz w:val="24"/>
          <w:szCs w:val="24"/>
        </w:rPr>
        <w:t>2022</w:t>
      </w:r>
      <w:r>
        <w:rPr>
          <w:rFonts w:ascii="宋体" w:hAnsi="宋体" w:eastAsia="宋体"/>
          <w:sz w:val="24"/>
          <w:szCs w:val="24"/>
        </w:rPr>
        <w:t>届毕业生就业质量调查数据来看，我院绝大部分学生及时的完成了相关调查。为了了解他们最近的工作状态，更好的做好今后的就业工作，我们对部分毕业生进行了跟踪调查，通过调查我们了解到一些数据。</w:t>
      </w:r>
    </w:p>
    <w:p>
      <w:pPr>
        <w:widowControl/>
        <w:spacing w:before="100" w:after="100" w:line="360" w:lineRule="auto"/>
        <w:ind w:firstLine="480" w:firstLineChars="200"/>
        <w:jc w:val="left"/>
        <w:rPr>
          <w:rFonts w:hint="eastAsia" w:ascii="宋体" w:hAnsi="宋体" w:eastAsia="宋体"/>
          <w:sz w:val="24"/>
          <w:szCs w:val="24"/>
          <w:lang w:eastAsia="zh-CN"/>
        </w:rPr>
      </w:pPr>
      <w:r>
        <w:rPr>
          <w:rFonts w:hint="eastAsia" w:ascii="宋体" w:hAnsi="宋体" w:eastAsia="宋体"/>
          <w:sz w:val="24"/>
          <w:szCs w:val="24"/>
        </w:rPr>
        <w:t xml:space="preserve">    </w:t>
      </w:r>
      <w:r>
        <w:rPr>
          <w:rFonts w:ascii="宋体" w:hAnsi="宋体" w:eastAsia="宋体"/>
          <w:sz w:val="24"/>
          <w:szCs w:val="24"/>
        </w:rPr>
        <w:t>一、调查目的</w:t>
      </w:r>
    </w:p>
    <w:p>
      <w:pPr>
        <w:widowControl/>
        <w:spacing w:before="100" w:after="100" w:line="360" w:lineRule="auto"/>
        <w:ind w:firstLine="480" w:firstLineChars="200"/>
        <w:jc w:val="left"/>
        <w:rPr>
          <w:rFonts w:hint="eastAsia" w:ascii="宋体" w:hAnsi="宋体" w:eastAsia="宋体"/>
          <w:sz w:val="24"/>
          <w:szCs w:val="24"/>
          <w:lang w:eastAsia="zh-CN"/>
        </w:rPr>
      </w:pPr>
      <w:r>
        <w:rPr>
          <w:rFonts w:hint="eastAsia" w:ascii="宋体" w:hAnsi="宋体" w:eastAsia="宋体"/>
          <w:sz w:val="24"/>
          <w:szCs w:val="24"/>
        </w:rPr>
        <w:t xml:space="preserve">     </w:t>
      </w:r>
      <w:r>
        <w:rPr>
          <w:rFonts w:ascii="宋体" w:hAnsi="宋体" w:eastAsia="宋体"/>
          <w:sz w:val="24"/>
          <w:szCs w:val="24"/>
        </w:rPr>
        <w:t>进一步完善和改进我院的毕业生就业指导工作，推进教育教学改革，以准确数据反馈我院毕业生的就业状态以及用人单位对我院人才培养方式的评价。了解毕业生的就业状况，以及他们对学校教育教学环境、专业课程设置和教育教学内容、就业服务等方面的意见和建议。了解用人单位对我院毕业生的思想品德、专业知识、业务能力和工作业绩等方面的总体评价和要求，以及对学校教学改革的意见和建议。</w:t>
      </w:r>
    </w:p>
    <w:p>
      <w:pPr>
        <w:widowControl/>
        <w:spacing w:before="100" w:after="100" w:line="360" w:lineRule="auto"/>
        <w:ind w:firstLine="480" w:firstLineChars="200"/>
        <w:jc w:val="left"/>
        <w:rPr>
          <w:rFonts w:hint="eastAsia" w:ascii="宋体" w:hAnsi="宋体" w:eastAsia="宋体"/>
          <w:sz w:val="24"/>
          <w:szCs w:val="24"/>
          <w:lang w:eastAsia="zh-CN"/>
        </w:rPr>
      </w:pPr>
      <w:r>
        <w:rPr>
          <w:rFonts w:hint="eastAsia" w:ascii="宋体" w:hAnsi="宋体" w:eastAsia="宋体"/>
          <w:sz w:val="24"/>
          <w:szCs w:val="24"/>
        </w:rPr>
        <w:t xml:space="preserve">    </w:t>
      </w:r>
      <w:r>
        <w:rPr>
          <w:rFonts w:ascii="宋体" w:hAnsi="宋体" w:eastAsia="宋体"/>
          <w:sz w:val="24"/>
          <w:szCs w:val="24"/>
        </w:rPr>
        <w:t>二、调查背景</w:t>
      </w:r>
    </w:p>
    <w:p>
      <w:pPr>
        <w:widowControl/>
        <w:spacing w:before="100" w:after="100" w:line="360" w:lineRule="auto"/>
        <w:ind w:firstLine="480" w:firstLineChars="200"/>
        <w:jc w:val="left"/>
        <w:rPr>
          <w:rFonts w:hint="eastAsia" w:ascii="宋体" w:hAnsi="宋体" w:eastAsia="宋体"/>
          <w:sz w:val="24"/>
          <w:szCs w:val="24"/>
          <w:lang w:eastAsia="zh-CN"/>
        </w:rPr>
      </w:pPr>
      <w:r>
        <w:rPr>
          <w:rFonts w:hint="eastAsia" w:ascii="宋体" w:hAnsi="宋体" w:eastAsia="宋体"/>
          <w:sz w:val="24"/>
          <w:szCs w:val="24"/>
        </w:rPr>
        <w:t xml:space="preserve">    </w:t>
      </w:r>
      <w:r>
        <w:rPr>
          <w:rFonts w:ascii="宋体" w:hAnsi="宋体" w:eastAsia="宋体"/>
          <w:sz w:val="24"/>
          <w:szCs w:val="24"/>
        </w:rPr>
        <w:t>虽然今年的</w:t>
      </w:r>
      <w:r>
        <w:rPr>
          <w:rFonts w:hint="eastAsia" w:ascii="宋体" w:hAnsi="宋体" w:eastAsia="宋体"/>
          <w:sz w:val="24"/>
          <w:szCs w:val="24"/>
        </w:rPr>
        <w:t>持续</w:t>
      </w:r>
      <w:r>
        <w:rPr>
          <w:rFonts w:ascii="宋体" w:hAnsi="宋体" w:eastAsia="宋体"/>
          <w:sz w:val="24"/>
          <w:szCs w:val="24"/>
        </w:rPr>
        <w:t>疫情对大学生就业产生了负面的影响但是另一方面也是对大学生所学专业的一次市场检验。好的专业、能力强的大学生才能在这么激烈的竞争中生存下来。为了解我院毕业生就业情况，学生在走向实际工作岗位后，对在校期间的教学运行管理、学生管理工作、就业工作等方面的反馈意见，以及用人单位在选用我院毕业生后的反馈意见，以便提高我院就业工作水平，及时转变我院在人才培养工作中的方式，调整毕业生创业就业结构，提升大学毕业生整体综合素质，为学院人才培养模式改革工作提供具体参考意见，根据学院毕业生社会调查实施方案，我院对</w:t>
      </w:r>
      <w:r>
        <w:rPr>
          <w:rFonts w:hint="eastAsia" w:ascii="宋体" w:hAnsi="宋体" w:eastAsia="宋体"/>
          <w:sz w:val="24"/>
          <w:szCs w:val="24"/>
        </w:rPr>
        <w:t>2022</w:t>
      </w:r>
      <w:r>
        <w:rPr>
          <w:rFonts w:ascii="宋体" w:hAnsi="宋体" w:eastAsia="宋体"/>
          <w:sz w:val="24"/>
          <w:szCs w:val="24"/>
        </w:rPr>
        <w:t>届</w:t>
      </w:r>
      <w:r>
        <w:rPr>
          <w:rFonts w:hint="eastAsia" w:ascii="宋体" w:hAnsi="宋体" w:eastAsia="宋体"/>
          <w:sz w:val="24"/>
          <w:szCs w:val="24"/>
        </w:rPr>
        <w:t>6</w:t>
      </w:r>
      <w:r>
        <w:rPr>
          <w:rFonts w:ascii="宋体" w:hAnsi="宋体" w:eastAsia="宋体"/>
          <w:sz w:val="24"/>
          <w:szCs w:val="24"/>
        </w:rPr>
        <w:t>0名毕业生和10家毕业生相对集中的就业单位进行了跟踪调查。</w:t>
      </w:r>
    </w:p>
    <w:p>
      <w:pPr>
        <w:widowControl/>
        <w:spacing w:before="100" w:after="100" w:line="360" w:lineRule="auto"/>
        <w:ind w:firstLine="480" w:firstLineChars="200"/>
        <w:jc w:val="left"/>
        <w:rPr>
          <w:rFonts w:hint="eastAsia" w:ascii="宋体" w:hAnsi="宋体" w:eastAsia="宋体"/>
          <w:sz w:val="24"/>
          <w:szCs w:val="24"/>
          <w:lang w:eastAsia="zh-CN"/>
        </w:rPr>
      </w:pPr>
      <w:r>
        <w:rPr>
          <w:rFonts w:hint="eastAsia" w:ascii="宋体" w:hAnsi="宋体" w:eastAsia="宋体"/>
          <w:sz w:val="24"/>
          <w:szCs w:val="24"/>
        </w:rPr>
        <w:t xml:space="preserve">    </w:t>
      </w:r>
      <w:r>
        <w:rPr>
          <w:rFonts w:ascii="宋体" w:hAnsi="宋体" w:eastAsia="宋体"/>
          <w:sz w:val="24"/>
          <w:szCs w:val="24"/>
        </w:rPr>
        <w:t>三、调查方法</w:t>
      </w:r>
    </w:p>
    <w:p>
      <w:pPr>
        <w:widowControl/>
        <w:spacing w:before="100" w:after="100" w:line="360" w:lineRule="auto"/>
        <w:ind w:firstLine="480" w:firstLineChars="200"/>
        <w:jc w:val="left"/>
        <w:rPr>
          <w:rFonts w:hint="eastAsia" w:ascii="宋体" w:hAnsi="宋体" w:eastAsia="宋体"/>
          <w:sz w:val="24"/>
          <w:szCs w:val="24"/>
          <w:lang w:eastAsia="zh-CN"/>
        </w:rPr>
      </w:pPr>
      <w:r>
        <w:rPr>
          <w:rFonts w:ascii="宋体" w:hAnsi="宋体" w:eastAsia="宋体"/>
          <w:sz w:val="24"/>
          <w:szCs w:val="24"/>
        </w:rPr>
        <w:t>  （一）抽样调查法</w:t>
      </w:r>
    </w:p>
    <w:p>
      <w:pPr>
        <w:widowControl/>
        <w:spacing w:before="100" w:after="100" w:line="360" w:lineRule="auto"/>
        <w:ind w:firstLine="480" w:firstLineChars="200"/>
        <w:jc w:val="left"/>
        <w:rPr>
          <w:rFonts w:hint="eastAsia" w:ascii="宋体" w:hAnsi="宋体" w:eastAsia="宋体"/>
          <w:sz w:val="24"/>
          <w:szCs w:val="24"/>
          <w:lang w:eastAsia="zh-CN"/>
        </w:rPr>
      </w:pPr>
      <w:r>
        <w:rPr>
          <w:rFonts w:hint="eastAsia" w:ascii="宋体" w:hAnsi="宋体" w:eastAsia="宋体"/>
          <w:sz w:val="24"/>
          <w:szCs w:val="24"/>
        </w:rPr>
        <w:t xml:space="preserve">   </w:t>
      </w:r>
      <w:r>
        <w:rPr>
          <w:rFonts w:ascii="宋体" w:hAnsi="宋体" w:eastAsia="宋体"/>
          <w:sz w:val="24"/>
          <w:szCs w:val="24"/>
        </w:rPr>
        <w:t xml:space="preserve"> 随机选取了60名毕业生和毕业生相对集中的10家单位。</w:t>
      </w:r>
    </w:p>
    <w:p>
      <w:pPr>
        <w:widowControl/>
        <w:spacing w:before="100" w:after="100" w:line="360" w:lineRule="auto"/>
        <w:ind w:firstLine="480" w:firstLineChars="200"/>
        <w:jc w:val="left"/>
        <w:rPr>
          <w:rFonts w:hint="eastAsia" w:ascii="宋体" w:hAnsi="宋体" w:eastAsia="宋体"/>
          <w:sz w:val="24"/>
          <w:szCs w:val="24"/>
          <w:lang w:eastAsia="zh-CN"/>
        </w:rPr>
      </w:pPr>
      <w:r>
        <w:rPr>
          <w:rFonts w:ascii="宋体" w:hAnsi="宋体" w:eastAsia="宋体"/>
          <w:sz w:val="24"/>
          <w:szCs w:val="24"/>
        </w:rPr>
        <w:t>  （二）主要调查方法</w:t>
      </w:r>
    </w:p>
    <w:p>
      <w:pPr>
        <w:widowControl/>
        <w:spacing w:before="100" w:after="100" w:line="360" w:lineRule="auto"/>
        <w:ind w:firstLine="480" w:firstLineChars="200"/>
        <w:jc w:val="left"/>
        <w:rPr>
          <w:rFonts w:hint="eastAsia" w:ascii="宋体" w:hAnsi="宋体" w:eastAsia="宋体"/>
          <w:sz w:val="24"/>
          <w:szCs w:val="24"/>
          <w:lang w:eastAsia="zh-CN"/>
        </w:rPr>
      </w:pPr>
      <w:r>
        <w:rPr>
          <w:rFonts w:ascii="宋体" w:hAnsi="宋体" w:eastAsia="宋体"/>
          <w:sz w:val="24"/>
          <w:szCs w:val="24"/>
        </w:rPr>
        <w:t xml:space="preserve">    1．问卷法；2．电话或者QQ访问法；3．现场座谈法；</w:t>
      </w:r>
    </w:p>
    <w:p>
      <w:pPr>
        <w:widowControl/>
        <w:spacing w:before="100" w:after="100" w:line="360" w:lineRule="auto"/>
        <w:ind w:firstLine="480" w:firstLineChars="200"/>
        <w:jc w:val="left"/>
        <w:rPr>
          <w:rFonts w:hint="eastAsia" w:ascii="宋体" w:hAnsi="宋体" w:eastAsia="宋体"/>
          <w:sz w:val="24"/>
          <w:szCs w:val="24"/>
          <w:lang w:eastAsia="zh-CN"/>
        </w:rPr>
      </w:pPr>
      <w:r>
        <w:rPr>
          <w:rFonts w:ascii="宋体" w:hAnsi="宋体" w:eastAsia="宋体"/>
          <w:sz w:val="24"/>
          <w:szCs w:val="24"/>
        </w:rPr>
        <w:t xml:space="preserve">    四、调查结果及分析</w:t>
      </w:r>
    </w:p>
    <w:p>
      <w:pPr>
        <w:widowControl/>
        <w:spacing w:before="100" w:after="100" w:line="360" w:lineRule="auto"/>
        <w:ind w:firstLine="480" w:firstLineChars="200"/>
        <w:jc w:val="left"/>
        <w:rPr>
          <w:rFonts w:hint="eastAsia" w:ascii="宋体" w:hAnsi="宋体" w:eastAsia="宋体"/>
          <w:sz w:val="24"/>
          <w:szCs w:val="24"/>
          <w:lang w:eastAsia="zh-CN"/>
        </w:rPr>
      </w:pPr>
      <w:r>
        <w:rPr>
          <w:rFonts w:ascii="宋体" w:hAnsi="宋体" w:eastAsia="宋体"/>
          <w:sz w:val="24"/>
          <w:szCs w:val="24"/>
        </w:rPr>
        <w:t>  （一）毕业生所在用人单位对我院学生的评价</w:t>
      </w:r>
    </w:p>
    <w:p>
      <w:pPr>
        <w:widowControl/>
        <w:spacing w:before="100" w:after="100" w:line="360" w:lineRule="auto"/>
        <w:ind w:firstLine="480" w:firstLineChars="200"/>
        <w:jc w:val="left"/>
        <w:rPr>
          <w:rFonts w:hint="eastAsia" w:ascii="宋体" w:hAnsi="宋体" w:eastAsia="宋体"/>
          <w:sz w:val="24"/>
          <w:szCs w:val="24"/>
          <w:lang w:eastAsia="zh-CN"/>
        </w:rPr>
      </w:pPr>
      <w:r>
        <w:rPr>
          <w:rFonts w:ascii="宋体" w:hAnsi="宋体" w:eastAsia="宋体"/>
          <w:sz w:val="24"/>
          <w:szCs w:val="24"/>
        </w:rPr>
        <w:t xml:space="preserve">    从问卷调查的结果看，用人单位对我院毕业生的整体印象较好，对其敬业精神、诚实守信、理论基础、专业知识和团队合作意识给予了充分肯定。认为我院毕业生思想政治素质较高，组织纪律性较强，有较强的责任心和上进心，能吃苦，爱劳动，肯学习。然而用人单位也反应出了院毕业生的一些不足之处。归纳起来主要有以下几点：1.认为我院学生创新精神、组织协调能力、沟通能力有待进一步提高。2.多家用人单位认为我们的毕业生的</w:t>
      </w:r>
      <w:r>
        <w:rPr>
          <w:rFonts w:hint="eastAsia" w:ascii="宋体" w:hAnsi="宋体" w:eastAsia="宋体"/>
          <w:sz w:val="24"/>
          <w:szCs w:val="24"/>
        </w:rPr>
        <w:t>专业技能</w:t>
      </w:r>
      <w:r>
        <w:rPr>
          <w:rFonts w:ascii="宋体" w:hAnsi="宋体" w:eastAsia="宋体"/>
          <w:sz w:val="24"/>
          <w:szCs w:val="24"/>
        </w:rPr>
        <w:t>有待加强，建议我们在课程设置，实习指导方面加强这方面的考虑。3.部分用人单位反应我院毕业生就业以后在工作岗位上存在思想浮躁急于跳槽等情况，建议我们加强职业生涯规划和就业指导工作。</w:t>
      </w:r>
    </w:p>
    <w:p>
      <w:pPr>
        <w:widowControl/>
        <w:spacing w:before="100" w:after="100" w:line="360" w:lineRule="auto"/>
        <w:ind w:firstLine="480" w:firstLineChars="200"/>
        <w:jc w:val="left"/>
        <w:rPr>
          <w:rFonts w:hint="eastAsia" w:ascii="宋体" w:hAnsi="宋体" w:eastAsia="宋体"/>
          <w:sz w:val="24"/>
          <w:szCs w:val="24"/>
          <w:lang w:eastAsia="zh-CN"/>
        </w:rPr>
      </w:pPr>
      <w:r>
        <w:rPr>
          <w:rFonts w:ascii="宋体" w:hAnsi="宋体" w:eastAsia="宋体"/>
          <w:sz w:val="24"/>
          <w:szCs w:val="24"/>
        </w:rPr>
        <w:t> （二）毕业生对学校就业工作的评价</w:t>
      </w:r>
    </w:p>
    <w:p>
      <w:pPr>
        <w:widowControl/>
        <w:spacing w:before="100" w:after="100" w:line="360" w:lineRule="auto"/>
        <w:ind w:firstLine="480" w:firstLineChars="200"/>
        <w:jc w:val="left"/>
        <w:rPr>
          <w:rFonts w:hint="eastAsia" w:ascii="宋体" w:hAnsi="宋体" w:eastAsia="宋体"/>
          <w:sz w:val="24"/>
          <w:szCs w:val="24"/>
          <w:lang w:eastAsia="zh-CN"/>
        </w:rPr>
      </w:pPr>
      <w:r>
        <w:rPr>
          <w:rFonts w:hint="eastAsia" w:ascii="宋体" w:hAnsi="宋体" w:eastAsia="宋体"/>
          <w:sz w:val="24"/>
          <w:szCs w:val="24"/>
        </w:rPr>
        <w:t xml:space="preserve">    </w:t>
      </w:r>
      <w:r>
        <w:rPr>
          <w:rFonts w:ascii="宋体" w:hAnsi="宋体" w:eastAsia="宋体"/>
          <w:sz w:val="24"/>
          <w:szCs w:val="24"/>
        </w:rPr>
        <w:t>在对近60名毕业生的调查中，可以看出毕业生对学院的总体就业工作评价比较满意，但对我院的就业工作的某些方面还有一些意见，集中反映在以下几个方面：</w:t>
      </w:r>
    </w:p>
    <w:p>
      <w:pPr>
        <w:widowControl/>
        <w:spacing w:before="100" w:after="100" w:line="360" w:lineRule="auto"/>
        <w:ind w:firstLine="480" w:firstLineChars="200"/>
        <w:jc w:val="left"/>
        <w:rPr>
          <w:rFonts w:ascii="宋体" w:hAnsi="宋体" w:eastAsia="宋体"/>
          <w:sz w:val="24"/>
          <w:szCs w:val="24"/>
        </w:rPr>
      </w:pPr>
      <w:r>
        <w:rPr>
          <w:rFonts w:ascii="宋体" w:hAnsi="宋体" w:eastAsia="宋体"/>
          <w:sz w:val="24"/>
          <w:szCs w:val="24"/>
        </w:rPr>
        <w:t xml:space="preserve">    1.我院举办招聘会中需要中文</w:t>
      </w:r>
      <w:r>
        <w:rPr>
          <w:rFonts w:hint="eastAsia" w:ascii="宋体" w:hAnsi="宋体" w:eastAsia="宋体"/>
          <w:sz w:val="24"/>
          <w:szCs w:val="24"/>
        </w:rPr>
        <w:t>、新闻类</w:t>
      </w:r>
      <w:r>
        <w:rPr>
          <w:rFonts w:ascii="宋体" w:hAnsi="宋体" w:eastAsia="宋体"/>
          <w:sz w:val="24"/>
          <w:szCs w:val="24"/>
        </w:rPr>
        <w:t>各专业的岗位太少，多数招聘会</w:t>
      </w:r>
      <w:r>
        <w:rPr>
          <w:rFonts w:hint="eastAsia" w:ascii="宋体" w:hAnsi="宋体" w:eastAsia="宋体"/>
          <w:sz w:val="24"/>
          <w:szCs w:val="24"/>
        </w:rPr>
        <w:t>都是针对理工科。</w:t>
      </w:r>
    </w:p>
    <w:p>
      <w:pPr>
        <w:widowControl/>
        <w:spacing w:before="100" w:after="100" w:line="360" w:lineRule="auto"/>
        <w:ind w:firstLine="240" w:firstLineChars="100"/>
        <w:jc w:val="left"/>
        <w:rPr>
          <w:rFonts w:hint="eastAsia" w:ascii="宋体" w:hAnsi="宋体" w:eastAsia="宋体"/>
          <w:sz w:val="24"/>
          <w:szCs w:val="24"/>
          <w:lang w:eastAsia="zh-CN"/>
        </w:rPr>
      </w:pPr>
      <w:r>
        <w:rPr>
          <w:rFonts w:ascii="宋体" w:hAnsi="宋体" w:eastAsia="宋体"/>
          <w:sz w:val="24"/>
          <w:szCs w:val="24"/>
        </w:rPr>
        <w:t xml:space="preserve"> 2.所学的知识和工作岗位上需要用到的知识存在一定的差距，即所学非所用，所用非所学。</w:t>
      </w:r>
    </w:p>
    <w:p>
      <w:pPr>
        <w:widowControl/>
        <w:spacing w:before="100" w:after="100" w:line="360" w:lineRule="auto"/>
        <w:ind w:firstLine="240" w:firstLineChars="100"/>
        <w:jc w:val="left"/>
        <w:rPr>
          <w:rFonts w:hint="eastAsia" w:ascii="宋体" w:hAnsi="宋体" w:eastAsia="宋体"/>
          <w:sz w:val="24"/>
          <w:szCs w:val="24"/>
          <w:lang w:eastAsia="zh-CN"/>
        </w:rPr>
      </w:pPr>
      <w:r>
        <w:rPr>
          <w:rFonts w:ascii="宋体" w:hAnsi="宋体" w:eastAsia="宋体"/>
          <w:sz w:val="24"/>
          <w:szCs w:val="24"/>
        </w:rPr>
        <w:t xml:space="preserve">    3.学院应加强和本科生沟通研究生就业情况，避免盲目考研。</w:t>
      </w:r>
    </w:p>
    <w:p>
      <w:pPr>
        <w:widowControl/>
        <w:spacing w:before="100" w:after="100" w:line="360" w:lineRule="auto"/>
        <w:ind w:firstLine="240" w:firstLineChars="100"/>
        <w:jc w:val="left"/>
        <w:rPr>
          <w:rFonts w:hint="eastAsia" w:ascii="宋体" w:hAnsi="宋体" w:eastAsia="宋体"/>
          <w:sz w:val="24"/>
          <w:szCs w:val="24"/>
        </w:rPr>
      </w:pPr>
      <w:r>
        <w:rPr>
          <w:rFonts w:ascii="宋体" w:hAnsi="宋体" w:eastAsia="宋体"/>
          <w:sz w:val="24"/>
          <w:szCs w:val="24"/>
        </w:rPr>
        <w:t xml:space="preserve">    4.</w:t>
      </w:r>
      <w:r>
        <w:rPr>
          <w:rFonts w:hint="eastAsia" w:ascii="宋体" w:hAnsi="宋体" w:eastAsia="宋体"/>
          <w:sz w:val="24"/>
          <w:szCs w:val="24"/>
        </w:rPr>
        <w:t>希望</w:t>
      </w:r>
      <w:r>
        <w:rPr>
          <w:rFonts w:ascii="宋体" w:hAnsi="宋体" w:eastAsia="宋体"/>
          <w:sz w:val="24"/>
          <w:szCs w:val="24"/>
        </w:rPr>
        <w:t>学校开展的职业生涯规划、就业指导等课程等</w:t>
      </w:r>
      <w:r>
        <w:rPr>
          <w:rFonts w:hint="eastAsia" w:ascii="宋体" w:hAnsi="宋体" w:eastAsia="宋体"/>
          <w:sz w:val="24"/>
          <w:szCs w:val="24"/>
        </w:rPr>
        <w:t>更贴合市场需求</w:t>
      </w:r>
    </w:p>
    <w:p>
      <w:pPr>
        <w:widowControl/>
        <w:spacing w:before="100" w:after="100" w:line="360" w:lineRule="auto"/>
        <w:ind w:firstLine="240" w:firstLineChars="100"/>
        <w:jc w:val="left"/>
        <w:rPr>
          <w:rFonts w:hint="eastAsia" w:ascii="宋体" w:hAnsi="宋体" w:eastAsia="宋体"/>
          <w:sz w:val="24"/>
          <w:szCs w:val="24"/>
          <w:lang w:eastAsia="zh-CN"/>
        </w:rPr>
      </w:pPr>
      <w:r>
        <w:rPr>
          <w:rFonts w:ascii="宋体" w:hAnsi="宋体" w:eastAsia="宋体"/>
          <w:sz w:val="24"/>
          <w:szCs w:val="24"/>
        </w:rPr>
        <w:t xml:space="preserve">  5.就业指导应该从一进校就开始做，从大一就应给每</w:t>
      </w:r>
      <w:r>
        <w:rPr>
          <w:rFonts w:hint="eastAsia" w:ascii="宋体" w:hAnsi="宋体" w:eastAsia="宋体"/>
          <w:sz w:val="24"/>
          <w:szCs w:val="24"/>
        </w:rPr>
        <w:t>个班级</w:t>
      </w:r>
      <w:r>
        <w:rPr>
          <w:rFonts w:ascii="宋体" w:hAnsi="宋体" w:eastAsia="宋体"/>
          <w:sz w:val="24"/>
          <w:szCs w:val="24"/>
        </w:rPr>
        <w:t>学生配备</w:t>
      </w:r>
      <w:r>
        <w:rPr>
          <w:rFonts w:hint="eastAsia" w:ascii="宋体" w:hAnsi="宋体" w:eastAsia="宋体"/>
          <w:sz w:val="24"/>
          <w:szCs w:val="24"/>
        </w:rPr>
        <w:t>一名</w:t>
      </w:r>
      <w:r>
        <w:rPr>
          <w:rFonts w:ascii="宋体" w:hAnsi="宋体" w:eastAsia="宋体"/>
          <w:sz w:val="24"/>
          <w:szCs w:val="24"/>
        </w:rPr>
        <w:t>名专业导师，指导大家的学习和就业。</w:t>
      </w:r>
    </w:p>
    <w:p>
      <w:pPr>
        <w:widowControl/>
        <w:spacing w:before="100" w:after="100" w:line="360" w:lineRule="auto"/>
        <w:ind w:firstLine="240" w:firstLineChars="100"/>
        <w:jc w:val="left"/>
        <w:rPr>
          <w:rFonts w:hint="eastAsia" w:ascii="宋体" w:hAnsi="宋体" w:eastAsia="宋体"/>
          <w:sz w:val="24"/>
          <w:szCs w:val="24"/>
          <w:lang w:eastAsia="zh-CN"/>
        </w:rPr>
      </w:pPr>
      <w:r>
        <w:rPr>
          <w:rFonts w:hint="eastAsia" w:ascii="宋体" w:hAnsi="宋体" w:eastAsia="宋体"/>
          <w:sz w:val="24"/>
          <w:szCs w:val="24"/>
        </w:rPr>
        <w:t xml:space="preserve">  </w:t>
      </w:r>
      <w:r>
        <w:rPr>
          <w:rFonts w:ascii="宋体" w:hAnsi="宋体" w:eastAsia="宋体"/>
          <w:sz w:val="24"/>
          <w:szCs w:val="24"/>
        </w:rPr>
        <w:t xml:space="preserve"> </w:t>
      </w:r>
      <w:r>
        <w:rPr>
          <w:rFonts w:hint="eastAsia" w:ascii="宋体" w:hAnsi="宋体" w:eastAsia="宋体"/>
          <w:sz w:val="24"/>
          <w:szCs w:val="24"/>
        </w:rPr>
        <w:t xml:space="preserve"> </w:t>
      </w:r>
      <w:r>
        <w:rPr>
          <w:rFonts w:ascii="宋体" w:hAnsi="宋体" w:eastAsia="宋体"/>
          <w:sz w:val="24"/>
          <w:szCs w:val="24"/>
        </w:rPr>
        <w:t>五、调查结果对我们的启示</w:t>
      </w:r>
    </w:p>
    <w:p>
      <w:pPr>
        <w:widowControl/>
        <w:spacing w:before="100" w:after="100" w:line="360" w:lineRule="auto"/>
        <w:ind w:firstLine="240" w:firstLineChars="100"/>
        <w:jc w:val="left"/>
        <w:rPr>
          <w:rFonts w:ascii="宋体" w:hAnsi="宋体" w:eastAsia="宋体" w:cs="宋体"/>
          <w:kern w:val="0"/>
          <w:sz w:val="24"/>
          <w:szCs w:val="24"/>
        </w:rPr>
      </w:pPr>
      <w:r>
        <w:rPr>
          <w:rFonts w:hint="eastAsia" w:ascii="宋体" w:hAnsi="宋体" w:eastAsia="宋体"/>
          <w:sz w:val="24"/>
          <w:szCs w:val="24"/>
        </w:rPr>
        <w:t xml:space="preserve">    </w:t>
      </w:r>
      <w:r>
        <w:rPr>
          <w:rFonts w:ascii="宋体" w:hAnsi="宋体" w:eastAsia="宋体"/>
          <w:sz w:val="24"/>
          <w:szCs w:val="24"/>
        </w:rPr>
        <w:t>基于本次毕业生质量跟踪调查，我们从中深受启发。从毕业生所在单位和毕业生反映的问题看，主要集中在综合素质差、理论水平低、动手能力不强、刚就业时的心理浮躁等问题。这些问题已成为影响毕业生向高层次发展和接受继续教育的最大障碍。我院应该正面面对来自就业的压力，让加强专业培训和就业状况挂钩，将有助于激励我院提高办学质量，做到围绕社会需求来培养学生。</w:t>
      </w:r>
    </w:p>
    <w:p>
      <w:pPr>
        <w:widowControl/>
        <w:spacing w:before="100" w:after="100" w:line="360" w:lineRule="auto"/>
        <w:ind w:firstLine="482" w:firstLineChars="200"/>
        <w:jc w:val="center"/>
        <w:rPr>
          <w:rFonts w:ascii="宋体" w:hAnsi="宋体" w:eastAsia="宋体" w:cs="宋体"/>
          <w:b/>
          <w:bCs/>
          <w:kern w:val="0"/>
          <w:sz w:val="24"/>
          <w:szCs w:val="24"/>
        </w:rPr>
      </w:pPr>
      <w:r>
        <w:rPr>
          <w:rFonts w:hint="eastAsia" w:ascii="宋体" w:hAnsi="宋体" w:eastAsia="宋体" w:cs="宋体"/>
          <w:b/>
          <w:bCs/>
          <w:kern w:val="0"/>
          <w:sz w:val="24"/>
          <w:szCs w:val="24"/>
        </w:rPr>
        <w:t>第七部分：</w:t>
      </w:r>
      <w:bookmarkStart w:id="4" w:name="OLE_LINK3"/>
      <w:r>
        <w:rPr>
          <w:rFonts w:hint="eastAsia" w:ascii="宋体" w:hAnsi="宋体" w:eastAsia="宋体" w:cs="宋体"/>
          <w:b/>
          <w:bCs/>
          <w:kern w:val="0"/>
          <w:sz w:val="24"/>
          <w:szCs w:val="24"/>
        </w:rPr>
        <w:t>语言文化与传媒学院各专业毕业生当年基层就业</w:t>
      </w:r>
      <w:bookmarkEnd w:id="4"/>
      <w:r>
        <w:rPr>
          <w:rFonts w:hint="eastAsia" w:ascii="宋体" w:hAnsi="宋体" w:eastAsia="宋体" w:cs="宋体"/>
          <w:b/>
          <w:bCs/>
          <w:kern w:val="0"/>
          <w:sz w:val="24"/>
          <w:szCs w:val="24"/>
        </w:rPr>
        <w:t>情况</w:t>
      </w:r>
    </w:p>
    <w:p>
      <w:pPr>
        <w:widowControl/>
        <w:spacing w:before="100" w:after="100" w:line="360" w:lineRule="auto"/>
        <w:ind w:firstLine="480" w:firstLineChars="200"/>
        <w:jc w:val="center"/>
        <w:rPr>
          <w:rFonts w:ascii="宋体" w:hAnsi="宋体" w:eastAsia="宋体"/>
          <w:sz w:val="24"/>
          <w:szCs w:val="24"/>
        </w:rPr>
      </w:pPr>
      <w:r>
        <w:rPr>
          <w:rFonts w:ascii="宋体" w:hAnsi="宋体" w:eastAsia="宋体"/>
          <w:sz w:val="24"/>
          <w:szCs w:val="24"/>
        </w:rPr>
        <w:t>为了相应国家鼓励毕业生深入基层就业，促进基层政治经济发展的政策，我院利用开设毕业生就业指导课程和开展座谈会等形式来加强毕业生深入基层就业，为基层服务的意识。我院</w:t>
      </w:r>
      <w:r>
        <w:rPr>
          <w:rFonts w:hint="eastAsia" w:ascii="宋体" w:hAnsi="宋体" w:eastAsia="宋体"/>
          <w:sz w:val="24"/>
          <w:szCs w:val="24"/>
        </w:rPr>
        <w:t>2022</w:t>
      </w:r>
      <w:r>
        <w:rPr>
          <w:rFonts w:ascii="宋体" w:hAnsi="宋体" w:eastAsia="宋体"/>
          <w:sz w:val="24"/>
          <w:szCs w:val="24"/>
        </w:rPr>
        <w:t>届毕业生也积极主动地参与到相关选拔选聘考试活动中。我院学生主要集中参与到支援新疆计划、西部计划和选调生计</w:t>
      </w:r>
    </w:p>
    <w:p>
      <w:pPr>
        <w:widowControl/>
        <w:spacing w:before="100" w:after="100" w:line="360" w:lineRule="auto"/>
        <w:ind w:left="480" w:hanging="480" w:hangingChars="200"/>
        <w:rPr>
          <w:rFonts w:ascii="宋体" w:hAnsi="宋体" w:eastAsia="宋体"/>
          <w:sz w:val="24"/>
          <w:szCs w:val="24"/>
        </w:rPr>
      </w:pPr>
      <w:r>
        <w:rPr>
          <w:rFonts w:ascii="宋体" w:hAnsi="宋体" w:eastAsia="宋体"/>
          <w:sz w:val="24"/>
          <w:szCs w:val="24"/>
        </w:rPr>
        <w:t>划这三项选拔考试中。基本参与情况如下：</w:t>
      </w:r>
      <w:r>
        <w:rPr>
          <w:rFonts w:hint="eastAsia" w:ascii="宋体" w:hAnsi="宋体" w:eastAsia="宋体"/>
          <w:sz w:val="24"/>
          <w:szCs w:val="24"/>
        </w:rPr>
        <w:t>、</w:t>
      </w:r>
    </w:p>
    <w:p>
      <w:pPr>
        <w:widowControl/>
        <w:spacing w:before="100" w:after="100" w:line="360" w:lineRule="auto"/>
        <w:ind w:firstLine="480" w:firstLineChars="200"/>
        <w:jc w:val="left"/>
        <w:rPr>
          <w:rFonts w:ascii="宋体" w:hAnsi="宋体" w:eastAsia="宋体" w:cs="宋体"/>
          <w:kern w:val="0"/>
          <w:sz w:val="24"/>
          <w:szCs w:val="24"/>
        </w:rPr>
      </w:pPr>
      <w:r>
        <w:rPr>
          <w:rFonts w:ascii="宋体" w:hAnsi="宋体" w:eastAsia="宋体" w:cs="宋体"/>
          <w:kern w:val="0"/>
          <w:sz w:val="24"/>
          <w:szCs w:val="24"/>
        </w:rPr>
        <w:t>1.</w:t>
      </w:r>
      <w:r>
        <w:rPr>
          <w:rFonts w:hint="eastAsia" w:ascii="宋体" w:hAnsi="宋体" w:eastAsia="宋体" w:cs="宋体"/>
          <w:kern w:val="0"/>
          <w:sz w:val="24"/>
          <w:szCs w:val="24"/>
        </w:rPr>
        <w:t>新疆</w:t>
      </w:r>
      <w:r>
        <w:rPr>
          <w:rFonts w:ascii="宋体" w:hAnsi="宋体" w:eastAsia="宋体" w:cs="宋体"/>
          <w:kern w:val="0"/>
          <w:sz w:val="24"/>
          <w:szCs w:val="24"/>
        </w:rPr>
        <w:t>专招计划开展情况</w:t>
      </w:r>
    </w:p>
    <w:p>
      <w:pPr>
        <w:widowControl/>
        <w:spacing w:before="100" w:after="100" w:line="360" w:lineRule="auto"/>
        <w:ind w:firstLine="480" w:firstLineChars="200"/>
        <w:jc w:val="left"/>
        <w:rPr>
          <w:rFonts w:ascii="宋体" w:hAnsi="宋体" w:eastAsia="宋体" w:cs="宋体"/>
          <w:kern w:val="0"/>
          <w:sz w:val="24"/>
          <w:szCs w:val="24"/>
        </w:rPr>
      </w:pPr>
      <w:r>
        <w:rPr>
          <w:rFonts w:hint="eastAsia" w:ascii="宋体" w:hAnsi="宋体" w:eastAsia="宋体" w:cs="宋体"/>
          <w:kern w:val="0"/>
          <w:sz w:val="24"/>
          <w:szCs w:val="24"/>
        </w:rPr>
        <w:t>2022</w:t>
      </w:r>
      <w:r>
        <w:rPr>
          <w:rFonts w:ascii="宋体" w:hAnsi="宋体" w:eastAsia="宋体" w:cs="宋体"/>
          <w:kern w:val="0"/>
          <w:sz w:val="24"/>
          <w:szCs w:val="24"/>
        </w:rPr>
        <w:t>年5月份，经学校相关部门指示，我院在毕业生中宣传</w:t>
      </w:r>
      <w:r>
        <w:rPr>
          <w:rFonts w:hint="eastAsia" w:ascii="宋体" w:hAnsi="宋体" w:eastAsia="宋体" w:cs="宋体"/>
          <w:kern w:val="0"/>
          <w:sz w:val="24"/>
          <w:szCs w:val="24"/>
        </w:rPr>
        <w:t>新疆兵团</w:t>
      </w:r>
      <w:r>
        <w:rPr>
          <w:rFonts w:ascii="宋体" w:hAnsi="宋体" w:eastAsia="宋体" w:cs="宋体"/>
          <w:kern w:val="0"/>
          <w:sz w:val="24"/>
          <w:szCs w:val="24"/>
        </w:rPr>
        <w:t>专招和新疆</w:t>
      </w:r>
      <w:r>
        <w:rPr>
          <w:rFonts w:hint="eastAsia" w:ascii="宋体" w:hAnsi="宋体" w:eastAsia="宋体" w:cs="宋体"/>
          <w:kern w:val="0"/>
          <w:sz w:val="24"/>
          <w:szCs w:val="24"/>
        </w:rPr>
        <w:t>和田</w:t>
      </w:r>
      <w:r>
        <w:rPr>
          <w:rFonts w:ascii="宋体" w:hAnsi="宋体" w:eastAsia="宋体" w:cs="宋体"/>
          <w:kern w:val="0"/>
          <w:sz w:val="24"/>
          <w:szCs w:val="24"/>
        </w:rPr>
        <w:t>专招的工作。因为不能公开选聘，所以我院召集了部分符合条件的且表现较为优秀的毕业生进行动员。从动员的结果来看，我院毕业生对国家的援疆计划非常支持。很多人都愿意到祖国的边疆去工作，为祖国的发展贡献自己的力量。考虑到名额有限</w:t>
      </w:r>
      <w:r>
        <w:rPr>
          <w:rFonts w:hint="eastAsia" w:ascii="宋体" w:hAnsi="宋体" w:eastAsia="宋体" w:cs="宋体"/>
          <w:kern w:val="0"/>
          <w:sz w:val="24"/>
          <w:szCs w:val="24"/>
        </w:rPr>
        <w:t>等</w:t>
      </w:r>
      <w:r>
        <w:rPr>
          <w:rFonts w:ascii="宋体" w:hAnsi="宋体" w:eastAsia="宋体" w:cs="宋体"/>
          <w:kern w:val="0"/>
          <w:sz w:val="24"/>
          <w:szCs w:val="24"/>
        </w:rPr>
        <w:t>种种原因</w:t>
      </w:r>
      <w:r>
        <w:rPr>
          <w:rFonts w:hint="eastAsia" w:ascii="宋体" w:hAnsi="宋体" w:eastAsia="宋体" w:cs="宋体"/>
          <w:kern w:val="0"/>
          <w:sz w:val="24"/>
          <w:szCs w:val="24"/>
        </w:rPr>
        <w:t>没有</w:t>
      </w:r>
      <w:r>
        <w:rPr>
          <w:rFonts w:ascii="宋体" w:hAnsi="宋体" w:eastAsia="宋体" w:cs="宋体"/>
          <w:kern w:val="0"/>
          <w:sz w:val="24"/>
          <w:szCs w:val="24"/>
        </w:rPr>
        <w:t>同学</w:t>
      </w:r>
      <w:r>
        <w:rPr>
          <w:rFonts w:hint="eastAsia" w:ascii="宋体" w:hAnsi="宋体" w:eastAsia="宋体" w:cs="宋体"/>
          <w:kern w:val="0"/>
          <w:sz w:val="24"/>
          <w:szCs w:val="24"/>
        </w:rPr>
        <w:t>能最终入选</w:t>
      </w:r>
      <w:r>
        <w:rPr>
          <w:rFonts w:ascii="宋体" w:hAnsi="宋体" w:eastAsia="宋体" w:cs="宋体"/>
          <w:kern w:val="0"/>
          <w:sz w:val="24"/>
          <w:szCs w:val="24"/>
        </w:rPr>
        <w:t>。</w:t>
      </w:r>
    </w:p>
    <w:p>
      <w:pPr>
        <w:widowControl/>
        <w:spacing w:before="100" w:after="100" w:line="360" w:lineRule="auto"/>
        <w:ind w:firstLine="480" w:firstLineChars="200"/>
        <w:jc w:val="left"/>
        <w:rPr>
          <w:rFonts w:ascii="宋体" w:hAnsi="宋体" w:eastAsia="宋体" w:cs="宋体"/>
          <w:kern w:val="0"/>
          <w:sz w:val="24"/>
          <w:szCs w:val="24"/>
        </w:rPr>
      </w:pPr>
      <w:r>
        <w:rPr>
          <w:rFonts w:ascii="宋体" w:hAnsi="宋体" w:eastAsia="宋体" w:cs="宋体"/>
          <w:kern w:val="0"/>
          <w:sz w:val="24"/>
          <w:szCs w:val="24"/>
        </w:rPr>
        <w:t>2.西部计划招聘情况</w:t>
      </w:r>
    </w:p>
    <w:p>
      <w:pPr>
        <w:widowControl/>
        <w:spacing w:before="100" w:after="100" w:line="360" w:lineRule="auto"/>
        <w:ind w:firstLine="480" w:firstLineChars="200"/>
        <w:jc w:val="left"/>
        <w:rPr>
          <w:rFonts w:ascii="宋体" w:hAnsi="宋体" w:eastAsia="宋体" w:cs="宋体"/>
          <w:kern w:val="0"/>
          <w:sz w:val="24"/>
          <w:szCs w:val="24"/>
        </w:rPr>
      </w:pPr>
      <w:r>
        <w:rPr>
          <w:rFonts w:hint="eastAsia" w:ascii="宋体" w:hAnsi="宋体" w:eastAsia="宋体" w:cs="宋体"/>
          <w:kern w:val="0"/>
          <w:sz w:val="24"/>
          <w:szCs w:val="24"/>
        </w:rPr>
        <w:drawing>
          <wp:anchor distT="0" distB="0" distL="114300" distR="114300" simplePos="0" relativeHeight="251663360" behindDoc="0" locked="0" layoutInCell="1" allowOverlap="1">
            <wp:simplePos x="0" y="0"/>
            <wp:positionH relativeFrom="column">
              <wp:posOffset>316865</wp:posOffset>
            </wp:positionH>
            <wp:positionV relativeFrom="paragraph">
              <wp:posOffset>894715</wp:posOffset>
            </wp:positionV>
            <wp:extent cx="4230370" cy="2766060"/>
            <wp:effectExtent l="0" t="0" r="11430" b="2540"/>
            <wp:wrapTopAndBottom/>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0" y="0"/>
                      <a:ext cx="4230569" cy="2766274"/>
                    </a:xfrm>
                    <a:prstGeom prst="rect">
                      <a:avLst/>
                    </a:prstGeom>
                  </pic:spPr>
                </pic:pic>
              </a:graphicData>
            </a:graphic>
          </wp:anchor>
        </w:drawing>
      </w:r>
      <w:r>
        <w:rPr>
          <w:rFonts w:hint="eastAsia" w:ascii="宋体" w:hAnsi="宋体" w:eastAsia="宋体" w:cs="宋体"/>
          <w:kern w:val="0"/>
          <w:sz w:val="24"/>
          <w:szCs w:val="24"/>
        </w:rPr>
        <w:t>2022</w:t>
      </w:r>
      <w:r>
        <w:rPr>
          <w:rFonts w:ascii="宋体" w:hAnsi="宋体" w:eastAsia="宋体" w:cs="宋体"/>
          <w:kern w:val="0"/>
          <w:sz w:val="24"/>
          <w:szCs w:val="24"/>
        </w:rPr>
        <w:t>年我院共有6名学生报名西部计划，最终因为名额有限等原因，</w:t>
      </w:r>
      <w:r>
        <w:rPr>
          <w:rFonts w:hint="eastAsia" w:ascii="宋体" w:hAnsi="宋体" w:eastAsia="宋体" w:cs="宋体"/>
          <w:kern w:val="0"/>
          <w:sz w:val="24"/>
          <w:szCs w:val="24"/>
        </w:rPr>
        <w:t>1</w:t>
      </w:r>
      <w:r>
        <w:rPr>
          <w:rFonts w:ascii="宋体" w:hAnsi="宋体" w:eastAsia="宋体" w:cs="宋体"/>
          <w:kern w:val="0"/>
          <w:sz w:val="24"/>
          <w:szCs w:val="24"/>
        </w:rPr>
        <w:t>8秘书学专业</w:t>
      </w:r>
      <w:r>
        <w:rPr>
          <w:rFonts w:hint="eastAsia" w:ascii="宋体" w:hAnsi="宋体" w:eastAsia="宋体" w:cs="宋体"/>
          <w:kern w:val="0"/>
          <w:sz w:val="24"/>
          <w:szCs w:val="24"/>
        </w:rPr>
        <w:t>许婉莹、1</w:t>
      </w:r>
      <w:r>
        <w:rPr>
          <w:rFonts w:ascii="宋体" w:hAnsi="宋体" w:eastAsia="宋体" w:cs="宋体"/>
          <w:kern w:val="0"/>
          <w:sz w:val="24"/>
          <w:szCs w:val="24"/>
        </w:rPr>
        <w:t>8</w:t>
      </w:r>
      <w:r>
        <w:rPr>
          <w:rFonts w:hint="eastAsia" w:ascii="宋体" w:hAnsi="宋体" w:eastAsia="宋体" w:cs="宋体"/>
          <w:kern w:val="0"/>
          <w:sz w:val="24"/>
          <w:szCs w:val="24"/>
        </w:rPr>
        <w:t>汉语国际教育学刘雪薇</w:t>
      </w:r>
      <w:r>
        <w:rPr>
          <w:rFonts w:ascii="宋体" w:hAnsi="宋体" w:eastAsia="宋体" w:cs="宋体"/>
          <w:kern w:val="0"/>
          <w:sz w:val="24"/>
          <w:szCs w:val="24"/>
        </w:rPr>
        <w:t>通过了面试，成功入选了西部计划。2023年我院会继续加强宣传</w:t>
      </w:r>
      <w:r>
        <w:rPr>
          <w:rFonts w:hint="eastAsia" w:ascii="宋体" w:hAnsi="宋体" w:eastAsia="宋体" w:cs="宋体"/>
          <w:kern w:val="0"/>
          <w:sz w:val="24"/>
          <w:szCs w:val="24"/>
        </w:rPr>
        <w:t>大学生志愿服务</w:t>
      </w:r>
      <w:r>
        <w:rPr>
          <w:rFonts w:ascii="宋体" w:hAnsi="宋体" w:eastAsia="宋体" w:cs="宋体"/>
          <w:kern w:val="0"/>
          <w:sz w:val="24"/>
          <w:szCs w:val="24"/>
        </w:rPr>
        <w:t>西部计划</w:t>
      </w:r>
      <w:r>
        <w:rPr>
          <w:rFonts w:hint="eastAsia" w:ascii="宋体" w:hAnsi="宋体" w:eastAsia="宋体" w:cs="宋体"/>
          <w:kern w:val="0"/>
          <w:sz w:val="24"/>
          <w:szCs w:val="24"/>
        </w:rPr>
        <w:t>信息</w:t>
      </w:r>
      <w:r>
        <w:rPr>
          <w:rFonts w:ascii="宋体" w:hAnsi="宋体" w:eastAsia="宋体" w:cs="宋体"/>
          <w:kern w:val="0"/>
          <w:sz w:val="24"/>
          <w:szCs w:val="24"/>
        </w:rPr>
        <w:t>。</w:t>
      </w:r>
    </w:p>
    <w:p>
      <w:pPr>
        <w:widowControl/>
        <w:spacing w:before="100" w:after="100" w:line="360" w:lineRule="auto"/>
        <w:ind w:firstLine="480" w:firstLineChars="200"/>
        <w:jc w:val="left"/>
        <w:rPr>
          <w:rFonts w:ascii="宋体" w:hAnsi="宋体" w:eastAsia="宋体" w:cs="宋体"/>
          <w:kern w:val="0"/>
          <w:sz w:val="24"/>
          <w:szCs w:val="24"/>
        </w:rPr>
      </w:pPr>
      <w:r>
        <w:rPr>
          <w:rFonts w:ascii="宋体" w:hAnsi="宋体" w:eastAsia="宋体" w:cs="宋体"/>
          <w:kern w:val="0"/>
          <w:sz w:val="24"/>
          <w:szCs w:val="24"/>
        </w:rPr>
        <w:t>3.选调生计划开展情况</w:t>
      </w:r>
    </w:p>
    <w:p>
      <w:pPr>
        <w:widowControl/>
        <w:spacing w:before="100" w:after="100" w:line="360" w:lineRule="auto"/>
        <w:ind w:firstLine="480" w:firstLineChars="200"/>
        <w:jc w:val="left"/>
        <w:rPr>
          <w:rFonts w:ascii="宋体" w:hAnsi="宋体" w:eastAsia="宋体" w:cs="宋体"/>
          <w:kern w:val="0"/>
          <w:sz w:val="24"/>
          <w:szCs w:val="24"/>
        </w:rPr>
      </w:pPr>
      <w:r>
        <w:rPr>
          <w:rFonts w:hint="eastAsia" w:ascii="宋体" w:hAnsi="宋体" w:eastAsia="宋体" w:cs="宋体"/>
          <w:kern w:val="0"/>
          <w:sz w:val="24"/>
          <w:szCs w:val="24"/>
        </w:rPr>
        <w:t>我院毕业生积极响应安徽省的选调生计划。2022</w:t>
      </w:r>
      <w:r>
        <w:rPr>
          <w:rFonts w:ascii="宋体" w:hAnsi="宋体" w:eastAsia="宋体" w:cs="宋体"/>
          <w:kern w:val="0"/>
          <w:sz w:val="24"/>
          <w:szCs w:val="24"/>
        </w:rPr>
        <w:t>年我院共有</w:t>
      </w:r>
      <w:r>
        <w:rPr>
          <w:rFonts w:hint="eastAsia" w:ascii="宋体" w:hAnsi="宋体" w:eastAsia="宋体" w:cs="宋体"/>
          <w:kern w:val="0"/>
          <w:sz w:val="24"/>
          <w:szCs w:val="24"/>
        </w:rPr>
        <w:t>6</w:t>
      </w:r>
      <w:r>
        <w:rPr>
          <w:rFonts w:ascii="宋体" w:hAnsi="宋体" w:eastAsia="宋体" w:cs="宋体"/>
          <w:kern w:val="0"/>
          <w:sz w:val="24"/>
          <w:szCs w:val="24"/>
        </w:rPr>
        <w:t>名毕业生报考了安徽省的选调生计划，</w:t>
      </w:r>
      <w:r>
        <w:rPr>
          <w:rFonts w:hint="eastAsia" w:ascii="宋体" w:hAnsi="宋体" w:eastAsia="宋体" w:cs="宋体"/>
          <w:kern w:val="0"/>
          <w:sz w:val="24"/>
          <w:szCs w:val="24"/>
        </w:rPr>
        <w:t>1</w:t>
      </w:r>
      <w:r>
        <w:rPr>
          <w:rFonts w:ascii="宋体" w:hAnsi="宋体" w:eastAsia="宋体" w:cs="宋体"/>
          <w:kern w:val="0"/>
          <w:sz w:val="24"/>
          <w:szCs w:val="24"/>
        </w:rPr>
        <w:t>8</w:t>
      </w:r>
      <w:r>
        <w:rPr>
          <w:rFonts w:hint="eastAsia" w:ascii="宋体" w:hAnsi="宋体" w:eastAsia="宋体" w:cs="宋体"/>
          <w:kern w:val="0"/>
          <w:sz w:val="24"/>
          <w:szCs w:val="24"/>
        </w:rPr>
        <w:t>秘书学权通被录取</w:t>
      </w:r>
      <w:r>
        <w:rPr>
          <w:rFonts w:ascii="宋体" w:hAnsi="宋体" w:eastAsia="宋体" w:cs="宋体"/>
          <w:kern w:val="0"/>
          <w:sz w:val="24"/>
          <w:szCs w:val="24"/>
        </w:rPr>
        <w:t>。</w:t>
      </w:r>
    </w:p>
    <w:p>
      <w:pPr>
        <w:widowControl/>
        <w:spacing w:before="100" w:after="100" w:line="360" w:lineRule="auto"/>
        <w:ind w:left="902" w:leftChars="200" w:hanging="482" w:hangingChars="200"/>
        <w:jc w:val="center"/>
        <w:rPr>
          <w:rFonts w:ascii="宋体" w:hAnsi="宋体" w:eastAsia="宋体" w:cs="宋体"/>
          <w:b/>
          <w:bCs/>
          <w:kern w:val="0"/>
          <w:sz w:val="24"/>
          <w:szCs w:val="24"/>
        </w:rPr>
      </w:pPr>
      <w:r>
        <w:rPr>
          <w:rFonts w:hint="eastAsia" w:ascii="宋体" w:hAnsi="宋体" w:eastAsia="宋体" w:cs="宋体"/>
          <w:b/>
          <w:bCs/>
          <w:kern w:val="0"/>
          <w:sz w:val="24"/>
          <w:szCs w:val="24"/>
        </w:rPr>
        <w:t>第八部分：语言文化与传媒学院毕业生创业情况及典型案例</w:t>
      </w:r>
    </w:p>
    <w:p>
      <w:pPr>
        <w:spacing w:line="360" w:lineRule="auto"/>
        <w:ind w:firstLine="480" w:firstLineChars="200"/>
        <w:rPr>
          <w:rFonts w:hint="eastAsia" w:ascii="宋体" w:hAnsi="宋体" w:eastAsia="宋体"/>
          <w:sz w:val="24"/>
          <w:szCs w:val="24"/>
          <w:lang w:eastAsia="zh-CN"/>
        </w:rPr>
      </w:pPr>
      <w:r>
        <w:rPr>
          <w:rFonts w:ascii="宋体" w:hAnsi="宋体" w:eastAsia="宋体"/>
          <w:sz w:val="24"/>
          <w:szCs w:val="24"/>
        </w:rPr>
        <w:t>鼓励高校毕业生创新创业是缓解就业压力的有效途径，也是对国家“大众创业，万众创新”政策的积极呼应。我院近几年在学校相关部门和领导的带动下逐步加大创新创业教育，特别是近几年来，围绕学院的“应用型、地方性、国际化”的办学定位，全面拓展大学生素质，以培养社会主义建设事业优秀人才这个总体目标，逐渐形成了青年学生素质教育体系，有目的、有计划、有组织地对学生进行了创新创业教育，收到了一些明显的效果。日常教学过程中我院主要从以下几个方面着手：</w:t>
      </w:r>
    </w:p>
    <w:p>
      <w:pPr>
        <w:spacing w:line="360" w:lineRule="auto"/>
        <w:ind w:firstLine="480" w:firstLineChars="200"/>
        <w:rPr>
          <w:rFonts w:hint="eastAsia" w:ascii="宋体" w:hAnsi="宋体" w:eastAsia="宋体"/>
          <w:sz w:val="24"/>
          <w:szCs w:val="24"/>
          <w:lang w:eastAsia="zh-CN"/>
        </w:rPr>
      </w:pPr>
      <w:r>
        <w:rPr>
          <w:rFonts w:ascii="宋体" w:hAnsi="宋体" w:eastAsia="宋体"/>
          <w:sz w:val="24"/>
          <w:szCs w:val="24"/>
        </w:rPr>
        <w:t xml:space="preserve">    1.改革和完善课堂教学，通过充满活力的课堂教学，激发大学生的创新能力。我院按照学院的统一部署进行教学改革，不断改变教学指导思想，在教学目标和教学方法上，不断创新，以大学生为中心，注重个性化教学，以学生的个性发展为基点，打破传统的以教师为中心的观念，实施课堂教学中的双向互动，进行以学生为中心平等交流的双向到动式教学，让大学生真正参与到教学之中，激发学生的创新欲和好奇心，发展创新思维，培养创新能力。这个方面比较明显的是，我院唐元</w:t>
      </w:r>
      <w:r>
        <w:rPr>
          <w:rFonts w:hint="eastAsia" w:ascii="宋体" w:hAnsi="宋体" w:eastAsia="宋体"/>
          <w:sz w:val="24"/>
          <w:szCs w:val="24"/>
        </w:rPr>
        <w:t>、李博琦</w:t>
      </w:r>
      <w:r>
        <w:rPr>
          <w:rFonts w:ascii="宋体" w:hAnsi="宋体" w:eastAsia="宋体"/>
          <w:sz w:val="24"/>
          <w:szCs w:val="24"/>
        </w:rPr>
        <w:t>老师近几年带领新闻学专业学生积极参加国家大学生广告艺术设计大赛获得明显成就。学生们通过这样的实践活动大大提高了自己的创新能力。</w:t>
      </w:r>
    </w:p>
    <w:p>
      <w:pPr>
        <w:spacing w:line="360" w:lineRule="auto"/>
        <w:ind w:firstLine="480" w:firstLineChars="200"/>
        <w:rPr>
          <w:rFonts w:hint="eastAsia" w:ascii="宋体" w:hAnsi="宋体" w:eastAsia="宋体"/>
          <w:sz w:val="24"/>
          <w:szCs w:val="24"/>
          <w:lang w:eastAsia="zh-CN"/>
        </w:rPr>
      </w:pPr>
      <w:r>
        <w:rPr>
          <w:rFonts w:ascii="宋体" w:hAnsi="宋体" w:eastAsia="宋体"/>
          <w:sz w:val="24"/>
          <w:szCs w:val="24"/>
        </w:rPr>
        <w:t xml:space="preserve">    2.开展丰富多彩的课外实践，多途径、多形式提高学生实践能力</w:t>
      </w:r>
      <w:r>
        <w:rPr>
          <w:rFonts w:hint="eastAsia" w:ascii="宋体" w:hAnsi="宋体" w:eastAsia="宋体"/>
          <w:sz w:val="24"/>
          <w:szCs w:val="24"/>
        </w:rPr>
        <w:t>。</w:t>
      </w:r>
      <w:r>
        <w:rPr>
          <w:rFonts w:ascii="宋体" w:hAnsi="宋体" w:eastAsia="宋体"/>
          <w:sz w:val="24"/>
          <w:szCs w:val="24"/>
        </w:rPr>
        <w:t>我院积极组织学生参加多样化的课外实践活动，在活动过程中强化学生实际动手能力和实践技能，有利于学生将课本知识和实际问题相结合，许多新思想、新方法、新技术的产生均源于这种实践活动。因此，我们把组织学生参加此类活动看作是培养学生创新意识的最佳切入点和重要途径。进一步完善了鼓励大学生参与学术科技与创新创业活动的政策措施，学生会科技部与科技小组成员一起围绕学生创新精神和实践能力，完善我院网页，积极开展、参与各类科技活动，如微视频大赛等，锻炼了学生的动手能力。</w:t>
      </w:r>
    </w:p>
    <w:p>
      <w:pPr>
        <w:spacing w:line="360" w:lineRule="auto"/>
        <w:ind w:firstLine="480" w:firstLineChars="200"/>
        <w:rPr>
          <w:rFonts w:hint="eastAsia" w:ascii="宋体" w:hAnsi="宋体" w:eastAsia="宋体"/>
          <w:sz w:val="24"/>
          <w:szCs w:val="24"/>
          <w:lang w:eastAsia="zh-CN"/>
        </w:rPr>
      </w:pPr>
      <w:r>
        <w:rPr>
          <w:rFonts w:hint="eastAsia" w:ascii="宋体" w:hAnsi="宋体" w:eastAsia="宋体"/>
          <w:sz w:val="24"/>
          <w:szCs w:val="24"/>
        </w:rPr>
        <w:t xml:space="preserve">    </w:t>
      </w:r>
      <w:r>
        <w:rPr>
          <w:rFonts w:ascii="宋体" w:hAnsi="宋体" w:eastAsia="宋体"/>
          <w:sz w:val="24"/>
          <w:szCs w:val="24"/>
        </w:rPr>
        <w:t>因为专业的限制，我院创新教育的课外实践活动主要是以人文素质培养为主，近几年以开设第二课堂的形式，对培养学生的人文素质做了长期的实践、探索和研究。根据专业不同，设制了不同的实践环节，为了保证课外实践的质量，配备了专职教师担任指导教师，第二课堂的成果越来越明显，有些活动如“大学生广告艺术大赛”，参加活动的学生都达到专业学生人数的四分之一以上。</w:t>
      </w:r>
    </w:p>
    <w:p>
      <w:pPr>
        <w:spacing w:line="360" w:lineRule="auto"/>
        <w:ind w:firstLine="480" w:firstLineChars="200"/>
        <w:rPr>
          <w:rFonts w:hint="eastAsia" w:ascii="宋体" w:hAnsi="宋体" w:eastAsia="宋体"/>
          <w:sz w:val="24"/>
          <w:szCs w:val="24"/>
          <w:lang w:eastAsia="zh-CN"/>
        </w:rPr>
      </w:pPr>
      <w:r>
        <w:rPr>
          <w:rFonts w:ascii="宋体" w:hAnsi="宋体" w:eastAsia="宋体"/>
          <w:sz w:val="24"/>
          <w:szCs w:val="24"/>
        </w:rPr>
        <w:t xml:space="preserve">    3.通过组织参加以“挑战杯”为龙头的各种竞赛，多方位、多层次、多角度引导和帮助青年学生完善知识和能力结构，培养具有创新意识、创造能力和创业精神的优秀人才。“挑战杯”竞赛在院领导和专业老师的重视和支持下，我院加强了对此项方面工作的指导，取得了明显的成效，</w:t>
      </w:r>
      <w:r>
        <w:rPr>
          <w:rFonts w:hint="eastAsia" w:ascii="宋体" w:hAnsi="宋体" w:eastAsia="宋体"/>
          <w:sz w:val="24"/>
          <w:szCs w:val="24"/>
        </w:rPr>
        <w:t>其中在合肥学院第九届“挑战杯”大学生课外学术科技作品竞赛</w:t>
      </w:r>
      <w:r>
        <w:rPr>
          <w:rFonts w:ascii="宋体" w:hAnsi="宋体" w:eastAsia="宋体"/>
          <w:sz w:val="24"/>
          <w:szCs w:val="24"/>
        </w:rPr>
        <w:t>，</w:t>
      </w:r>
      <w:r>
        <w:rPr>
          <w:rFonts w:hint="eastAsia" w:ascii="宋体" w:hAnsi="宋体" w:eastAsia="宋体"/>
          <w:sz w:val="24"/>
          <w:szCs w:val="24"/>
        </w:rPr>
        <w:t>我院获得一等奖2项，二等奖4项，三等奖及优秀奖多项。创新创业计划训练项目入选了国家级项目，</w:t>
      </w:r>
      <w:r>
        <w:rPr>
          <w:rFonts w:ascii="宋体" w:hAnsi="宋体" w:eastAsia="宋体"/>
          <w:sz w:val="24"/>
          <w:szCs w:val="24"/>
        </w:rPr>
        <w:t>同学们对创新创意的热情变得高涨了，为下一步的创新教育工作打下了基础。</w:t>
      </w:r>
    </w:p>
    <w:p>
      <w:pPr>
        <w:spacing w:line="360" w:lineRule="auto"/>
        <w:ind w:firstLine="480" w:firstLineChars="200"/>
        <w:rPr>
          <w:rFonts w:hint="eastAsia" w:ascii="宋体" w:hAnsi="宋体" w:eastAsia="宋体"/>
          <w:sz w:val="24"/>
          <w:szCs w:val="24"/>
          <w:lang w:eastAsia="zh-CN"/>
        </w:rPr>
      </w:pPr>
      <w:r>
        <w:rPr>
          <w:rFonts w:hint="eastAsia" w:ascii="宋体" w:hAnsi="宋体" w:eastAsia="宋体"/>
          <w:sz w:val="24"/>
          <w:szCs w:val="24"/>
        </w:rPr>
        <w:t xml:space="preserve">    </w:t>
      </w:r>
      <w:r>
        <w:rPr>
          <w:rFonts w:ascii="宋体" w:hAnsi="宋体" w:eastAsia="宋体"/>
          <w:sz w:val="24"/>
          <w:szCs w:val="24"/>
        </w:rPr>
        <w:t>为了做好</w:t>
      </w:r>
      <w:r>
        <w:rPr>
          <w:rFonts w:hint="eastAsia" w:ascii="宋体" w:hAnsi="宋体" w:eastAsia="宋体"/>
          <w:sz w:val="24"/>
          <w:szCs w:val="24"/>
        </w:rPr>
        <w:t>2022</w:t>
      </w:r>
      <w:r>
        <w:rPr>
          <w:rFonts w:ascii="宋体" w:hAnsi="宋体" w:eastAsia="宋体"/>
          <w:sz w:val="24"/>
          <w:szCs w:val="24"/>
        </w:rPr>
        <w:t>届毕业生的创新创业指导工作，我院特地在20</w:t>
      </w:r>
      <w:r>
        <w:rPr>
          <w:rFonts w:hint="eastAsia" w:ascii="宋体" w:hAnsi="宋体" w:eastAsia="宋体"/>
          <w:sz w:val="24"/>
          <w:szCs w:val="24"/>
        </w:rPr>
        <w:t>20</w:t>
      </w:r>
      <w:r>
        <w:rPr>
          <w:rFonts w:ascii="宋体" w:hAnsi="宋体" w:eastAsia="宋体"/>
          <w:sz w:val="24"/>
          <w:szCs w:val="24"/>
        </w:rPr>
        <w:t>-</w:t>
      </w:r>
      <w:r>
        <w:rPr>
          <w:rFonts w:hint="eastAsia" w:ascii="宋体" w:hAnsi="宋体" w:eastAsia="宋体"/>
          <w:sz w:val="24"/>
          <w:szCs w:val="24"/>
        </w:rPr>
        <w:t>2022</w:t>
      </w:r>
      <w:r>
        <w:rPr>
          <w:rFonts w:ascii="宋体" w:hAnsi="宋体" w:eastAsia="宋体"/>
          <w:sz w:val="24"/>
          <w:szCs w:val="24"/>
        </w:rPr>
        <w:t>年期间做了以下工作：</w:t>
      </w:r>
    </w:p>
    <w:p>
      <w:pPr>
        <w:spacing w:line="360" w:lineRule="auto"/>
        <w:ind w:firstLine="480" w:firstLineChars="200"/>
        <w:rPr>
          <w:rFonts w:hint="eastAsia" w:ascii="宋体" w:hAnsi="宋体" w:eastAsia="宋体"/>
          <w:sz w:val="24"/>
          <w:szCs w:val="24"/>
          <w:lang w:eastAsia="zh-CN"/>
        </w:rPr>
      </w:pPr>
      <w:r>
        <w:rPr>
          <w:rFonts w:ascii="宋体" w:hAnsi="宋体" w:eastAsia="宋体"/>
          <w:sz w:val="24"/>
          <w:szCs w:val="24"/>
        </w:rPr>
        <w:t xml:space="preserve">    1.及时通过就业指导课程、宣传栏、微信公众平台等形式进行创业相关政策及创业流程的解读与宣传，激发我院毕业生的创业激情与意识。</w:t>
      </w:r>
    </w:p>
    <w:p>
      <w:pPr>
        <w:spacing w:line="360" w:lineRule="auto"/>
        <w:ind w:firstLine="480" w:firstLineChars="200"/>
        <w:rPr>
          <w:rFonts w:hint="eastAsia" w:ascii="宋体" w:hAnsi="宋体" w:eastAsia="宋体"/>
          <w:sz w:val="24"/>
          <w:szCs w:val="24"/>
          <w:lang w:eastAsia="zh-CN"/>
        </w:rPr>
      </w:pPr>
      <w:r>
        <w:rPr>
          <w:rFonts w:ascii="宋体" w:hAnsi="宋体" w:eastAsia="宋体"/>
          <w:sz w:val="24"/>
          <w:szCs w:val="24"/>
        </w:rPr>
        <w:t xml:space="preserve">    2.积极邀请往届优秀创业成功毕业生例如</w:t>
      </w:r>
      <w:r>
        <w:rPr>
          <w:rFonts w:hint="eastAsia" w:ascii="宋体" w:hAnsi="宋体" w:eastAsia="宋体"/>
          <w:sz w:val="24"/>
          <w:szCs w:val="24"/>
        </w:rPr>
        <w:t>袁彬、蒋梦阳</w:t>
      </w:r>
      <w:r>
        <w:rPr>
          <w:rFonts w:ascii="宋体" w:hAnsi="宋体" w:eastAsia="宋体"/>
          <w:sz w:val="24"/>
          <w:szCs w:val="24"/>
        </w:rPr>
        <w:t>等回我院做新老生交流会，教授毕业生创业的经验与技巧。</w:t>
      </w:r>
    </w:p>
    <w:p>
      <w:pPr>
        <w:spacing w:line="360" w:lineRule="auto"/>
        <w:ind w:firstLine="480" w:firstLineChars="200"/>
        <w:rPr>
          <w:rFonts w:hint="eastAsia" w:ascii="宋体" w:hAnsi="宋体" w:eastAsia="宋体"/>
          <w:sz w:val="24"/>
          <w:szCs w:val="24"/>
          <w:lang w:eastAsia="zh-CN"/>
        </w:rPr>
      </w:pPr>
      <w:r>
        <w:rPr>
          <w:rFonts w:ascii="宋体" w:hAnsi="宋体" w:eastAsia="宋体"/>
          <w:sz w:val="24"/>
          <w:szCs w:val="24"/>
        </w:rPr>
        <w:t xml:space="preserve">    3.对有创业想法但是无法落到实处的毕业生指定各专业指导老师。指导老师以专业为导向，以具体工作为出发点，优先让学生自主参加与自己专业相关的工作，积累经验，最后再鼓励学生以自己的专业为出发点来创业。就现阶段的情况来看，适合我院学生创业的例如广告策划公司、教育培训机构、微信公众号、学习类APP研发等等在市场上都较为火热。很多文传学院毕业生对此都较为感兴趣。</w:t>
      </w:r>
    </w:p>
    <w:p>
      <w:pPr>
        <w:spacing w:line="360" w:lineRule="auto"/>
        <w:ind w:firstLine="480" w:firstLineChars="200"/>
        <w:rPr>
          <w:rFonts w:ascii="宋体" w:hAnsi="宋体" w:eastAsia="宋体" w:cs="宋体"/>
          <w:sz w:val="24"/>
          <w:szCs w:val="24"/>
          <w:shd w:val="clear" w:color="auto" w:fill="FFFFFF"/>
        </w:rPr>
      </w:pPr>
      <w:r>
        <w:rPr>
          <w:rFonts w:ascii="宋体" w:hAnsi="宋体" w:eastAsia="宋体"/>
          <w:sz w:val="24"/>
          <w:szCs w:val="24"/>
        </w:rPr>
        <w:t xml:space="preserve">    </w:t>
      </w:r>
      <w:r>
        <w:rPr>
          <w:rFonts w:hint="eastAsia" w:ascii="宋体" w:hAnsi="宋体" w:eastAsia="宋体"/>
          <w:sz w:val="24"/>
          <w:szCs w:val="24"/>
        </w:rPr>
        <w:t>2022</w:t>
      </w:r>
      <w:r>
        <w:rPr>
          <w:rFonts w:ascii="宋体" w:hAnsi="宋体" w:eastAsia="宋体"/>
          <w:sz w:val="24"/>
          <w:szCs w:val="24"/>
        </w:rPr>
        <w:t>年就业工作已经告一段落，反思一下我院毕业生的创新创业教育还有很多不足的地方，主要表现在创业创业指导意识不足、创业指导老师的缺乏、创新创业指导制度不完善等等。这都需要系部和学校共同努力，不断加强意识，加大资金投入力度，加强人员培训力度才可以解决。 </w:t>
      </w:r>
    </w:p>
    <w:p>
      <w:pPr>
        <w:spacing w:line="360" w:lineRule="auto"/>
        <w:rPr>
          <w:rFonts w:ascii="宋体" w:hAnsi="宋体" w:eastAsia="宋体" w:cs="宋体"/>
          <w:sz w:val="24"/>
          <w:szCs w:val="24"/>
          <w:shd w:val="clear" w:color="auto" w:fill="FFFFFF"/>
        </w:rPr>
      </w:pPr>
    </w:p>
    <w:p>
      <w:pPr>
        <w:spacing w:line="360" w:lineRule="auto"/>
        <w:rPr>
          <w:rFonts w:hint="eastAsia" w:ascii="宋体" w:hAnsi="宋体" w:eastAsia="宋体" w:cs="宋体"/>
          <w:sz w:val="24"/>
          <w:szCs w:val="24"/>
          <w:shd w:val="clear" w:color="auto" w:fill="FFFFFF"/>
        </w:rPr>
      </w:pPr>
    </w:p>
    <w:p>
      <w:pPr>
        <w:spacing w:line="360" w:lineRule="auto"/>
        <w:ind w:firstLine="480" w:firstLineChars="200"/>
        <w:rPr>
          <w:rFonts w:ascii="宋体" w:hAnsi="宋体" w:eastAsia="宋体" w:cs="宋体"/>
          <w:sz w:val="24"/>
          <w:szCs w:val="24"/>
          <w:shd w:val="clear" w:color="auto" w:fill="FFFFFF"/>
        </w:rPr>
      </w:pPr>
      <w:r>
        <w:rPr>
          <w:rFonts w:hint="eastAsia" w:ascii="宋体" w:hAnsi="宋体" w:eastAsia="宋体" w:cs="宋体"/>
          <w:sz w:val="24"/>
          <w:szCs w:val="24"/>
          <w:shd w:val="clear" w:color="auto" w:fill="FFFFFF"/>
        </w:rPr>
        <w:t xml:space="preserve">                                             语言文化与传媒学院</w:t>
      </w:r>
    </w:p>
    <w:p>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shd w:val="clear" w:color="auto" w:fill="FFFFFF"/>
        </w:rPr>
        <w:t xml:space="preserve">                                               2022年1</w:t>
      </w:r>
      <w:r>
        <w:rPr>
          <w:rFonts w:ascii="宋体" w:hAnsi="宋体" w:eastAsia="宋体" w:cs="宋体"/>
          <w:sz w:val="24"/>
          <w:szCs w:val="24"/>
          <w:shd w:val="clear" w:color="auto" w:fill="FFFFFF"/>
        </w:rPr>
        <w:t>2</w:t>
      </w:r>
      <w:r>
        <w:rPr>
          <w:rFonts w:hint="eastAsia" w:ascii="宋体" w:hAnsi="宋体" w:eastAsia="宋体" w:cs="宋体"/>
          <w:sz w:val="24"/>
          <w:szCs w:val="24"/>
          <w:shd w:val="clear" w:color="auto" w:fill="FFFFFF"/>
        </w:rPr>
        <w:t>月</w:t>
      </w:r>
      <w:r>
        <w:rPr>
          <w:rFonts w:ascii="宋体" w:hAnsi="宋体" w:eastAsia="宋体" w:cs="宋体"/>
          <w:sz w:val="24"/>
          <w:szCs w:val="24"/>
          <w:shd w:val="clear" w:color="auto" w:fill="FFFFFF"/>
        </w:rPr>
        <w:t>18</w:t>
      </w:r>
      <w:r>
        <w:rPr>
          <w:rFonts w:hint="eastAsia" w:ascii="宋体" w:hAnsi="宋体" w:eastAsia="宋体" w:cs="宋体"/>
          <w:sz w:val="24"/>
          <w:szCs w:val="24"/>
          <w:shd w:val="clear" w:color="auto" w:fill="FFFFFF"/>
        </w:rPr>
        <w:t>日</w:t>
      </w:r>
    </w:p>
    <w:p>
      <w:pPr>
        <w:spacing w:line="360" w:lineRule="auto"/>
        <w:ind w:firstLine="643" w:firstLineChars="200"/>
        <w:jc w:val="center"/>
        <w:rPr>
          <w:rFonts w:hint="eastAsia" w:ascii="宋体" w:hAnsi="宋体"/>
          <w:b/>
          <w:sz w:val="32"/>
          <w:szCs w:val="32"/>
        </w:rPr>
      </w:pPr>
    </w:p>
    <w:p>
      <w:pPr>
        <w:spacing w:line="360" w:lineRule="auto"/>
        <w:ind w:firstLine="643" w:firstLineChars="200"/>
        <w:jc w:val="center"/>
        <w:rPr>
          <w:rFonts w:hint="eastAsia" w:ascii="宋体" w:hAnsi="宋体"/>
          <w:b/>
          <w:sz w:val="32"/>
          <w:szCs w:val="32"/>
        </w:rPr>
      </w:pPr>
    </w:p>
    <w:p>
      <w:pPr>
        <w:spacing w:line="360" w:lineRule="auto"/>
        <w:ind w:firstLine="643" w:firstLineChars="200"/>
        <w:jc w:val="center"/>
        <w:rPr>
          <w:rFonts w:hint="eastAsia" w:ascii="宋体" w:hAnsi="宋体"/>
          <w:b/>
          <w:sz w:val="32"/>
          <w:szCs w:val="32"/>
        </w:rPr>
      </w:pPr>
    </w:p>
    <w:p>
      <w:pPr>
        <w:spacing w:line="360" w:lineRule="auto"/>
        <w:ind w:firstLine="643" w:firstLineChars="200"/>
        <w:jc w:val="center"/>
        <w:rPr>
          <w:rFonts w:hint="eastAsia" w:ascii="宋体" w:hAnsi="宋体"/>
          <w:b/>
          <w:sz w:val="32"/>
          <w:szCs w:val="32"/>
        </w:rPr>
      </w:pPr>
    </w:p>
    <w:p>
      <w:pPr>
        <w:spacing w:line="360" w:lineRule="auto"/>
        <w:ind w:firstLine="643" w:firstLineChars="200"/>
        <w:jc w:val="center"/>
        <w:rPr>
          <w:rFonts w:hint="eastAsia" w:ascii="宋体" w:hAnsi="宋体"/>
          <w:b/>
          <w:sz w:val="32"/>
          <w:szCs w:val="32"/>
        </w:rPr>
      </w:pPr>
    </w:p>
    <w:p>
      <w:pPr>
        <w:spacing w:line="360" w:lineRule="auto"/>
        <w:ind w:firstLine="643" w:firstLineChars="200"/>
        <w:jc w:val="center"/>
        <w:rPr>
          <w:rFonts w:hint="eastAsia" w:ascii="宋体" w:hAnsi="宋体"/>
          <w:b/>
          <w:sz w:val="32"/>
          <w:szCs w:val="32"/>
        </w:rPr>
      </w:pPr>
    </w:p>
    <w:p>
      <w:pPr>
        <w:spacing w:line="360" w:lineRule="auto"/>
        <w:ind w:firstLine="643" w:firstLineChars="200"/>
        <w:jc w:val="center"/>
        <w:rPr>
          <w:rFonts w:hint="eastAsia" w:ascii="宋体" w:hAnsi="宋体"/>
          <w:b/>
          <w:sz w:val="32"/>
          <w:szCs w:val="32"/>
        </w:rPr>
      </w:pPr>
    </w:p>
    <w:p>
      <w:pPr>
        <w:spacing w:line="360" w:lineRule="auto"/>
        <w:ind w:firstLine="643" w:firstLineChars="200"/>
        <w:jc w:val="center"/>
        <w:rPr>
          <w:rFonts w:hint="eastAsia" w:ascii="宋体" w:hAnsi="宋体"/>
          <w:b/>
          <w:sz w:val="32"/>
          <w:szCs w:val="32"/>
        </w:rPr>
      </w:pPr>
    </w:p>
    <w:p>
      <w:pPr>
        <w:spacing w:line="360" w:lineRule="auto"/>
        <w:ind w:firstLine="643" w:firstLineChars="200"/>
        <w:jc w:val="center"/>
        <w:rPr>
          <w:rFonts w:hint="eastAsia" w:ascii="宋体" w:hAnsi="宋体"/>
          <w:b/>
          <w:sz w:val="32"/>
          <w:szCs w:val="32"/>
        </w:rPr>
      </w:pPr>
    </w:p>
    <w:p>
      <w:pPr>
        <w:pStyle w:val="2"/>
        <w:rPr>
          <w:rFonts w:hint="eastAsia"/>
        </w:rPr>
      </w:pPr>
    </w:p>
    <w:p>
      <w:pPr>
        <w:spacing w:line="360" w:lineRule="auto"/>
        <w:jc w:val="center"/>
        <w:rPr>
          <w:rFonts w:ascii="宋体" w:hAnsi="宋体"/>
          <w:color w:val="000000"/>
          <w:kern w:val="0"/>
          <w:sz w:val="28"/>
        </w:rPr>
      </w:pPr>
      <w:r>
        <w:rPr>
          <w:rFonts w:hint="eastAsia" w:ascii="宋体" w:hAnsi="宋体"/>
          <w:b/>
          <w:sz w:val="32"/>
          <w:szCs w:val="32"/>
        </w:rPr>
        <w:t>合肥学院教育学院202</w:t>
      </w:r>
      <w:r>
        <w:rPr>
          <w:rFonts w:ascii="宋体" w:hAnsi="宋体"/>
          <w:b/>
          <w:sz w:val="32"/>
          <w:szCs w:val="32"/>
        </w:rPr>
        <w:t>2</w:t>
      </w:r>
      <w:r>
        <w:rPr>
          <w:rFonts w:hint="eastAsia" w:ascii="宋体" w:hAnsi="宋体"/>
          <w:b/>
          <w:sz w:val="32"/>
          <w:szCs w:val="32"/>
        </w:rPr>
        <w:t>年就业评估自查报告</w:t>
      </w:r>
    </w:p>
    <w:p>
      <w:pPr>
        <w:widowControl/>
        <w:spacing w:line="360" w:lineRule="auto"/>
        <w:ind w:firstLine="480" w:firstLineChars="200"/>
        <w:rPr>
          <w:rFonts w:ascii="宋体" w:hAnsi="宋体"/>
          <w:b/>
          <w:sz w:val="24"/>
          <w:szCs w:val="24"/>
        </w:rPr>
      </w:pPr>
      <w:r>
        <w:rPr>
          <w:rFonts w:ascii="宋体" w:hAnsi="宋体"/>
          <w:sz w:val="24"/>
          <w:szCs w:val="24"/>
        </w:rPr>
        <w:t>20</w:t>
      </w:r>
      <w:r>
        <w:rPr>
          <w:rFonts w:hint="eastAsia" w:ascii="宋体" w:hAnsi="宋体"/>
          <w:sz w:val="24"/>
          <w:szCs w:val="24"/>
        </w:rPr>
        <w:t>2</w:t>
      </w:r>
      <w:r>
        <w:rPr>
          <w:rFonts w:ascii="宋体" w:hAnsi="宋体"/>
          <w:sz w:val="24"/>
          <w:szCs w:val="24"/>
        </w:rPr>
        <w:t>2年，我</w:t>
      </w:r>
      <w:r>
        <w:rPr>
          <w:rFonts w:hint="eastAsia" w:ascii="宋体" w:hAnsi="宋体"/>
          <w:sz w:val="24"/>
          <w:szCs w:val="24"/>
        </w:rPr>
        <w:t>院</w:t>
      </w:r>
      <w:r>
        <w:rPr>
          <w:rFonts w:ascii="宋体" w:hAnsi="宋体"/>
          <w:sz w:val="24"/>
          <w:szCs w:val="24"/>
        </w:rPr>
        <w:t>毕业生就业工作在学校领导的关心和校就业指导中心的具体指导和帮助下，</w:t>
      </w:r>
      <w:r>
        <w:rPr>
          <w:rFonts w:hint="eastAsia" w:ascii="宋体" w:hAnsi="宋体"/>
          <w:sz w:val="24"/>
          <w:szCs w:val="24"/>
        </w:rPr>
        <w:t>院</w:t>
      </w:r>
      <w:r>
        <w:rPr>
          <w:rFonts w:ascii="宋体" w:hAnsi="宋体"/>
          <w:sz w:val="24"/>
          <w:szCs w:val="24"/>
        </w:rPr>
        <w:t>就业工作领导小组多次召开就业工作会议，围绕提高毕业生就业率和就业质量的目标，采取了有效措施，开展了细致深入的工作，取得了较好的成绩。现将有关情况总结如下：</w:t>
      </w:r>
    </w:p>
    <w:p>
      <w:pPr>
        <w:spacing w:line="360" w:lineRule="auto"/>
        <w:jc w:val="center"/>
        <w:rPr>
          <w:rFonts w:ascii="宋体" w:hAnsi="宋体"/>
          <w:b/>
          <w:sz w:val="24"/>
          <w:szCs w:val="24"/>
        </w:rPr>
      </w:pPr>
      <w:r>
        <w:rPr>
          <w:rFonts w:hint="eastAsia" w:ascii="宋体" w:hAnsi="宋体"/>
          <w:b/>
          <w:sz w:val="24"/>
          <w:szCs w:val="24"/>
        </w:rPr>
        <w:t>第一部分  教育学院各专业就业基本情况</w:t>
      </w:r>
    </w:p>
    <w:p>
      <w:pPr>
        <w:spacing w:line="360" w:lineRule="auto"/>
        <w:ind w:firstLine="480" w:firstLineChars="200"/>
        <w:rPr>
          <w:rFonts w:ascii="宋体" w:hAnsi="宋体"/>
          <w:color w:val="000000"/>
          <w:kern w:val="0"/>
          <w:sz w:val="24"/>
          <w:szCs w:val="24"/>
        </w:rPr>
      </w:pPr>
      <w:r>
        <w:rPr>
          <w:rFonts w:hint="eastAsia" w:ascii="宋体" w:hAnsi="宋体"/>
          <w:color w:val="000000"/>
          <w:kern w:val="0"/>
          <w:sz w:val="24"/>
          <w:szCs w:val="24"/>
        </w:rPr>
        <w:t xml:space="preserve"> 教育学院202</w:t>
      </w:r>
      <w:r>
        <w:rPr>
          <w:rFonts w:ascii="宋体" w:hAnsi="宋体"/>
          <w:color w:val="000000"/>
          <w:kern w:val="0"/>
          <w:sz w:val="24"/>
          <w:szCs w:val="24"/>
        </w:rPr>
        <w:t>2</w:t>
      </w:r>
      <w:r>
        <w:rPr>
          <w:rFonts w:hint="eastAsia" w:ascii="宋体" w:hAnsi="宋体"/>
          <w:color w:val="000000"/>
          <w:kern w:val="0"/>
          <w:sz w:val="24"/>
          <w:szCs w:val="24"/>
        </w:rPr>
        <w:t>届毕业生共有</w:t>
      </w:r>
      <w:r>
        <w:rPr>
          <w:rFonts w:ascii="宋体" w:hAnsi="宋体"/>
          <w:color w:val="000000"/>
          <w:kern w:val="0"/>
          <w:sz w:val="24"/>
          <w:szCs w:val="24"/>
        </w:rPr>
        <w:t>20</w:t>
      </w:r>
      <w:r>
        <w:rPr>
          <w:rFonts w:hint="eastAsia" w:ascii="宋体" w:hAnsi="宋体"/>
          <w:color w:val="000000"/>
          <w:kern w:val="0"/>
          <w:sz w:val="24"/>
          <w:szCs w:val="24"/>
        </w:rPr>
        <w:t>5人，截止1</w:t>
      </w:r>
      <w:r>
        <w:rPr>
          <w:rFonts w:ascii="宋体" w:hAnsi="宋体"/>
          <w:color w:val="000000"/>
          <w:kern w:val="0"/>
          <w:sz w:val="24"/>
          <w:szCs w:val="24"/>
        </w:rPr>
        <w:t>2</w:t>
      </w:r>
      <w:r>
        <w:rPr>
          <w:rFonts w:hint="eastAsia" w:ascii="宋体" w:hAnsi="宋体"/>
          <w:color w:val="000000"/>
          <w:kern w:val="0"/>
          <w:sz w:val="24"/>
          <w:szCs w:val="24"/>
        </w:rPr>
        <w:t>月1</w:t>
      </w:r>
      <w:r>
        <w:rPr>
          <w:rFonts w:ascii="宋体" w:hAnsi="宋体"/>
          <w:color w:val="000000"/>
          <w:kern w:val="0"/>
          <w:sz w:val="24"/>
          <w:szCs w:val="24"/>
        </w:rPr>
        <w:t>0</w:t>
      </w:r>
      <w:r>
        <w:rPr>
          <w:rFonts w:hint="eastAsia" w:ascii="宋体" w:hAnsi="宋体"/>
          <w:color w:val="000000"/>
          <w:kern w:val="0"/>
          <w:sz w:val="24"/>
          <w:szCs w:val="24"/>
        </w:rPr>
        <w:t>日，我院学生的就业总数达</w:t>
      </w:r>
      <w:r>
        <w:rPr>
          <w:rFonts w:ascii="宋体" w:hAnsi="宋体"/>
          <w:color w:val="000000"/>
          <w:kern w:val="0"/>
          <w:sz w:val="24"/>
          <w:szCs w:val="24"/>
        </w:rPr>
        <w:t>198</w:t>
      </w:r>
      <w:r>
        <w:rPr>
          <w:rFonts w:hint="eastAsia" w:ascii="宋体" w:hAnsi="宋体"/>
          <w:color w:val="000000"/>
          <w:kern w:val="0"/>
          <w:sz w:val="24"/>
          <w:szCs w:val="24"/>
        </w:rPr>
        <w:t>人，就业率为9</w:t>
      </w:r>
      <w:r>
        <w:rPr>
          <w:rFonts w:ascii="宋体" w:hAnsi="宋体"/>
          <w:color w:val="000000"/>
          <w:kern w:val="0"/>
          <w:sz w:val="24"/>
          <w:szCs w:val="24"/>
        </w:rPr>
        <w:t>6</w:t>
      </w:r>
      <w:r>
        <w:rPr>
          <w:rFonts w:hint="eastAsia" w:ascii="宋体" w:hAnsi="宋体"/>
          <w:color w:val="000000"/>
          <w:kern w:val="0"/>
          <w:sz w:val="24"/>
          <w:szCs w:val="24"/>
        </w:rPr>
        <w:t>.</w:t>
      </w:r>
      <w:r>
        <w:rPr>
          <w:rFonts w:ascii="宋体" w:hAnsi="宋体"/>
          <w:color w:val="000000"/>
          <w:kern w:val="0"/>
          <w:sz w:val="24"/>
          <w:szCs w:val="24"/>
        </w:rPr>
        <w:t>59</w:t>
      </w:r>
      <w:r>
        <w:rPr>
          <w:rFonts w:hint="eastAsia" w:ascii="宋体" w:hAnsi="宋体"/>
          <w:color w:val="000000"/>
          <w:kern w:val="0"/>
          <w:sz w:val="24"/>
          <w:szCs w:val="24"/>
        </w:rPr>
        <w:t>%，小学教育专业就业率为9</w:t>
      </w:r>
      <w:r>
        <w:rPr>
          <w:rFonts w:ascii="宋体" w:hAnsi="宋体"/>
          <w:color w:val="000000"/>
          <w:kern w:val="0"/>
          <w:sz w:val="24"/>
          <w:szCs w:val="24"/>
        </w:rPr>
        <w:t>3</w:t>
      </w:r>
      <w:r>
        <w:rPr>
          <w:rFonts w:hint="eastAsia" w:ascii="宋体" w:hAnsi="宋体"/>
          <w:color w:val="000000"/>
          <w:kern w:val="0"/>
          <w:sz w:val="24"/>
          <w:szCs w:val="24"/>
        </w:rPr>
        <w:t>.</w:t>
      </w:r>
      <w:r>
        <w:rPr>
          <w:rFonts w:ascii="宋体" w:hAnsi="宋体"/>
          <w:color w:val="000000"/>
          <w:kern w:val="0"/>
          <w:sz w:val="24"/>
          <w:szCs w:val="24"/>
        </w:rPr>
        <w:t>98</w:t>
      </w:r>
      <w:r>
        <w:rPr>
          <w:rFonts w:hint="eastAsia" w:ascii="宋体" w:hAnsi="宋体"/>
          <w:color w:val="000000"/>
          <w:kern w:val="0"/>
          <w:sz w:val="24"/>
          <w:szCs w:val="24"/>
        </w:rPr>
        <w:t>%，学前教育（对口）专业就业率为</w:t>
      </w:r>
      <w:r>
        <w:rPr>
          <w:rFonts w:ascii="宋体" w:hAnsi="宋体"/>
          <w:color w:val="000000"/>
          <w:kern w:val="0"/>
          <w:sz w:val="24"/>
          <w:szCs w:val="24"/>
        </w:rPr>
        <w:t>100</w:t>
      </w:r>
      <w:r>
        <w:rPr>
          <w:rFonts w:hint="eastAsia" w:ascii="宋体" w:hAnsi="宋体"/>
          <w:color w:val="000000"/>
          <w:kern w:val="0"/>
          <w:sz w:val="24"/>
          <w:szCs w:val="24"/>
        </w:rPr>
        <w:t>%，应用心理专业就业率为9</w:t>
      </w:r>
      <w:r>
        <w:rPr>
          <w:rFonts w:ascii="宋体" w:hAnsi="宋体"/>
          <w:color w:val="000000"/>
          <w:kern w:val="0"/>
          <w:sz w:val="24"/>
          <w:szCs w:val="24"/>
        </w:rPr>
        <w:t>7</w:t>
      </w:r>
      <w:r>
        <w:rPr>
          <w:rFonts w:hint="eastAsia" w:ascii="宋体" w:hAnsi="宋体"/>
          <w:color w:val="000000"/>
          <w:kern w:val="0"/>
          <w:sz w:val="24"/>
          <w:szCs w:val="24"/>
        </w:rPr>
        <w:t>.</w:t>
      </w:r>
      <w:r>
        <w:rPr>
          <w:rFonts w:ascii="宋体" w:hAnsi="宋体"/>
          <w:color w:val="000000"/>
          <w:kern w:val="0"/>
          <w:sz w:val="24"/>
          <w:szCs w:val="24"/>
        </w:rPr>
        <w:t>2</w:t>
      </w:r>
      <w:r>
        <w:rPr>
          <w:rFonts w:hint="eastAsia" w:ascii="宋体" w:hAnsi="宋体"/>
          <w:color w:val="000000"/>
          <w:kern w:val="0"/>
          <w:sz w:val="24"/>
          <w:szCs w:val="24"/>
        </w:rPr>
        <w:t>2%，学前教育（专升本）专业就业率为9</w:t>
      </w:r>
      <w:r>
        <w:rPr>
          <w:rFonts w:ascii="宋体" w:hAnsi="宋体"/>
          <w:color w:val="000000"/>
          <w:kern w:val="0"/>
          <w:sz w:val="24"/>
          <w:szCs w:val="24"/>
        </w:rPr>
        <w:t>8</w:t>
      </w:r>
      <w:r>
        <w:rPr>
          <w:rFonts w:hint="eastAsia" w:ascii="宋体" w:hAnsi="宋体"/>
          <w:color w:val="000000"/>
          <w:kern w:val="0"/>
          <w:sz w:val="24"/>
          <w:szCs w:val="24"/>
        </w:rPr>
        <w:t>%。</w:t>
      </w:r>
    </w:p>
    <w:p>
      <w:pPr>
        <w:spacing w:line="360" w:lineRule="auto"/>
        <w:jc w:val="center"/>
        <w:rPr>
          <w:rFonts w:ascii="宋体" w:hAnsi="宋体"/>
          <w:b/>
          <w:color w:val="000000"/>
          <w:kern w:val="0"/>
          <w:szCs w:val="21"/>
        </w:rPr>
      </w:pPr>
      <w:r>
        <w:rPr>
          <w:rFonts w:hint="eastAsia" w:ascii="宋体" w:hAnsi="宋体"/>
          <w:b/>
          <w:color w:val="000000"/>
          <w:kern w:val="0"/>
          <w:szCs w:val="21"/>
        </w:rPr>
        <w:t>表1：教育学院2</w:t>
      </w:r>
      <w:r>
        <w:rPr>
          <w:rFonts w:ascii="宋体" w:hAnsi="宋体"/>
          <w:b/>
          <w:color w:val="000000"/>
          <w:kern w:val="0"/>
          <w:szCs w:val="21"/>
        </w:rPr>
        <w:t>022</w:t>
      </w:r>
      <w:r>
        <w:rPr>
          <w:rFonts w:hint="eastAsia" w:ascii="宋体" w:hAnsi="宋体"/>
          <w:b/>
          <w:color w:val="000000"/>
          <w:kern w:val="0"/>
          <w:szCs w:val="21"/>
        </w:rPr>
        <w:t>届毕业生情况统计表</w:t>
      </w:r>
    </w:p>
    <w:tbl>
      <w:tblPr>
        <w:tblStyle w:val="14"/>
        <w:tblW w:w="82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22"/>
        <w:gridCol w:w="1316"/>
        <w:gridCol w:w="956"/>
        <w:gridCol w:w="1984"/>
        <w:gridCol w:w="1097"/>
        <w:gridCol w:w="14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9" w:hRule="atLeast"/>
        </w:trPr>
        <w:tc>
          <w:tcPr>
            <w:tcW w:w="1522" w:type="dxa"/>
            <w:vAlign w:val="center"/>
          </w:tcPr>
          <w:p>
            <w:pPr>
              <w:spacing w:line="360" w:lineRule="auto"/>
              <w:jc w:val="center"/>
              <w:rPr>
                <w:rFonts w:ascii="宋体" w:hAnsi="宋体"/>
                <w:b/>
                <w:color w:val="000000"/>
                <w:kern w:val="0"/>
                <w:sz w:val="24"/>
                <w:szCs w:val="24"/>
              </w:rPr>
            </w:pPr>
            <w:r>
              <w:rPr>
                <w:rFonts w:hint="eastAsia" w:ascii="宋体" w:hAnsi="宋体"/>
                <w:b/>
                <w:color w:val="000000"/>
                <w:kern w:val="0"/>
                <w:sz w:val="24"/>
                <w:szCs w:val="24"/>
              </w:rPr>
              <w:t>专业</w:t>
            </w:r>
          </w:p>
        </w:tc>
        <w:tc>
          <w:tcPr>
            <w:tcW w:w="1316" w:type="dxa"/>
            <w:vAlign w:val="center"/>
          </w:tcPr>
          <w:p>
            <w:pPr>
              <w:spacing w:line="360" w:lineRule="auto"/>
              <w:jc w:val="center"/>
              <w:rPr>
                <w:rFonts w:ascii="宋体" w:hAnsi="宋体"/>
                <w:b/>
                <w:color w:val="000000"/>
                <w:kern w:val="0"/>
                <w:sz w:val="24"/>
                <w:szCs w:val="24"/>
              </w:rPr>
            </w:pPr>
            <w:r>
              <w:rPr>
                <w:rFonts w:hint="eastAsia" w:ascii="宋体" w:hAnsi="宋体"/>
                <w:b/>
                <w:color w:val="000000"/>
                <w:kern w:val="0"/>
                <w:sz w:val="24"/>
                <w:szCs w:val="24"/>
              </w:rPr>
              <w:t>毕业人数</w:t>
            </w:r>
          </w:p>
        </w:tc>
        <w:tc>
          <w:tcPr>
            <w:tcW w:w="956" w:type="dxa"/>
            <w:vAlign w:val="center"/>
          </w:tcPr>
          <w:p>
            <w:pPr>
              <w:spacing w:line="360" w:lineRule="auto"/>
              <w:jc w:val="center"/>
              <w:rPr>
                <w:rFonts w:ascii="宋体" w:hAnsi="宋体"/>
                <w:b/>
                <w:color w:val="000000"/>
                <w:kern w:val="0"/>
                <w:sz w:val="24"/>
                <w:szCs w:val="24"/>
              </w:rPr>
            </w:pPr>
            <w:r>
              <w:rPr>
                <w:rFonts w:hint="eastAsia" w:ascii="宋体" w:hAnsi="宋体"/>
                <w:b/>
                <w:color w:val="000000"/>
                <w:kern w:val="0"/>
                <w:sz w:val="24"/>
                <w:szCs w:val="24"/>
              </w:rPr>
              <w:t>升学</w:t>
            </w:r>
          </w:p>
        </w:tc>
        <w:tc>
          <w:tcPr>
            <w:tcW w:w="1984" w:type="dxa"/>
            <w:vAlign w:val="center"/>
          </w:tcPr>
          <w:p>
            <w:pPr>
              <w:spacing w:line="360" w:lineRule="auto"/>
              <w:jc w:val="center"/>
              <w:rPr>
                <w:rFonts w:ascii="宋体" w:hAnsi="宋体"/>
                <w:b/>
                <w:color w:val="000000"/>
                <w:kern w:val="0"/>
                <w:sz w:val="24"/>
                <w:szCs w:val="24"/>
              </w:rPr>
            </w:pPr>
            <w:r>
              <w:rPr>
                <w:rFonts w:hint="eastAsia" w:ascii="宋体" w:hAnsi="宋体"/>
                <w:b/>
                <w:color w:val="000000"/>
                <w:kern w:val="0"/>
                <w:sz w:val="24"/>
                <w:szCs w:val="24"/>
              </w:rPr>
              <w:t>签订就业协议及劳动合同</w:t>
            </w:r>
          </w:p>
        </w:tc>
        <w:tc>
          <w:tcPr>
            <w:tcW w:w="1097" w:type="dxa"/>
            <w:vAlign w:val="center"/>
          </w:tcPr>
          <w:p>
            <w:pPr>
              <w:spacing w:line="360" w:lineRule="auto"/>
              <w:jc w:val="center"/>
              <w:rPr>
                <w:rFonts w:ascii="宋体" w:hAnsi="宋体"/>
                <w:b/>
                <w:color w:val="000000"/>
                <w:kern w:val="0"/>
                <w:sz w:val="24"/>
                <w:szCs w:val="24"/>
              </w:rPr>
            </w:pPr>
            <w:r>
              <w:rPr>
                <w:rFonts w:hint="eastAsia" w:ascii="宋体" w:hAnsi="宋体"/>
                <w:b/>
                <w:color w:val="000000"/>
                <w:kern w:val="0"/>
                <w:sz w:val="24"/>
                <w:szCs w:val="24"/>
              </w:rPr>
              <w:t>地方基层项目</w:t>
            </w:r>
          </w:p>
        </w:tc>
        <w:tc>
          <w:tcPr>
            <w:tcW w:w="1418" w:type="dxa"/>
            <w:vAlign w:val="center"/>
          </w:tcPr>
          <w:p>
            <w:pPr>
              <w:spacing w:line="360" w:lineRule="auto"/>
              <w:jc w:val="center"/>
              <w:rPr>
                <w:rFonts w:ascii="宋体" w:hAnsi="宋体"/>
                <w:b/>
                <w:color w:val="000000"/>
                <w:kern w:val="0"/>
                <w:sz w:val="24"/>
                <w:szCs w:val="24"/>
              </w:rPr>
            </w:pPr>
            <w:r>
              <w:rPr>
                <w:rFonts w:hint="eastAsia" w:ascii="宋体" w:hAnsi="宋体"/>
                <w:b/>
                <w:color w:val="000000"/>
                <w:kern w:val="0"/>
                <w:sz w:val="24"/>
                <w:szCs w:val="24"/>
              </w:rPr>
              <w:t>就业率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0" w:hRule="atLeast"/>
        </w:trPr>
        <w:tc>
          <w:tcPr>
            <w:tcW w:w="1522" w:type="dxa"/>
            <w:vAlign w:val="center"/>
          </w:tcPr>
          <w:p>
            <w:pPr>
              <w:spacing w:line="360" w:lineRule="auto"/>
              <w:jc w:val="center"/>
              <w:rPr>
                <w:rFonts w:ascii="宋体" w:hAnsi="宋体"/>
                <w:color w:val="000000"/>
                <w:kern w:val="0"/>
                <w:sz w:val="24"/>
                <w:szCs w:val="24"/>
              </w:rPr>
            </w:pPr>
            <w:r>
              <w:rPr>
                <w:rFonts w:hint="eastAsia" w:ascii="宋体" w:hAnsi="宋体"/>
                <w:color w:val="000000"/>
                <w:kern w:val="0"/>
                <w:sz w:val="24"/>
                <w:szCs w:val="24"/>
              </w:rPr>
              <w:t>小学教育</w:t>
            </w:r>
          </w:p>
        </w:tc>
        <w:tc>
          <w:tcPr>
            <w:tcW w:w="1316" w:type="dxa"/>
            <w:vAlign w:val="center"/>
          </w:tcPr>
          <w:p>
            <w:pPr>
              <w:spacing w:line="360" w:lineRule="auto"/>
              <w:jc w:val="center"/>
              <w:rPr>
                <w:rFonts w:ascii="宋体" w:hAnsi="宋体"/>
                <w:color w:val="000000"/>
                <w:kern w:val="0"/>
                <w:sz w:val="24"/>
                <w:szCs w:val="24"/>
              </w:rPr>
            </w:pPr>
            <w:r>
              <w:rPr>
                <w:rFonts w:ascii="宋体" w:hAnsi="宋体"/>
                <w:color w:val="000000"/>
                <w:kern w:val="0"/>
                <w:sz w:val="24"/>
                <w:szCs w:val="24"/>
              </w:rPr>
              <w:t>83</w:t>
            </w:r>
          </w:p>
        </w:tc>
        <w:tc>
          <w:tcPr>
            <w:tcW w:w="956" w:type="dxa"/>
            <w:vAlign w:val="center"/>
          </w:tcPr>
          <w:p>
            <w:pPr>
              <w:spacing w:line="360" w:lineRule="auto"/>
              <w:jc w:val="center"/>
              <w:rPr>
                <w:rFonts w:ascii="宋体" w:hAnsi="宋体"/>
                <w:color w:val="000000"/>
                <w:kern w:val="0"/>
                <w:sz w:val="24"/>
                <w:szCs w:val="24"/>
              </w:rPr>
            </w:pPr>
            <w:r>
              <w:rPr>
                <w:rFonts w:ascii="宋体" w:hAnsi="宋体"/>
                <w:color w:val="000000"/>
                <w:kern w:val="0"/>
                <w:sz w:val="24"/>
                <w:szCs w:val="24"/>
              </w:rPr>
              <w:t>7</w:t>
            </w:r>
          </w:p>
        </w:tc>
        <w:tc>
          <w:tcPr>
            <w:tcW w:w="1984" w:type="dxa"/>
            <w:vAlign w:val="center"/>
          </w:tcPr>
          <w:p>
            <w:pPr>
              <w:spacing w:line="360" w:lineRule="auto"/>
              <w:jc w:val="center"/>
              <w:rPr>
                <w:rFonts w:ascii="宋体" w:hAnsi="宋体"/>
                <w:color w:val="000000"/>
                <w:kern w:val="0"/>
                <w:sz w:val="24"/>
                <w:szCs w:val="24"/>
              </w:rPr>
            </w:pPr>
            <w:r>
              <w:rPr>
                <w:rFonts w:hint="eastAsia" w:ascii="宋体" w:hAnsi="宋体"/>
                <w:color w:val="000000"/>
                <w:kern w:val="0"/>
                <w:sz w:val="24"/>
                <w:szCs w:val="24"/>
              </w:rPr>
              <w:t>7</w:t>
            </w:r>
            <w:r>
              <w:rPr>
                <w:rFonts w:ascii="宋体" w:hAnsi="宋体"/>
                <w:color w:val="000000"/>
                <w:kern w:val="0"/>
                <w:sz w:val="24"/>
                <w:szCs w:val="24"/>
              </w:rPr>
              <w:t>0</w:t>
            </w:r>
          </w:p>
        </w:tc>
        <w:tc>
          <w:tcPr>
            <w:tcW w:w="1097" w:type="dxa"/>
            <w:vAlign w:val="center"/>
          </w:tcPr>
          <w:p>
            <w:pPr>
              <w:spacing w:line="360" w:lineRule="auto"/>
              <w:jc w:val="center"/>
              <w:rPr>
                <w:rFonts w:ascii="宋体" w:hAnsi="宋体"/>
                <w:color w:val="000000"/>
                <w:kern w:val="0"/>
                <w:sz w:val="24"/>
                <w:szCs w:val="24"/>
              </w:rPr>
            </w:pPr>
            <w:r>
              <w:rPr>
                <w:rFonts w:ascii="宋体" w:hAnsi="宋体"/>
                <w:color w:val="000000"/>
                <w:kern w:val="0"/>
                <w:sz w:val="24"/>
                <w:szCs w:val="24"/>
              </w:rPr>
              <w:t>1</w:t>
            </w:r>
          </w:p>
        </w:tc>
        <w:tc>
          <w:tcPr>
            <w:tcW w:w="1418" w:type="dxa"/>
            <w:vAlign w:val="center"/>
          </w:tcPr>
          <w:p>
            <w:pPr>
              <w:spacing w:line="360" w:lineRule="auto"/>
              <w:jc w:val="center"/>
              <w:rPr>
                <w:rFonts w:ascii="宋体" w:hAnsi="宋体"/>
                <w:color w:val="000000"/>
                <w:kern w:val="0"/>
                <w:sz w:val="24"/>
                <w:szCs w:val="24"/>
              </w:rPr>
            </w:pPr>
            <w:r>
              <w:rPr>
                <w:rFonts w:hint="eastAsia" w:ascii="宋体" w:hAnsi="宋体"/>
                <w:color w:val="000000"/>
                <w:kern w:val="0"/>
                <w:sz w:val="24"/>
                <w:szCs w:val="24"/>
              </w:rPr>
              <w:t>9</w:t>
            </w:r>
            <w:r>
              <w:rPr>
                <w:rFonts w:ascii="宋体" w:hAnsi="宋体"/>
                <w:color w:val="000000"/>
                <w:kern w:val="0"/>
                <w:sz w:val="24"/>
                <w:szCs w:val="24"/>
              </w:rPr>
              <w:t>3</w:t>
            </w:r>
            <w:r>
              <w:rPr>
                <w:rFonts w:hint="eastAsia" w:ascii="宋体" w:hAnsi="宋体"/>
                <w:color w:val="000000"/>
                <w:kern w:val="0"/>
                <w:sz w:val="24"/>
                <w:szCs w:val="24"/>
              </w:rPr>
              <w:t>.</w:t>
            </w:r>
            <w:r>
              <w:rPr>
                <w:rFonts w:ascii="宋体" w:hAnsi="宋体"/>
                <w:color w:val="000000"/>
                <w:kern w:val="0"/>
                <w:sz w:val="24"/>
                <w:szCs w:val="24"/>
              </w:rPr>
              <w:t>98</w:t>
            </w:r>
            <w:r>
              <w:rPr>
                <w:rFonts w:hint="eastAsia" w:ascii="宋体" w:hAnsi="宋体"/>
                <w:color w:val="000000"/>
                <w:kern w:val="0"/>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9" w:hRule="atLeast"/>
        </w:trPr>
        <w:tc>
          <w:tcPr>
            <w:tcW w:w="1522" w:type="dxa"/>
            <w:vAlign w:val="center"/>
          </w:tcPr>
          <w:p>
            <w:pPr>
              <w:spacing w:line="360" w:lineRule="auto"/>
              <w:jc w:val="center"/>
              <w:rPr>
                <w:rFonts w:ascii="宋体" w:hAnsi="宋体"/>
                <w:color w:val="000000"/>
                <w:kern w:val="0"/>
                <w:sz w:val="24"/>
                <w:szCs w:val="24"/>
              </w:rPr>
            </w:pPr>
            <w:r>
              <w:rPr>
                <w:rFonts w:hint="eastAsia" w:ascii="宋体" w:hAnsi="宋体"/>
                <w:color w:val="000000"/>
                <w:kern w:val="0"/>
                <w:sz w:val="24"/>
                <w:szCs w:val="24"/>
              </w:rPr>
              <w:t>学前教育（对口）</w:t>
            </w:r>
          </w:p>
        </w:tc>
        <w:tc>
          <w:tcPr>
            <w:tcW w:w="1316" w:type="dxa"/>
            <w:vAlign w:val="center"/>
          </w:tcPr>
          <w:p>
            <w:pPr>
              <w:spacing w:line="360" w:lineRule="auto"/>
              <w:jc w:val="center"/>
              <w:rPr>
                <w:rFonts w:ascii="宋体" w:hAnsi="宋体"/>
                <w:color w:val="000000"/>
                <w:kern w:val="0"/>
                <w:sz w:val="24"/>
                <w:szCs w:val="24"/>
              </w:rPr>
            </w:pPr>
            <w:r>
              <w:rPr>
                <w:rFonts w:ascii="宋体" w:hAnsi="宋体"/>
                <w:color w:val="000000"/>
                <w:kern w:val="0"/>
                <w:sz w:val="24"/>
                <w:szCs w:val="24"/>
              </w:rPr>
              <w:t>36</w:t>
            </w:r>
          </w:p>
        </w:tc>
        <w:tc>
          <w:tcPr>
            <w:tcW w:w="956" w:type="dxa"/>
            <w:vAlign w:val="center"/>
          </w:tcPr>
          <w:p>
            <w:pPr>
              <w:spacing w:line="360" w:lineRule="auto"/>
              <w:jc w:val="center"/>
              <w:rPr>
                <w:rFonts w:ascii="宋体" w:hAnsi="宋体"/>
                <w:color w:val="000000"/>
                <w:kern w:val="0"/>
                <w:sz w:val="24"/>
                <w:szCs w:val="24"/>
              </w:rPr>
            </w:pPr>
            <w:r>
              <w:rPr>
                <w:rFonts w:hint="eastAsia" w:ascii="宋体" w:hAnsi="宋体"/>
                <w:color w:val="000000"/>
                <w:kern w:val="0"/>
                <w:sz w:val="24"/>
                <w:szCs w:val="24"/>
              </w:rPr>
              <w:t>0</w:t>
            </w:r>
          </w:p>
        </w:tc>
        <w:tc>
          <w:tcPr>
            <w:tcW w:w="1984" w:type="dxa"/>
            <w:vAlign w:val="center"/>
          </w:tcPr>
          <w:p>
            <w:pPr>
              <w:tabs>
                <w:tab w:val="left" w:pos="369"/>
              </w:tabs>
              <w:spacing w:line="360" w:lineRule="auto"/>
              <w:jc w:val="center"/>
              <w:rPr>
                <w:rFonts w:ascii="宋体" w:hAnsi="宋体"/>
                <w:color w:val="000000"/>
                <w:kern w:val="0"/>
                <w:sz w:val="24"/>
                <w:szCs w:val="24"/>
              </w:rPr>
            </w:pPr>
            <w:r>
              <w:rPr>
                <w:rFonts w:hint="eastAsia" w:ascii="宋体" w:hAnsi="宋体"/>
                <w:color w:val="000000"/>
                <w:kern w:val="0"/>
                <w:sz w:val="24"/>
                <w:szCs w:val="24"/>
              </w:rPr>
              <w:t>36</w:t>
            </w:r>
          </w:p>
        </w:tc>
        <w:tc>
          <w:tcPr>
            <w:tcW w:w="1097" w:type="dxa"/>
            <w:vAlign w:val="center"/>
          </w:tcPr>
          <w:p>
            <w:pPr>
              <w:spacing w:line="360" w:lineRule="auto"/>
              <w:jc w:val="center"/>
              <w:rPr>
                <w:rFonts w:ascii="宋体" w:hAnsi="宋体"/>
                <w:color w:val="000000"/>
                <w:kern w:val="0"/>
                <w:sz w:val="24"/>
                <w:szCs w:val="24"/>
              </w:rPr>
            </w:pPr>
            <w:r>
              <w:rPr>
                <w:rFonts w:hint="eastAsia" w:ascii="宋体" w:hAnsi="宋体"/>
                <w:color w:val="000000"/>
                <w:kern w:val="0"/>
                <w:sz w:val="24"/>
                <w:szCs w:val="24"/>
              </w:rPr>
              <w:t>0</w:t>
            </w:r>
          </w:p>
        </w:tc>
        <w:tc>
          <w:tcPr>
            <w:tcW w:w="1418" w:type="dxa"/>
            <w:vAlign w:val="center"/>
          </w:tcPr>
          <w:p>
            <w:pPr>
              <w:spacing w:line="360" w:lineRule="auto"/>
              <w:jc w:val="center"/>
              <w:rPr>
                <w:rFonts w:ascii="宋体" w:hAnsi="宋体"/>
                <w:color w:val="000000"/>
                <w:kern w:val="0"/>
                <w:sz w:val="24"/>
                <w:szCs w:val="24"/>
              </w:rPr>
            </w:pPr>
            <w:r>
              <w:rPr>
                <w:rFonts w:ascii="宋体" w:hAnsi="宋体"/>
                <w:color w:val="000000"/>
                <w:kern w:val="0"/>
                <w:sz w:val="24"/>
                <w:szCs w:val="24"/>
              </w:rPr>
              <w:t>100</w:t>
            </w:r>
            <w:r>
              <w:rPr>
                <w:rFonts w:hint="eastAsia" w:ascii="宋体" w:hAnsi="宋体"/>
                <w:color w:val="000000"/>
                <w:kern w:val="0"/>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4" w:hRule="atLeast"/>
        </w:trPr>
        <w:tc>
          <w:tcPr>
            <w:tcW w:w="1522" w:type="dxa"/>
            <w:vAlign w:val="center"/>
          </w:tcPr>
          <w:p>
            <w:pPr>
              <w:spacing w:line="360" w:lineRule="auto"/>
              <w:jc w:val="center"/>
              <w:rPr>
                <w:rFonts w:ascii="宋体" w:hAnsi="宋体"/>
                <w:color w:val="000000"/>
                <w:kern w:val="0"/>
                <w:sz w:val="24"/>
                <w:szCs w:val="24"/>
              </w:rPr>
            </w:pPr>
            <w:r>
              <w:rPr>
                <w:rFonts w:hint="eastAsia" w:ascii="宋体" w:hAnsi="宋体"/>
                <w:color w:val="000000"/>
                <w:kern w:val="0"/>
                <w:sz w:val="24"/>
                <w:szCs w:val="24"/>
              </w:rPr>
              <w:t>应用心理学</w:t>
            </w:r>
          </w:p>
        </w:tc>
        <w:tc>
          <w:tcPr>
            <w:tcW w:w="1316" w:type="dxa"/>
            <w:vAlign w:val="center"/>
          </w:tcPr>
          <w:p>
            <w:pPr>
              <w:spacing w:line="360" w:lineRule="auto"/>
              <w:jc w:val="center"/>
              <w:rPr>
                <w:rFonts w:ascii="宋体" w:hAnsi="宋体"/>
                <w:color w:val="000000"/>
                <w:kern w:val="0"/>
                <w:sz w:val="24"/>
                <w:szCs w:val="24"/>
              </w:rPr>
            </w:pPr>
            <w:r>
              <w:rPr>
                <w:rFonts w:ascii="宋体" w:hAnsi="宋体"/>
                <w:color w:val="000000"/>
                <w:kern w:val="0"/>
                <w:sz w:val="24"/>
                <w:szCs w:val="24"/>
              </w:rPr>
              <w:t>36</w:t>
            </w:r>
          </w:p>
        </w:tc>
        <w:tc>
          <w:tcPr>
            <w:tcW w:w="956" w:type="dxa"/>
            <w:vAlign w:val="center"/>
          </w:tcPr>
          <w:p>
            <w:pPr>
              <w:spacing w:line="360" w:lineRule="auto"/>
              <w:jc w:val="center"/>
              <w:rPr>
                <w:rFonts w:ascii="宋体" w:hAnsi="宋体"/>
                <w:color w:val="000000"/>
                <w:kern w:val="0"/>
                <w:sz w:val="24"/>
                <w:szCs w:val="24"/>
              </w:rPr>
            </w:pPr>
            <w:r>
              <w:rPr>
                <w:rFonts w:ascii="宋体" w:hAnsi="宋体"/>
                <w:color w:val="000000"/>
                <w:kern w:val="0"/>
                <w:sz w:val="24"/>
                <w:szCs w:val="24"/>
              </w:rPr>
              <w:t>1</w:t>
            </w:r>
          </w:p>
        </w:tc>
        <w:tc>
          <w:tcPr>
            <w:tcW w:w="1984" w:type="dxa"/>
            <w:vAlign w:val="center"/>
          </w:tcPr>
          <w:p>
            <w:pPr>
              <w:spacing w:line="360" w:lineRule="auto"/>
              <w:jc w:val="center"/>
              <w:rPr>
                <w:rFonts w:ascii="宋体" w:hAnsi="宋体"/>
                <w:color w:val="000000"/>
                <w:kern w:val="0"/>
                <w:sz w:val="24"/>
                <w:szCs w:val="24"/>
              </w:rPr>
            </w:pPr>
            <w:r>
              <w:rPr>
                <w:rFonts w:hint="eastAsia" w:ascii="宋体" w:hAnsi="宋体"/>
                <w:color w:val="000000"/>
                <w:kern w:val="0"/>
                <w:sz w:val="24"/>
                <w:szCs w:val="24"/>
              </w:rPr>
              <w:t>3</w:t>
            </w:r>
            <w:r>
              <w:rPr>
                <w:rFonts w:ascii="宋体" w:hAnsi="宋体"/>
                <w:color w:val="000000"/>
                <w:kern w:val="0"/>
                <w:sz w:val="24"/>
                <w:szCs w:val="24"/>
              </w:rPr>
              <w:t>2</w:t>
            </w:r>
          </w:p>
        </w:tc>
        <w:tc>
          <w:tcPr>
            <w:tcW w:w="1097" w:type="dxa"/>
            <w:vAlign w:val="center"/>
          </w:tcPr>
          <w:p>
            <w:pPr>
              <w:spacing w:line="360" w:lineRule="auto"/>
              <w:jc w:val="center"/>
              <w:rPr>
                <w:rFonts w:ascii="宋体" w:hAnsi="宋体"/>
                <w:color w:val="000000"/>
                <w:kern w:val="0"/>
                <w:sz w:val="24"/>
                <w:szCs w:val="24"/>
              </w:rPr>
            </w:pPr>
            <w:r>
              <w:rPr>
                <w:rFonts w:ascii="宋体" w:hAnsi="宋体"/>
                <w:color w:val="000000"/>
                <w:kern w:val="0"/>
                <w:sz w:val="24"/>
                <w:szCs w:val="24"/>
              </w:rPr>
              <w:t>2</w:t>
            </w:r>
          </w:p>
        </w:tc>
        <w:tc>
          <w:tcPr>
            <w:tcW w:w="1418" w:type="dxa"/>
            <w:vAlign w:val="center"/>
          </w:tcPr>
          <w:p>
            <w:pPr>
              <w:spacing w:line="360" w:lineRule="auto"/>
              <w:jc w:val="center"/>
              <w:rPr>
                <w:rFonts w:ascii="宋体" w:hAnsi="宋体"/>
                <w:color w:val="000000"/>
                <w:kern w:val="0"/>
                <w:sz w:val="24"/>
                <w:szCs w:val="24"/>
              </w:rPr>
            </w:pPr>
            <w:r>
              <w:rPr>
                <w:rFonts w:ascii="宋体" w:hAnsi="宋体"/>
                <w:color w:val="000000"/>
                <w:kern w:val="0"/>
                <w:sz w:val="24"/>
                <w:szCs w:val="24"/>
              </w:rPr>
              <w:t>97.22</w:t>
            </w:r>
            <w:r>
              <w:rPr>
                <w:rFonts w:hint="eastAsia" w:ascii="宋体" w:hAnsi="宋体"/>
                <w:color w:val="000000"/>
                <w:kern w:val="0"/>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9" w:hRule="atLeast"/>
        </w:trPr>
        <w:tc>
          <w:tcPr>
            <w:tcW w:w="1522" w:type="dxa"/>
            <w:vAlign w:val="center"/>
          </w:tcPr>
          <w:p>
            <w:pPr>
              <w:spacing w:line="360" w:lineRule="auto"/>
              <w:jc w:val="center"/>
              <w:rPr>
                <w:rFonts w:ascii="宋体" w:hAnsi="宋体"/>
                <w:color w:val="000000"/>
                <w:kern w:val="0"/>
                <w:sz w:val="24"/>
                <w:szCs w:val="24"/>
              </w:rPr>
            </w:pPr>
            <w:r>
              <w:rPr>
                <w:rFonts w:hint="eastAsia" w:ascii="宋体" w:hAnsi="宋体"/>
                <w:color w:val="000000"/>
                <w:kern w:val="0"/>
                <w:sz w:val="24"/>
                <w:szCs w:val="24"/>
              </w:rPr>
              <w:t>学前教育（专升本）</w:t>
            </w:r>
          </w:p>
        </w:tc>
        <w:tc>
          <w:tcPr>
            <w:tcW w:w="1316" w:type="dxa"/>
            <w:vAlign w:val="center"/>
          </w:tcPr>
          <w:p>
            <w:pPr>
              <w:spacing w:line="360" w:lineRule="auto"/>
              <w:jc w:val="center"/>
              <w:rPr>
                <w:rFonts w:ascii="宋体" w:hAnsi="宋体"/>
                <w:color w:val="000000"/>
                <w:kern w:val="0"/>
                <w:sz w:val="24"/>
                <w:szCs w:val="24"/>
              </w:rPr>
            </w:pPr>
            <w:r>
              <w:rPr>
                <w:rFonts w:ascii="宋体" w:hAnsi="宋体"/>
                <w:color w:val="000000"/>
                <w:kern w:val="0"/>
                <w:sz w:val="24"/>
                <w:szCs w:val="24"/>
              </w:rPr>
              <w:t>50</w:t>
            </w:r>
          </w:p>
        </w:tc>
        <w:tc>
          <w:tcPr>
            <w:tcW w:w="956" w:type="dxa"/>
            <w:vAlign w:val="center"/>
          </w:tcPr>
          <w:p>
            <w:pPr>
              <w:spacing w:line="360" w:lineRule="auto"/>
              <w:jc w:val="center"/>
              <w:rPr>
                <w:rFonts w:ascii="宋体" w:hAnsi="宋体"/>
                <w:color w:val="000000"/>
                <w:kern w:val="0"/>
                <w:sz w:val="24"/>
                <w:szCs w:val="24"/>
              </w:rPr>
            </w:pPr>
            <w:r>
              <w:rPr>
                <w:rFonts w:hint="eastAsia" w:ascii="宋体" w:hAnsi="宋体"/>
                <w:color w:val="000000"/>
                <w:kern w:val="0"/>
                <w:sz w:val="24"/>
                <w:szCs w:val="24"/>
              </w:rPr>
              <w:t>0</w:t>
            </w:r>
          </w:p>
        </w:tc>
        <w:tc>
          <w:tcPr>
            <w:tcW w:w="1984" w:type="dxa"/>
            <w:vAlign w:val="center"/>
          </w:tcPr>
          <w:p>
            <w:pPr>
              <w:spacing w:line="360" w:lineRule="auto"/>
              <w:jc w:val="center"/>
              <w:rPr>
                <w:rFonts w:ascii="宋体" w:hAnsi="宋体"/>
                <w:color w:val="000000"/>
                <w:kern w:val="0"/>
                <w:sz w:val="24"/>
                <w:szCs w:val="24"/>
              </w:rPr>
            </w:pPr>
            <w:r>
              <w:rPr>
                <w:rFonts w:hint="eastAsia" w:ascii="宋体" w:hAnsi="宋体"/>
                <w:color w:val="000000"/>
                <w:kern w:val="0"/>
                <w:sz w:val="24"/>
                <w:szCs w:val="24"/>
              </w:rPr>
              <w:t>49</w:t>
            </w:r>
          </w:p>
        </w:tc>
        <w:tc>
          <w:tcPr>
            <w:tcW w:w="1097" w:type="dxa"/>
            <w:vAlign w:val="center"/>
          </w:tcPr>
          <w:p>
            <w:pPr>
              <w:spacing w:line="360" w:lineRule="auto"/>
              <w:jc w:val="center"/>
              <w:rPr>
                <w:rFonts w:ascii="宋体" w:hAnsi="宋体"/>
                <w:color w:val="000000"/>
                <w:kern w:val="0"/>
                <w:sz w:val="24"/>
                <w:szCs w:val="24"/>
              </w:rPr>
            </w:pPr>
            <w:r>
              <w:rPr>
                <w:rFonts w:hint="eastAsia" w:ascii="宋体" w:hAnsi="宋体"/>
                <w:color w:val="000000"/>
                <w:kern w:val="0"/>
                <w:sz w:val="24"/>
                <w:szCs w:val="24"/>
              </w:rPr>
              <w:t>0</w:t>
            </w:r>
          </w:p>
        </w:tc>
        <w:tc>
          <w:tcPr>
            <w:tcW w:w="1418" w:type="dxa"/>
            <w:vAlign w:val="center"/>
          </w:tcPr>
          <w:p>
            <w:pPr>
              <w:spacing w:line="360" w:lineRule="auto"/>
              <w:jc w:val="center"/>
              <w:rPr>
                <w:rFonts w:ascii="宋体" w:hAnsi="宋体"/>
                <w:color w:val="000000"/>
                <w:kern w:val="0"/>
                <w:sz w:val="24"/>
                <w:szCs w:val="24"/>
              </w:rPr>
            </w:pPr>
            <w:r>
              <w:rPr>
                <w:rFonts w:ascii="宋体" w:hAnsi="宋体"/>
                <w:color w:val="000000"/>
                <w:kern w:val="0"/>
                <w:sz w:val="24"/>
                <w:szCs w:val="24"/>
              </w:rPr>
              <w:t>98</w:t>
            </w:r>
            <w:r>
              <w:rPr>
                <w:rFonts w:hint="eastAsia" w:ascii="宋体" w:hAnsi="宋体"/>
                <w:color w:val="000000"/>
                <w:kern w:val="0"/>
                <w:sz w:val="24"/>
                <w:szCs w:val="24"/>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40" w:hRule="atLeast"/>
        </w:trPr>
        <w:tc>
          <w:tcPr>
            <w:tcW w:w="1522" w:type="dxa"/>
            <w:vAlign w:val="center"/>
          </w:tcPr>
          <w:p>
            <w:pPr>
              <w:spacing w:line="360" w:lineRule="auto"/>
              <w:jc w:val="center"/>
              <w:rPr>
                <w:rFonts w:ascii="宋体" w:hAnsi="宋体"/>
                <w:b/>
                <w:color w:val="000000"/>
                <w:kern w:val="0"/>
                <w:sz w:val="24"/>
                <w:szCs w:val="24"/>
              </w:rPr>
            </w:pPr>
            <w:r>
              <w:rPr>
                <w:rFonts w:hint="eastAsia" w:ascii="宋体" w:hAnsi="宋体"/>
                <w:b/>
                <w:color w:val="000000"/>
                <w:kern w:val="0"/>
                <w:sz w:val="24"/>
                <w:szCs w:val="24"/>
              </w:rPr>
              <w:t>合计</w:t>
            </w:r>
          </w:p>
        </w:tc>
        <w:tc>
          <w:tcPr>
            <w:tcW w:w="1316" w:type="dxa"/>
            <w:vAlign w:val="center"/>
          </w:tcPr>
          <w:p>
            <w:pPr>
              <w:spacing w:line="360" w:lineRule="auto"/>
              <w:jc w:val="center"/>
              <w:rPr>
                <w:rFonts w:ascii="宋体" w:hAnsi="宋体"/>
                <w:b/>
                <w:color w:val="000000"/>
                <w:kern w:val="0"/>
                <w:sz w:val="24"/>
                <w:szCs w:val="24"/>
              </w:rPr>
            </w:pPr>
            <w:r>
              <w:rPr>
                <w:rFonts w:ascii="宋体" w:hAnsi="宋体"/>
                <w:b/>
                <w:color w:val="000000"/>
                <w:kern w:val="0"/>
                <w:sz w:val="24"/>
                <w:szCs w:val="24"/>
              </w:rPr>
              <w:t>205</w:t>
            </w:r>
          </w:p>
        </w:tc>
        <w:tc>
          <w:tcPr>
            <w:tcW w:w="956" w:type="dxa"/>
            <w:vAlign w:val="center"/>
          </w:tcPr>
          <w:p>
            <w:pPr>
              <w:spacing w:line="360" w:lineRule="auto"/>
              <w:jc w:val="center"/>
              <w:rPr>
                <w:rFonts w:ascii="宋体" w:hAnsi="宋体"/>
                <w:b/>
                <w:color w:val="000000"/>
                <w:kern w:val="0"/>
                <w:sz w:val="24"/>
                <w:szCs w:val="24"/>
              </w:rPr>
            </w:pPr>
            <w:r>
              <w:rPr>
                <w:rFonts w:ascii="宋体" w:hAnsi="宋体"/>
                <w:b/>
                <w:color w:val="000000"/>
                <w:kern w:val="0"/>
                <w:sz w:val="24"/>
                <w:szCs w:val="24"/>
              </w:rPr>
              <w:t>8</w:t>
            </w:r>
          </w:p>
        </w:tc>
        <w:tc>
          <w:tcPr>
            <w:tcW w:w="1984" w:type="dxa"/>
            <w:vAlign w:val="center"/>
          </w:tcPr>
          <w:p>
            <w:pPr>
              <w:spacing w:line="360" w:lineRule="auto"/>
              <w:jc w:val="center"/>
              <w:rPr>
                <w:rFonts w:ascii="宋体" w:hAnsi="宋体"/>
                <w:b/>
                <w:color w:val="000000"/>
                <w:kern w:val="0"/>
                <w:sz w:val="24"/>
                <w:szCs w:val="24"/>
              </w:rPr>
            </w:pPr>
            <w:r>
              <w:rPr>
                <w:rFonts w:ascii="宋体" w:hAnsi="宋体"/>
                <w:b/>
                <w:color w:val="000000"/>
                <w:kern w:val="0"/>
                <w:sz w:val="24"/>
                <w:szCs w:val="24"/>
              </w:rPr>
              <w:t>187</w:t>
            </w:r>
          </w:p>
        </w:tc>
        <w:tc>
          <w:tcPr>
            <w:tcW w:w="1097" w:type="dxa"/>
            <w:vAlign w:val="center"/>
          </w:tcPr>
          <w:p>
            <w:pPr>
              <w:spacing w:line="360" w:lineRule="auto"/>
              <w:jc w:val="center"/>
              <w:rPr>
                <w:rFonts w:ascii="宋体" w:hAnsi="宋体"/>
                <w:b/>
                <w:color w:val="000000"/>
                <w:kern w:val="0"/>
                <w:sz w:val="24"/>
                <w:szCs w:val="24"/>
              </w:rPr>
            </w:pPr>
            <w:r>
              <w:rPr>
                <w:rFonts w:ascii="宋体" w:hAnsi="宋体"/>
                <w:b/>
                <w:color w:val="000000"/>
                <w:kern w:val="0"/>
                <w:sz w:val="24"/>
                <w:szCs w:val="24"/>
              </w:rPr>
              <w:t>3</w:t>
            </w:r>
          </w:p>
        </w:tc>
        <w:tc>
          <w:tcPr>
            <w:tcW w:w="1418" w:type="dxa"/>
            <w:vAlign w:val="center"/>
          </w:tcPr>
          <w:p>
            <w:pPr>
              <w:spacing w:line="360" w:lineRule="auto"/>
              <w:jc w:val="center"/>
              <w:rPr>
                <w:rFonts w:ascii="宋体" w:hAnsi="宋体"/>
                <w:b/>
                <w:color w:val="000000"/>
                <w:kern w:val="0"/>
                <w:sz w:val="24"/>
                <w:szCs w:val="24"/>
              </w:rPr>
            </w:pPr>
            <w:r>
              <w:rPr>
                <w:rFonts w:hint="eastAsia" w:ascii="宋体" w:hAnsi="宋体"/>
                <w:b/>
                <w:color w:val="000000"/>
                <w:kern w:val="0"/>
                <w:sz w:val="24"/>
                <w:szCs w:val="24"/>
              </w:rPr>
              <w:t>9</w:t>
            </w:r>
            <w:r>
              <w:rPr>
                <w:rFonts w:ascii="宋体" w:hAnsi="宋体"/>
                <w:b/>
                <w:color w:val="000000"/>
                <w:kern w:val="0"/>
                <w:sz w:val="24"/>
                <w:szCs w:val="24"/>
              </w:rPr>
              <w:t>6</w:t>
            </w:r>
            <w:r>
              <w:rPr>
                <w:rFonts w:hint="eastAsia" w:ascii="宋体" w:hAnsi="宋体"/>
                <w:b/>
                <w:color w:val="000000"/>
                <w:kern w:val="0"/>
                <w:sz w:val="24"/>
                <w:szCs w:val="24"/>
              </w:rPr>
              <w:t>.</w:t>
            </w:r>
            <w:r>
              <w:rPr>
                <w:rFonts w:ascii="宋体" w:hAnsi="宋体"/>
                <w:b/>
                <w:color w:val="000000"/>
                <w:kern w:val="0"/>
                <w:sz w:val="24"/>
                <w:szCs w:val="24"/>
              </w:rPr>
              <w:t>59</w:t>
            </w:r>
            <w:r>
              <w:rPr>
                <w:rFonts w:hint="eastAsia" w:ascii="宋体" w:hAnsi="宋体"/>
                <w:b/>
                <w:color w:val="000000"/>
                <w:kern w:val="0"/>
                <w:sz w:val="24"/>
                <w:szCs w:val="24"/>
              </w:rPr>
              <w:t>%</w:t>
            </w:r>
          </w:p>
        </w:tc>
      </w:tr>
    </w:tbl>
    <w:p>
      <w:pPr>
        <w:spacing w:line="360" w:lineRule="auto"/>
        <w:rPr>
          <w:rFonts w:ascii="宋体" w:hAnsi="宋体"/>
          <w:b/>
          <w:sz w:val="24"/>
          <w:szCs w:val="24"/>
        </w:rPr>
      </w:pPr>
    </w:p>
    <w:p>
      <w:pPr>
        <w:spacing w:line="360" w:lineRule="auto"/>
        <w:jc w:val="center"/>
        <w:rPr>
          <w:rFonts w:ascii="宋体" w:hAnsi="宋体"/>
          <w:b/>
          <w:color w:val="000000"/>
          <w:sz w:val="24"/>
          <w:szCs w:val="24"/>
        </w:rPr>
      </w:pPr>
      <w:r>
        <w:rPr>
          <w:rFonts w:hint="eastAsia" w:ascii="宋体" w:hAnsi="宋体"/>
          <w:b/>
          <w:sz w:val="24"/>
          <w:szCs w:val="24"/>
        </w:rPr>
        <w:t>第二部分  教育学院各专业就业结构分析情况</w:t>
      </w:r>
    </w:p>
    <w:p>
      <w:pPr>
        <w:spacing w:line="360" w:lineRule="auto"/>
        <w:ind w:firstLine="482" w:firstLineChars="200"/>
        <w:rPr>
          <w:rFonts w:ascii="宋体" w:hAnsi="宋体"/>
          <w:b/>
          <w:sz w:val="24"/>
          <w:szCs w:val="24"/>
        </w:rPr>
      </w:pPr>
      <w:r>
        <w:rPr>
          <w:rFonts w:hint="eastAsia" w:ascii="宋体" w:hAnsi="宋体"/>
          <w:b/>
          <w:sz w:val="24"/>
          <w:szCs w:val="24"/>
        </w:rPr>
        <w:t>一、就业结构</w:t>
      </w:r>
    </w:p>
    <w:p>
      <w:pPr>
        <w:spacing w:line="360" w:lineRule="auto"/>
        <w:ind w:firstLine="482" w:firstLineChars="200"/>
        <w:rPr>
          <w:rFonts w:ascii="宋体" w:hAnsi="宋体"/>
          <w:b/>
          <w:sz w:val="24"/>
          <w:szCs w:val="24"/>
        </w:rPr>
      </w:pPr>
      <w:r>
        <w:rPr>
          <w:rFonts w:hint="eastAsia" w:ascii="宋体" w:hAnsi="宋体"/>
          <w:b/>
          <w:sz w:val="24"/>
          <w:szCs w:val="24"/>
        </w:rPr>
        <w:t>（1）毕业生生源地分布</w:t>
      </w:r>
    </w:p>
    <w:p>
      <w:pPr>
        <w:spacing w:line="360" w:lineRule="auto"/>
        <w:ind w:firstLine="480" w:firstLineChars="200"/>
        <w:rPr>
          <w:rFonts w:ascii="宋体" w:hAnsi="宋体"/>
          <w:sz w:val="24"/>
          <w:szCs w:val="24"/>
        </w:rPr>
      </w:pPr>
      <w:r>
        <w:rPr>
          <w:rFonts w:hint="eastAsia" w:ascii="宋体" w:hAnsi="宋体"/>
          <w:sz w:val="24"/>
          <w:szCs w:val="24"/>
        </w:rPr>
        <w:t>学院202</w:t>
      </w:r>
      <w:r>
        <w:rPr>
          <w:rFonts w:ascii="宋体" w:hAnsi="宋体"/>
          <w:sz w:val="24"/>
          <w:szCs w:val="24"/>
        </w:rPr>
        <w:t>2</w:t>
      </w:r>
      <w:r>
        <w:rPr>
          <w:rFonts w:hint="eastAsia" w:ascii="宋体" w:hAnsi="宋体"/>
          <w:sz w:val="24"/>
          <w:szCs w:val="24"/>
        </w:rPr>
        <w:t>届2</w:t>
      </w:r>
      <w:r>
        <w:rPr>
          <w:rFonts w:ascii="宋体" w:hAnsi="宋体"/>
          <w:sz w:val="24"/>
          <w:szCs w:val="24"/>
        </w:rPr>
        <w:t>05</w:t>
      </w:r>
      <w:r>
        <w:rPr>
          <w:rFonts w:hint="eastAsia" w:ascii="宋体" w:hAnsi="宋体"/>
          <w:sz w:val="24"/>
          <w:szCs w:val="24"/>
        </w:rPr>
        <w:t>名毕业生来自全国</w:t>
      </w:r>
      <w:r>
        <w:rPr>
          <w:rFonts w:ascii="宋体" w:hAnsi="宋体"/>
          <w:sz w:val="24"/>
          <w:szCs w:val="24"/>
        </w:rPr>
        <w:t>15</w:t>
      </w:r>
      <w:r>
        <w:rPr>
          <w:rFonts w:hint="eastAsia" w:ascii="宋体" w:hAnsi="宋体"/>
          <w:sz w:val="24"/>
          <w:szCs w:val="24"/>
        </w:rPr>
        <w:t>个省（市/自治区），以安徽省省内生源为主，为1</w:t>
      </w:r>
      <w:r>
        <w:rPr>
          <w:rFonts w:ascii="宋体" w:hAnsi="宋体"/>
          <w:sz w:val="24"/>
          <w:szCs w:val="24"/>
        </w:rPr>
        <w:t>70</w:t>
      </w:r>
      <w:r>
        <w:rPr>
          <w:rFonts w:hint="eastAsia" w:ascii="宋体" w:hAnsi="宋体"/>
          <w:sz w:val="24"/>
          <w:szCs w:val="24"/>
        </w:rPr>
        <w:t>人，占总人数</w:t>
      </w:r>
      <w:r>
        <w:rPr>
          <w:rFonts w:ascii="宋体" w:hAnsi="宋体"/>
          <w:sz w:val="24"/>
          <w:szCs w:val="24"/>
        </w:rPr>
        <w:t>82.93</w:t>
      </w:r>
      <w:r>
        <w:rPr>
          <w:rFonts w:hint="eastAsia" w:ascii="宋体" w:hAnsi="宋体"/>
          <w:sz w:val="24"/>
          <w:szCs w:val="24"/>
        </w:rPr>
        <w:t>%；省外生源主要来自湖南省、河北省、山东省等省份（市/自治区）。</w:t>
      </w:r>
    </w:p>
    <w:p>
      <w:pPr>
        <w:spacing w:line="360" w:lineRule="auto"/>
        <w:jc w:val="center"/>
        <w:rPr>
          <w:rFonts w:ascii="宋体" w:hAnsi="宋体"/>
          <w:b/>
          <w:color w:val="000000"/>
          <w:kern w:val="0"/>
          <w:szCs w:val="21"/>
        </w:rPr>
      </w:pPr>
      <w:r>
        <w:rPr>
          <w:rFonts w:hint="eastAsia" w:ascii="宋体" w:hAnsi="宋体"/>
          <w:b/>
          <w:color w:val="000000"/>
          <w:kern w:val="0"/>
          <w:szCs w:val="21"/>
        </w:rPr>
        <w:t>表</w:t>
      </w:r>
      <w:r>
        <w:rPr>
          <w:rFonts w:ascii="宋体" w:hAnsi="宋体"/>
          <w:b/>
          <w:color w:val="000000"/>
          <w:kern w:val="0"/>
          <w:szCs w:val="21"/>
        </w:rPr>
        <w:t>2</w:t>
      </w:r>
      <w:r>
        <w:rPr>
          <w:rFonts w:hint="eastAsia" w:ascii="宋体" w:hAnsi="宋体"/>
          <w:b/>
          <w:color w:val="000000"/>
          <w:kern w:val="0"/>
          <w:szCs w:val="21"/>
        </w:rPr>
        <w:t>：2</w:t>
      </w:r>
      <w:r>
        <w:rPr>
          <w:rFonts w:ascii="宋体" w:hAnsi="宋体"/>
          <w:b/>
          <w:color w:val="000000"/>
          <w:kern w:val="0"/>
          <w:szCs w:val="21"/>
        </w:rPr>
        <w:t>022</w:t>
      </w:r>
      <w:r>
        <w:rPr>
          <w:rFonts w:hint="eastAsia" w:ascii="宋体" w:hAnsi="宋体"/>
          <w:b/>
          <w:color w:val="000000"/>
          <w:kern w:val="0"/>
          <w:szCs w:val="21"/>
        </w:rPr>
        <w:t>届毕业生生源地分布情况</w:t>
      </w:r>
    </w:p>
    <w:p>
      <w:pPr>
        <w:spacing w:line="360" w:lineRule="auto"/>
        <w:jc w:val="center"/>
        <w:rPr>
          <w:rFonts w:ascii="宋体" w:hAnsi="宋体"/>
          <w:sz w:val="24"/>
          <w:szCs w:val="24"/>
        </w:rPr>
      </w:pPr>
      <w:r>
        <w:rPr>
          <w:rFonts w:ascii="宋体" w:hAnsi="宋体"/>
          <w:sz w:val="24"/>
          <w:szCs w:val="24"/>
        </w:rPr>
        <w:drawing>
          <wp:inline distT="0" distB="0" distL="0" distR="0">
            <wp:extent cx="4305300" cy="2828925"/>
            <wp:effectExtent l="4445" t="4445" r="5080" b="5080"/>
            <wp:docPr id="18" name="图表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pPr>
        <w:spacing w:line="360" w:lineRule="auto"/>
        <w:ind w:firstLine="482" w:firstLineChars="200"/>
        <w:jc w:val="left"/>
        <w:rPr>
          <w:rFonts w:ascii="宋体" w:hAnsi="宋体"/>
          <w:b/>
          <w:bCs/>
          <w:sz w:val="24"/>
          <w:szCs w:val="24"/>
        </w:rPr>
      </w:pPr>
      <w:r>
        <w:rPr>
          <w:rFonts w:hint="eastAsia" w:ascii="宋体" w:hAnsi="宋体"/>
          <w:b/>
          <w:sz w:val="24"/>
          <w:szCs w:val="24"/>
        </w:rPr>
        <w:t>（</w:t>
      </w:r>
      <w:r>
        <w:rPr>
          <w:rFonts w:ascii="宋体" w:hAnsi="宋体"/>
          <w:b/>
          <w:sz w:val="24"/>
          <w:szCs w:val="24"/>
        </w:rPr>
        <w:t>2</w:t>
      </w:r>
      <w:r>
        <w:rPr>
          <w:rFonts w:hint="eastAsia" w:ascii="宋体" w:hAnsi="宋体"/>
          <w:b/>
          <w:sz w:val="24"/>
          <w:szCs w:val="24"/>
        </w:rPr>
        <w:t>）男女生</w:t>
      </w:r>
      <w:r>
        <w:rPr>
          <w:rFonts w:hint="eastAsia" w:ascii="宋体" w:hAnsi="宋体"/>
          <w:b/>
          <w:bCs/>
          <w:sz w:val="24"/>
          <w:szCs w:val="24"/>
        </w:rPr>
        <w:t>就业情况分析</w:t>
      </w:r>
    </w:p>
    <w:p>
      <w:pPr>
        <w:spacing w:line="360" w:lineRule="auto"/>
        <w:ind w:firstLine="480" w:firstLineChars="200"/>
        <w:rPr>
          <w:rFonts w:ascii="宋体" w:hAnsi="宋体"/>
          <w:sz w:val="24"/>
          <w:szCs w:val="24"/>
        </w:rPr>
      </w:pPr>
      <w:r>
        <w:rPr>
          <w:rFonts w:hint="eastAsia" w:ascii="宋体" w:hAnsi="宋体"/>
          <w:sz w:val="24"/>
          <w:szCs w:val="24"/>
        </w:rPr>
        <w:t>我院今年毕业生总数为205，就业数为196。其中女生共187人，就业1</w:t>
      </w:r>
      <w:r>
        <w:rPr>
          <w:rFonts w:ascii="宋体" w:hAnsi="宋体"/>
          <w:sz w:val="24"/>
          <w:szCs w:val="24"/>
        </w:rPr>
        <w:t>80</w:t>
      </w:r>
      <w:r>
        <w:rPr>
          <w:rFonts w:hint="eastAsia" w:ascii="宋体" w:hAnsi="宋体"/>
          <w:sz w:val="24"/>
          <w:szCs w:val="24"/>
        </w:rPr>
        <w:t>人；男生共18人，就业18人。总体上看，男生就业率比女生高，体现我院男生基数虽小，但是勤奋上进的优秀品质；同时，我院女生虽基数大，面临更大的就业压力，但是就业率仍高达9</w:t>
      </w:r>
      <w:r>
        <w:rPr>
          <w:rFonts w:ascii="宋体" w:hAnsi="宋体"/>
          <w:sz w:val="24"/>
          <w:szCs w:val="24"/>
        </w:rPr>
        <w:t>2</w:t>
      </w:r>
      <w:r>
        <w:rPr>
          <w:rFonts w:hint="eastAsia" w:ascii="宋体" w:hAnsi="宋体"/>
          <w:sz w:val="24"/>
          <w:szCs w:val="24"/>
        </w:rPr>
        <w:t>.</w:t>
      </w:r>
      <w:r>
        <w:rPr>
          <w:rFonts w:ascii="宋体" w:hAnsi="宋体"/>
          <w:sz w:val="24"/>
          <w:szCs w:val="24"/>
        </w:rPr>
        <w:t>51</w:t>
      </w:r>
      <w:r>
        <w:rPr>
          <w:rFonts w:hint="eastAsia" w:ascii="宋体" w:hAnsi="宋体"/>
          <w:sz w:val="24"/>
          <w:szCs w:val="24"/>
        </w:rPr>
        <w:t>%，体现了积极进取、努力就业的优良品格。</w:t>
      </w:r>
    </w:p>
    <w:p>
      <w:pPr>
        <w:spacing w:line="360" w:lineRule="auto"/>
        <w:jc w:val="center"/>
        <w:rPr>
          <w:rFonts w:ascii="宋体" w:hAnsi="宋体"/>
          <w:b/>
          <w:color w:val="000000"/>
          <w:kern w:val="0"/>
          <w:szCs w:val="21"/>
        </w:rPr>
      </w:pPr>
      <w:r>
        <w:rPr>
          <w:rFonts w:hint="eastAsia" w:ascii="宋体" w:hAnsi="宋体"/>
          <w:b/>
          <w:color w:val="000000"/>
          <w:kern w:val="0"/>
          <w:szCs w:val="21"/>
        </w:rPr>
        <w:t>表</w:t>
      </w:r>
      <w:r>
        <w:rPr>
          <w:rFonts w:ascii="宋体" w:hAnsi="宋体"/>
          <w:b/>
          <w:color w:val="000000"/>
          <w:kern w:val="0"/>
          <w:szCs w:val="21"/>
        </w:rPr>
        <w:t>3</w:t>
      </w:r>
      <w:r>
        <w:rPr>
          <w:rFonts w:hint="eastAsia" w:ascii="宋体" w:hAnsi="宋体"/>
          <w:b/>
          <w:color w:val="000000"/>
          <w:kern w:val="0"/>
          <w:szCs w:val="21"/>
        </w:rPr>
        <w:t>：男女生就业情况统计表</w:t>
      </w:r>
    </w:p>
    <w:p>
      <w:pPr>
        <w:spacing w:line="360" w:lineRule="auto"/>
        <w:ind w:firstLine="480" w:firstLineChars="200"/>
        <w:jc w:val="center"/>
        <w:rPr>
          <w:rFonts w:ascii="宋体" w:hAnsi="宋体"/>
          <w:sz w:val="24"/>
          <w:szCs w:val="24"/>
        </w:rPr>
      </w:pPr>
      <w:r>
        <w:rPr>
          <w:rFonts w:ascii="宋体" w:hAnsi="宋体"/>
          <w:sz w:val="24"/>
          <w:szCs w:val="24"/>
        </w:rPr>
        <w:drawing>
          <wp:inline distT="0" distB="0" distL="0" distR="0">
            <wp:extent cx="3409950" cy="2381250"/>
            <wp:effectExtent l="4445" t="4445" r="5080" b="5080"/>
            <wp:docPr id="19" name="图表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pPr>
        <w:spacing w:line="360" w:lineRule="auto"/>
        <w:ind w:firstLine="482" w:firstLineChars="200"/>
        <w:jc w:val="left"/>
        <w:rPr>
          <w:rFonts w:ascii="宋体" w:hAnsi="宋体"/>
          <w:b/>
          <w:bCs/>
          <w:sz w:val="24"/>
          <w:szCs w:val="24"/>
        </w:rPr>
      </w:pPr>
      <w:r>
        <w:rPr>
          <w:rFonts w:hint="eastAsia" w:ascii="宋体" w:hAnsi="宋体"/>
          <w:b/>
          <w:sz w:val="24"/>
          <w:szCs w:val="24"/>
        </w:rPr>
        <w:t>（</w:t>
      </w:r>
      <w:r>
        <w:rPr>
          <w:rFonts w:ascii="宋体" w:hAnsi="宋体"/>
          <w:b/>
          <w:sz w:val="24"/>
          <w:szCs w:val="24"/>
        </w:rPr>
        <w:t>3</w:t>
      </w:r>
      <w:r>
        <w:rPr>
          <w:rFonts w:hint="eastAsia" w:ascii="宋体" w:hAnsi="宋体"/>
          <w:b/>
          <w:sz w:val="24"/>
          <w:szCs w:val="24"/>
        </w:rPr>
        <w:t>）升学</w:t>
      </w:r>
      <w:r>
        <w:rPr>
          <w:rFonts w:hint="eastAsia" w:ascii="宋体" w:hAnsi="宋体"/>
          <w:b/>
          <w:bCs/>
          <w:sz w:val="24"/>
          <w:szCs w:val="24"/>
        </w:rPr>
        <w:t>情况分析</w:t>
      </w:r>
    </w:p>
    <w:p>
      <w:pPr>
        <w:spacing w:line="360" w:lineRule="auto"/>
        <w:ind w:firstLine="480" w:firstLineChars="200"/>
        <w:rPr>
          <w:rFonts w:ascii="宋体" w:hAnsi="宋体"/>
          <w:sz w:val="24"/>
          <w:szCs w:val="24"/>
        </w:rPr>
      </w:pPr>
      <w:r>
        <w:rPr>
          <w:rFonts w:hint="eastAsia" w:ascii="宋体" w:hAnsi="宋体"/>
          <w:sz w:val="24"/>
          <w:szCs w:val="24"/>
        </w:rPr>
        <w:t>我院始终坚持立德树人根本任务，不断强化内涵建设，致力于培养知识、能力、素质协调发展，具有创新精神的高素质应用型人才，把鼓励学生考研作为开展学风建设和提升人才培养质量的重要抓手，通过组织学习经验交流、课程辅导答疑等一系列举措，为考研学生提供全方位支持，助力我校学生成长成才。202</w:t>
      </w:r>
      <w:r>
        <w:rPr>
          <w:rFonts w:ascii="宋体" w:hAnsi="宋体"/>
          <w:sz w:val="24"/>
          <w:szCs w:val="24"/>
        </w:rPr>
        <w:t>2</w:t>
      </w:r>
      <w:r>
        <w:rPr>
          <w:rFonts w:hint="eastAsia" w:ascii="宋体" w:hAnsi="宋体"/>
          <w:sz w:val="24"/>
          <w:szCs w:val="24"/>
        </w:rPr>
        <w:t>年我院有</w:t>
      </w:r>
      <w:r>
        <w:rPr>
          <w:rFonts w:ascii="宋体" w:hAnsi="宋体"/>
          <w:sz w:val="24"/>
          <w:szCs w:val="24"/>
        </w:rPr>
        <w:t>8</w:t>
      </w:r>
      <w:r>
        <w:rPr>
          <w:rFonts w:hint="eastAsia" w:ascii="宋体" w:hAnsi="宋体"/>
          <w:sz w:val="24"/>
          <w:szCs w:val="24"/>
        </w:rPr>
        <w:t>名毕业生考取硕士研究生。</w:t>
      </w:r>
    </w:p>
    <w:p>
      <w:pPr>
        <w:spacing w:line="360" w:lineRule="auto"/>
        <w:jc w:val="center"/>
        <w:rPr>
          <w:rFonts w:ascii="宋体" w:hAnsi="宋体"/>
          <w:sz w:val="24"/>
          <w:szCs w:val="24"/>
        </w:rPr>
      </w:pPr>
      <w:r>
        <w:rPr>
          <w:rFonts w:hint="eastAsia" w:ascii="宋体" w:hAnsi="宋体"/>
          <w:b/>
          <w:color w:val="000000"/>
          <w:kern w:val="0"/>
          <w:szCs w:val="21"/>
        </w:rPr>
        <w:t>表</w:t>
      </w:r>
      <w:r>
        <w:rPr>
          <w:rFonts w:ascii="宋体" w:hAnsi="宋体"/>
          <w:b/>
          <w:color w:val="000000"/>
          <w:kern w:val="0"/>
          <w:szCs w:val="21"/>
        </w:rPr>
        <w:t>4</w:t>
      </w:r>
      <w:r>
        <w:rPr>
          <w:rFonts w:hint="eastAsia" w:ascii="宋体" w:hAnsi="宋体"/>
          <w:b/>
          <w:color w:val="000000"/>
          <w:kern w:val="0"/>
          <w:szCs w:val="21"/>
        </w:rPr>
        <w:t>：考研统计表</w:t>
      </w:r>
    </w:p>
    <w:tbl>
      <w:tblPr>
        <w:tblStyle w:val="14"/>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959"/>
        <w:gridCol w:w="1984"/>
        <w:gridCol w:w="1701"/>
        <w:gridCol w:w="387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59" w:type="dxa"/>
          </w:tcPr>
          <w:p>
            <w:pPr>
              <w:spacing w:line="360" w:lineRule="auto"/>
              <w:jc w:val="center"/>
              <w:rPr>
                <w:rFonts w:ascii="宋体" w:hAnsi="宋体"/>
                <w:sz w:val="24"/>
                <w:szCs w:val="24"/>
              </w:rPr>
            </w:pPr>
            <w:r>
              <w:rPr>
                <w:rFonts w:hint="eastAsia" w:ascii="宋体" w:hAnsi="宋体"/>
                <w:sz w:val="24"/>
                <w:szCs w:val="24"/>
              </w:rPr>
              <w:t>序号</w:t>
            </w:r>
          </w:p>
        </w:tc>
        <w:tc>
          <w:tcPr>
            <w:tcW w:w="1984" w:type="dxa"/>
          </w:tcPr>
          <w:p>
            <w:pPr>
              <w:spacing w:line="360" w:lineRule="auto"/>
              <w:jc w:val="center"/>
              <w:rPr>
                <w:rFonts w:ascii="宋体" w:hAnsi="宋体"/>
                <w:sz w:val="24"/>
                <w:szCs w:val="24"/>
              </w:rPr>
            </w:pPr>
            <w:r>
              <w:rPr>
                <w:rFonts w:hint="eastAsia" w:ascii="宋体" w:hAnsi="宋体"/>
                <w:sz w:val="24"/>
                <w:szCs w:val="24"/>
              </w:rPr>
              <w:t>专业</w:t>
            </w:r>
          </w:p>
        </w:tc>
        <w:tc>
          <w:tcPr>
            <w:tcW w:w="1701" w:type="dxa"/>
          </w:tcPr>
          <w:p>
            <w:pPr>
              <w:spacing w:line="360" w:lineRule="auto"/>
              <w:jc w:val="center"/>
              <w:rPr>
                <w:rFonts w:ascii="宋体" w:hAnsi="宋体"/>
                <w:sz w:val="24"/>
                <w:szCs w:val="24"/>
              </w:rPr>
            </w:pPr>
            <w:r>
              <w:rPr>
                <w:rFonts w:hint="eastAsia" w:ascii="宋体" w:hAnsi="宋体"/>
                <w:sz w:val="24"/>
                <w:szCs w:val="24"/>
              </w:rPr>
              <w:t>姓名</w:t>
            </w:r>
          </w:p>
        </w:tc>
        <w:tc>
          <w:tcPr>
            <w:tcW w:w="3878" w:type="dxa"/>
          </w:tcPr>
          <w:p>
            <w:pPr>
              <w:spacing w:line="360" w:lineRule="auto"/>
              <w:jc w:val="center"/>
              <w:rPr>
                <w:rFonts w:ascii="宋体" w:hAnsi="宋体"/>
                <w:sz w:val="24"/>
                <w:szCs w:val="24"/>
              </w:rPr>
            </w:pPr>
            <w:r>
              <w:rPr>
                <w:rFonts w:hint="eastAsia" w:ascii="宋体" w:hAnsi="宋体"/>
                <w:sz w:val="24"/>
                <w:szCs w:val="24"/>
              </w:rPr>
              <w:t>录取院校及专业</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959" w:type="dxa"/>
          </w:tcPr>
          <w:p>
            <w:pPr>
              <w:spacing w:line="360" w:lineRule="auto"/>
              <w:jc w:val="center"/>
              <w:rPr>
                <w:rFonts w:ascii="宋体" w:hAnsi="宋体"/>
                <w:sz w:val="24"/>
                <w:szCs w:val="24"/>
              </w:rPr>
            </w:pPr>
            <w:r>
              <w:rPr>
                <w:rFonts w:hint="eastAsia" w:ascii="宋体" w:hAnsi="宋体"/>
                <w:sz w:val="24"/>
                <w:szCs w:val="24"/>
              </w:rPr>
              <w:t>1</w:t>
            </w:r>
          </w:p>
        </w:tc>
        <w:tc>
          <w:tcPr>
            <w:tcW w:w="1984" w:type="dxa"/>
          </w:tcPr>
          <w:p>
            <w:pPr>
              <w:spacing w:line="360" w:lineRule="auto"/>
              <w:jc w:val="center"/>
              <w:rPr>
                <w:rFonts w:ascii="宋体" w:hAnsi="宋体"/>
                <w:sz w:val="24"/>
                <w:szCs w:val="24"/>
              </w:rPr>
            </w:pPr>
            <w:r>
              <w:rPr>
                <w:rFonts w:hint="eastAsia" w:ascii="宋体" w:hAnsi="宋体"/>
                <w:sz w:val="24"/>
                <w:szCs w:val="24"/>
              </w:rPr>
              <w:t>1</w:t>
            </w:r>
            <w:r>
              <w:rPr>
                <w:rFonts w:ascii="宋体" w:hAnsi="宋体"/>
                <w:sz w:val="24"/>
                <w:szCs w:val="24"/>
              </w:rPr>
              <w:t>8</w:t>
            </w:r>
            <w:r>
              <w:rPr>
                <w:rFonts w:hint="eastAsia" w:ascii="宋体" w:hAnsi="宋体"/>
                <w:sz w:val="24"/>
                <w:szCs w:val="24"/>
              </w:rPr>
              <w:t>小学教育</w:t>
            </w:r>
          </w:p>
        </w:tc>
        <w:tc>
          <w:tcPr>
            <w:tcW w:w="1701" w:type="dxa"/>
          </w:tcPr>
          <w:p>
            <w:pPr>
              <w:spacing w:line="360" w:lineRule="auto"/>
              <w:jc w:val="center"/>
              <w:rPr>
                <w:rFonts w:ascii="宋体" w:hAnsi="宋体"/>
                <w:sz w:val="24"/>
                <w:szCs w:val="24"/>
              </w:rPr>
            </w:pPr>
            <w:r>
              <w:rPr>
                <w:rFonts w:hint="eastAsia" w:ascii="宋体" w:hAnsi="宋体"/>
                <w:sz w:val="24"/>
                <w:szCs w:val="24"/>
              </w:rPr>
              <w:t>胡丹</w:t>
            </w:r>
          </w:p>
        </w:tc>
        <w:tc>
          <w:tcPr>
            <w:tcW w:w="3878" w:type="dxa"/>
          </w:tcPr>
          <w:p>
            <w:pPr>
              <w:spacing w:line="360" w:lineRule="auto"/>
              <w:jc w:val="center"/>
              <w:rPr>
                <w:rFonts w:ascii="宋体" w:hAnsi="宋体"/>
                <w:sz w:val="24"/>
                <w:szCs w:val="24"/>
              </w:rPr>
            </w:pPr>
            <w:r>
              <w:rPr>
                <w:rFonts w:hint="eastAsia" w:ascii="宋体" w:hAnsi="宋体"/>
                <w:sz w:val="24"/>
                <w:szCs w:val="24"/>
              </w:rPr>
              <w:t>浙江师范大学小学教育</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59" w:type="dxa"/>
          </w:tcPr>
          <w:p>
            <w:pPr>
              <w:spacing w:line="360" w:lineRule="auto"/>
              <w:jc w:val="center"/>
              <w:rPr>
                <w:rFonts w:ascii="宋体" w:hAnsi="宋体"/>
                <w:sz w:val="24"/>
                <w:szCs w:val="24"/>
              </w:rPr>
            </w:pPr>
            <w:r>
              <w:rPr>
                <w:rFonts w:hint="eastAsia" w:ascii="宋体" w:hAnsi="宋体"/>
                <w:sz w:val="24"/>
                <w:szCs w:val="24"/>
              </w:rPr>
              <w:t>2</w:t>
            </w:r>
          </w:p>
        </w:tc>
        <w:tc>
          <w:tcPr>
            <w:tcW w:w="1984" w:type="dxa"/>
          </w:tcPr>
          <w:p>
            <w:pPr>
              <w:spacing w:line="360" w:lineRule="auto"/>
              <w:jc w:val="center"/>
              <w:rPr>
                <w:rFonts w:ascii="宋体" w:hAnsi="宋体"/>
                <w:sz w:val="24"/>
                <w:szCs w:val="24"/>
              </w:rPr>
            </w:pPr>
            <w:r>
              <w:rPr>
                <w:rFonts w:hint="eastAsia" w:ascii="宋体" w:hAnsi="宋体"/>
                <w:sz w:val="24"/>
                <w:szCs w:val="24"/>
              </w:rPr>
              <w:t>1</w:t>
            </w:r>
            <w:r>
              <w:rPr>
                <w:rFonts w:ascii="宋体" w:hAnsi="宋体"/>
                <w:sz w:val="24"/>
                <w:szCs w:val="24"/>
              </w:rPr>
              <w:t>8</w:t>
            </w:r>
            <w:r>
              <w:rPr>
                <w:rFonts w:hint="eastAsia" w:ascii="宋体" w:hAnsi="宋体"/>
                <w:sz w:val="24"/>
                <w:szCs w:val="24"/>
              </w:rPr>
              <w:t>小学教育</w:t>
            </w:r>
          </w:p>
        </w:tc>
        <w:tc>
          <w:tcPr>
            <w:tcW w:w="1701" w:type="dxa"/>
          </w:tcPr>
          <w:p>
            <w:pPr>
              <w:spacing w:line="360" w:lineRule="auto"/>
              <w:jc w:val="center"/>
              <w:rPr>
                <w:rFonts w:ascii="宋体" w:hAnsi="宋体"/>
                <w:sz w:val="24"/>
                <w:szCs w:val="24"/>
              </w:rPr>
            </w:pPr>
            <w:r>
              <w:rPr>
                <w:rFonts w:hint="eastAsia" w:ascii="宋体" w:hAnsi="宋体"/>
                <w:sz w:val="24"/>
                <w:szCs w:val="24"/>
              </w:rPr>
              <w:t>刘雅洁</w:t>
            </w:r>
          </w:p>
        </w:tc>
        <w:tc>
          <w:tcPr>
            <w:tcW w:w="3878" w:type="dxa"/>
          </w:tcPr>
          <w:p>
            <w:pPr>
              <w:spacing w:line="360" w:lineRule="auto"/>
              <w:jc w:val="center"/>
              <w:rPr>
                <w:rFonts w:ascii="宋体" w:hAnsi="宋体"/>
                <w:sz w:val="24"/>
                <w:szCs w:val="24"/>
              </w:rPr>
            </w:pPr>
            <w:r>
              <w:rPr>
                <w:rFonts w:hint="eastAsia" w:ascii="宋体" w:hAnsi="宋体"/>
                <w:sz w:val="24"/>
                <w:szCs w:val="24"/>
              </w:rPr>
              <w:t>湖州师范学院小学教育</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59" w:type="dxa"/>
          </w:tcPr>
          <w:p>
            <w:pPr>
              <w:spacing w:line="360" w:lineRule="auto"/>
              <w:jc w:val="center"/>
              <w:rPr>
                <w:rFonts w:ascii="宋体" w:hAnsi="宋体"/>
                <w:sz w:val="24"/>
                <w:szCs w:val="24"/>
              </w:rPr>
            </w:pPr>
            <w:r>
              <w:rPr>
                <w:rFonts w:hint="eastAsia" w:ascii="宋体" w:hAnsi="宋体"/>
                <w:sz w:val="24"/>
                <w:szCs w:val="24"/>
              </w:rPr>
              <w:t>3</w:t>
            </w:r>
          </w:p>
        </w:tc>
        <w:tc>
          <w:tcPr>
            <w:tcW w:w="1984" w:type="dxa"/>
          </w:tcPr>
          <w:p>
            <w:pPr>
              <w:spacing w:line="360" w:lineRule="auto"/>
              <w:jc w:val="center"/>
              <w:rPr>
                <w:rFonts w:ascii="宋体" w:hAnsi="宋体"/>
                <w:sz w:val="24"/>
                <w:szCs w:val="24"/>
              </w:rPr>
            </w:pPr>
            <w:r>
              <w:rPr>
                <w:rFonts w:hint="eastAsia" w:ascii="宋体" w:hAnsi="宋体"/>
                <w:sz w:val="24"/>
                <w:szCs w:val="24"/>
              </w:rPr>
              <w:t>1</w:t>
            </w:r>
            <w:r>
              <w:rPr>
                <w:rFonts w:ascii="宋体" w:hAnsi="宋体"/>
                <w:sz w:val="24"/>
                <w:szCs w:val="24"/>
              </w:rPr>
              <w:t>8</w:t>
            </w:r>
            <w:r>
              <w:rPr>
                <w:rFonts w:hint="eastAsia" w:ascii="宋体" w:hAnsi="宋体"/>
                <w:sz w:val="24"/>
                <w:szCs w:val="24"/>
              </w:rPr>
              <w:t>小学教育</w:t>
            </w:r>
          </w:p>
        </w:tc>
        <w:tc>
          <w:tcPr>
            <w:tcW w:w="1701" w:type="dxa"/>
          </w:tcPr>
          <w:p>
            <w:pPr>
              <w:spacing w:line="360" w:lineRule="auto"/>
              <w:jc w:val="center"/>
              <w:rPr>
                <w:rFonts w:ascii="宋体" w:hAnsi="宋体"/>
                <w:sz w:val="24"/>
                <w:szCs w:val="24"/>
              </w:rPr>
            </w:pPr>
            <w:r>
              <w:rPr>
                <w:rFonts w:hint="eastAsia" w:ascii="宋体" w:hAnsi="宋体"/>
                <w:sz w:val="24"/>
                <w:szCs w:val="24"/>
              </w:rPr>
              <w:t>金玉蓉</w:t>
            </w:r>
          </w:p>
        </w:tc>
        <w:tc>
          <w:tcPr>
            <w:tcW w:w="3878" w:type="dxa"/>
          </w:tcPr>
          <w:p>
            <w:pPr>
              <w:spacing w:line="360" w:lineRule="auto"/>
              <w:jc w:val="center"/>
              <w:rPr>
                <w:rFonts w:ascii="宋体" w:hAnsi="宋体"/>
                <w:sz w:val="24"/>
                <w:szCs w:val="24"/>
              </w:rPr>
            </w:pPr>
            <w:r>
              <w:rPr>
                <w:rFonts w:hint="eastAsia" w:ascii="宋体" w:hAnsi="宋体"/>
                <w:sz w:val="24"/>
                <w:szCs w:val="24"/>
              </w:rPr>
              <w:t>安庆师范大学小学教育</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59" w:type="dxa"/>
          </w:tcPr>
          <w:p>
            <w:pPr>
              <w:spacing w:line="360" w:lineRule="auto"/>
              <w:jc w:val="center"/>
              <w:rPr>
                <w:rFonts w:ascii="宋体" w:hAnsi="宋体"/>
                <w:sz w:val="24"/>
                <w:szCs w:val="24"/>
              </w:rPr>
            </w:pPr>
            <w:r>
              <w:rPr>
                <w:rFonts w:hint="eastAsia" w:ascii="宋体" w:hAnsi="宋体"/>
                <w:sz w:val="24"/>
                <w:szCs w:val="24"/>
              </w:rPr>
              <w:t>4</w:t>
            </w:r>
          </w:p>
        </w:tc>
        <w:tc>
          <w:tcPr>
            <w:tcW w:w="1984" w:type="dxa"/>
          </w:tcPr>
          <w:p>
            <w:pPr>
              <w:spacing w:line="360" w:lineRule="auto"/>
              <w:jc w:val="center"/>
              <w:rPr>
                <w:rFonts w:ascii="宋体" w:hAnsi="宋体"/>
                <w:sz w:val="24"/>
                <w:szCs w:val="24"/>
              </w:rPr>
            </w:pPr>
            <w:r>
              <w:rPr>
                <w:rFonts w:hint="eastAsia" w:ascii="宋体" w:hAnsi="宋体"/>
                <w:sz w:val="24"/>
                <w:szCs w:val="24"/>
              </w:rPr>
              <w:t>1</w:t>
            </w:r>
            <w:r>
              <w:rPr>
                <w:rFonts w:ascii="宋体" w:hAnsi="宋体"/>
                <w:sz w:val="24"/>
                <w:szCs w:val="24"/>
              </w:rPr>
              <w:t>8</w:t>
            </w:r>
            <w:r>
              <w:rPr>
                <w:rFonts w:hint="eastAsia" w:ascii="宋体" w:hAnsi="宋体"/>
                <w:sz w:val="24"/>
                <w:szCs w:val="24"/>
              </w:rPr>
              <w:t>小学教育</w:t>
            </w:r>
          </w:p>
        </w:tc>
        <w:tc>
          <w:tcPr>
            <w:tcW w:w="1701" w:type="dxa"/>
          </w:tcPr>
          <w:p>
            <w:pPr>
              <w:spacing w:line="360" w:lineRule="auto"/>
              <w:jc w:val="center"/>
              <w:rPr>
                <w:rFonts w:ascii="宋体" w:hAnsi="宋体"/>
                <w:sz w:val="24"/>
                <w:szCs w:val="24"/>
              </w:rPr>
            </w:pPr>
            <w:r>
              <w:rPr>
                <w:rFonts w:hint="eastAsia" w:ascii="宋体" w:hAnsi="宋体"/>
                <w:sz w:val="24"/>
                <w:szCs w:val="24"/>
              </w:rPr>
              <w:t>张倩</w:t>
            </w:r>
          </w:p>
        </w:tc>
        <w:tc>
          <w:tcPr>
            <w:tcW w:w="3878" w:type="dxa"/>
          </w:tcPr>
          <w:p>
            <w:pPr>
              <w:spacing w:line="360" w:lineRule="auto"/>
              <w:jc w:val="center"/>
              <w:rPr>
                <w:rFonts w:ascii="宋体" w:hAnsi="宋体"/>
                <w:sz w:val="24"/>
                <w:szCs w:val="24"/>
              </w:rPr>
            </w:pPr>
            <w:r>
              <w:rPr>
                <w:rFonts w:hint="eastAsia" w:ascii="宋体" w:hAnsi="宋体"/>
                <w:sz w:val="24"/>
                <w:szCs w:val="24"/>
              </w:rPr>
              <w:t>扬州大学小学教育</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59" w:type="dxa"/>
          </w:tcPr>
          <w:p>
            <w:pPr>
              <w:spacing w:line="360" w:lineRule="auto"/>
              <w:jc w:val="center"/>
              <w:rPr>
                <w:rFonts w:ascii="宋体" w:hAnsi="宋体"/>
                <w:sz w:val="24"/>
                <w:szCs w:val="24"/>
              </w:rPr>
            </w:pPr>
            <w:r>
              <w:rPr>
                <w:rFonts w:hint="eastAsia" w:ascii="宋体" w:hAnsi="宋体"/>
                <w:sz w:val="24"/>
                <w:szCs w:val="24"/>
              </w:rPr>
              <w:t>5</w:t>
            </w:r>
          </w:p>
        </w:tc>
        <w:tc>
          <w:tcPr>
            <w:tcW w:w="1984" w:type="dxa"/>
          </w:tcPr>
          <w:p>
            <w:pPr>
              <w:spacing w:line="360" w:lineRule="auto"/>
              <w:jc w:val="center"/>
              <w:rPr>
                <w:rFonts w:ascii="宋体" w:hAnsi="宋体"/>
                <w:sz w:val="24"/>
                <w:szCs w:val="24"/>
              </w:rPr>
            </w:pPr>
            <w:r>
              <w:rPr>
                <w:rFonts w:hint="eastAsia" w:ascii="宋体" w:hAnsi="宋体"/>
                <w:sz w:val="24"/>
                <w:szCs w:val="24"/>
              </w:rPr>
              <w:t>1</w:t>
            </w:r>
            <w:r>
              <w:rPr>
                <w:rFonts w:ascii="宋体" w:hAnsi="宋体"/>
                <w:sz w:val="24"/>
                <w:szCs w:val="24"/>
              </w:rPr>
              <w:t>8</w:t>
            </w:r>
            <w:r>
              <w:rPr>
                <w:rFonts w:hint="eastAsia" w:ascii="宋体" w:hAnsi="宋体"/>
                <w:sz w:val="24"/>
                <w:szCs w:val="24"/>
              </w:rPr>
              <w:t>小学教育</w:t>
            </w:r>
          </w:p>
        </w:tc>
        <w:tc>
          <w:tcPr>
            <w:tcW w:w="1701" w:type="dxa"/>
          </w:tcPr>
          <w:p>
            <w:pPr>
              <w:spacing w:line="360" w:lineRule="auto"/>
              <w:jc w:val="center"/>
              <w:rPr>
                <w:rFonts w:ascii="宋体" w:hAnsi="宋体"/>
                <w:sz w:val="24"/>
                <w:szCs w:val="24"/>
              </w:rPr>
            </w:pPr>
            <w:r>
              <w:rPr>
                <w:rFonts w:hint="eastAsia" w:ascii="宋体" w:hAnsi="宋体"/>
                <w:sz w:val="24"/>
                <w:szCs w:val="24"/>
              </w:rPr>
              <w:t>原晓浩</w:t>
            </w:r>
          </w:p>
        </w:tc>
        <w:tc>
          <w:tcPr>
            <w:tcW w:w="3878" w:type="dxa"/>
          </w:tcPr>
          <w:p>
            <w:pPr>
              <w:spacing w:line="360" w:lineRule="auto"/>
              <w:jc w:val="center"/>
              <w:rPr>
                <w:rFonts w:ascii="宋体" w:hAnsi="宋体"/>
                <w:sz w:val="24"/>
                <w:szCs w:val="24"/>
              </w:rPr>
            </w:pPr>
            <w:r>
              <w:rPr>
                <w:rFonts w:hint="eastAsia" w:ascii="宋体" w:hAnsi="宋体"/>
                <w:sz w:val="24"/>
                <w:szCs w:val="24"/>
              </w:rPr>
              <w:t>曲阜师范大学小学教育</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59" w:type="dxa"/>
          </w:tcPr>
          <w:p>
            <w:pPr>
              <w:spacing w:line="360" w:lineRule="auto"/>
              <w:jc w:val="center"/>
              <w:rPr>
                <w:rFonts w:ascii="宋体" w:hAnsi="宋体"/>
                <w:sz w:val="24"/>
                <w:szCs w:val="24"/>
              </w:rPr>
            </w:pPr>
            <w:r>
              <w:rPr>
                <w:rFonts w:hint="eastAsia" w:ascii="宋体" w:hAnsi="宋体"/>
                <w:sz w:val="24"/>
                <w:szCs w:val="24"/>
              </w:rPr>
              <w:t>6</w:t>
            </w:r>
          </w:p>
        </w:tc>
        <w:tc>
          <w:tcPr>
            <w:tcW w:w="1984" w:type="dxa"/>
          </w:tcPr>
          <w:p>
            <w:pPr>
              <w:spacing w:line="360" w:lineRule="auto"/>
              <w:jc w:val="center"/>
              <w:rPr>
                <w:rFonts w:ascii="宋体" w:hAnsi="宋体"/>
                <w:sz w:val="24"/>
                <w:szCs w:val="24"/>
              </w:rPr>
            </w:pPr>
            <w:r>
              <w:rPr>
                <w:rFonts w:hint="eastAsia" w:ascii="宋体" w:hAnsi="宋体"/>
                <w:sz w:val="24"/>
                <w:szCs w:val="24"/>
              </w:rPr>
              <w:t>1</w:t>
            </w:r>
            <w:r>
              <w:rPr>
                <w:rFonts w:ascii="宋体" w:hAnsi="宋体"/>
                <w:sz w:val="24"/>
                <w:szCs w:val="24"/>
              </w:rPr>
              <w:t>8</w:t>
            </w:r>
            <w:r>
              <w:rPr>
                <w:rFonts w:hint="eastAsia" w:ascii="宋体" w:hAnsi="宋体"/>
                <w:sz w:val="24"/>
                <w:szCs w:val="24"/>
              </w:rPr>
              <w:t>小学教育</w:t>
            </w:r>
          </w:p>
        </w:tc>
        <w:tc>
          <w:tcPr>
            <w:tcW w:w="1701" w:type="dxa"/>
          </w:tcPr>
          <w:p>
            <w:pPr>
              <w:spacing w:line="360" w:lineRule="auto"/>
              <w:jc w:val="center"/>
              <w:rPr>
                <w:rFonts w:ascii="宋体" w:hAnsi="宋体"/>
                <w:sz w:val="24"/>
                <w:szCs w:val="24"/>
              </w:rPr>
            </w:pPr>
            <w:r>
              <w:rPr>
                <w:rFonts w:hint="eastAsia" w:ascii="宋体" w:hAnsi="宋体"/>
                <w:sz w:val="24"/>
                <w:szCs w:val="24"/>
              </w:rPr>
              <w:t>苟乾浦</w:t>
            </w:r>
          </w:p>
        </w:tc>
        <w:tc>
          <w:tcPr>
            <w:tcW w:w="3878" w:type="dxa"/>
          </w:tcPr>
          <w:p>
            <w:pPr>
              <w:spacing w:line="360" w:lineRule="auto"/>
              <w:jc w:val="center"/>
              <w:rPr>
                <w:rFonts w:ascii="宋体" w:hAnsi="宋体"/>
                <w:sz w:val="24"/>
                <w:szCs w:val="24"/>
              </w:rPr>
            </w:pPr>
            <w:r>
              <w:rPr>
                <w:rFonts w:hint="eastAsia" w:ascii="宋体" w:hAnsi="宋体"/>
                <w:sz w:val="24"/>
                <w:szCs w:val="24"/>
              </w:rPr>
              <w:t>云南师范大学小学教育</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59" w:type="dxa"/>
          </w:tcPr>
          <w:p>
            <w:pPr>
              <w:spacing w:line="360" w:lineRule="auto"/>
              <w:jc w:val="center"/>
              <w:rPr>
                <w:rFonts w:ascii="宋体" w:hAnsi="宋体"/>
                <w:sz w:val="24"/>
                <w:szCs w:val="24"/>
              </w:rPr>
            </w:pPr>
            <w:r>
              <w:rPr>
                <w:rFonts w:hint="eastAsia" w:ascii="宋体" w:hAnsi="宋体"/>
                <w:sz w:val="24"/>
                <w:szCs w:val="24"/>
              </w:rPr>
              <w:t>7</w:t>
            </w:r>
          </w:p>
        </w:tc>
        <w:tc>
          <w:tcPr>
            <w:tcW w:w="1984" w:type="dxa"/>
          </w:tcPr>
          <w:p>
            <w:pPr>
              <w:spacing w:line="360" w:lineRule="auto"/>
              <w:jc w:val="center"/>
              <w:rPr>
                <w:rFonts w:ascii="宋体" w:hAnsi="宋体"/>
                <w:sz w:val="24"/>
                <w:szCs w:val="24"/>
              </w:rPr>
            </w:pPr>
            <w:r>
              <w:rPr>
                <w:rFonts w:hint="eastAsia" w:ascii="宋体" w:hAnsi="宋体"/>
                <w:sz w:val="24"/>
                <w:szCs w:val="24"/>
              </w:rPr>
              <w:t>1</w:t>
            </w:r>
            <w:r>
              <w:rPr>
                <w:rFonts w:ascii="宋体" w:hAnsi="宋体"/>
                <w:sz w:val="24"/>
                <w:szCs w:val="24"/>
              </w:rPr>
              <w:t>8</w:t>
            </w:r>
            <w:r>
              <w:rPr>
                <w:rFonts w:hint="eastAsia" w:ascii="宋体" w:hAnsi="宋体"/>
                <w:sz w:val="24"/>
                <w:szCs w:val="24"/>
              </w:rPr>
              <w:t>小学教育</w:t>
            </w:r>
          </w:p>
        </w:tc>
        <w:tc>
          <w:tcPr>
            <w:tcW w:w="1701" w:type="dxa"/>
          </w:tcPr>
          <w:p>
            <w:pPr>
              <w:spacing w:line="360" w:lineRule="auto"/>
              <w:jc w:val="center"/>
              <w:rPr>
                <w:rFonts w:ascii="宋体" w:hAnsi="宋体"/>
                <w:sz w:val="24"/>
                <w:szCs w:val="24"/>
              </w:rPr>
            </w:pPr>
            <w:r>
              <w:rPr>
                <w:rFonts w:hint="eastAsia" w:ascii="宋体" w:hAnsi="宋体"/>
                <w:sz w:val="24"/>
                <w:szCs w:val="24"/>
              </w:rPr>
              <w:t>游春艳</w:t>
            </w:r>
          </w:p>
        </w:tc>
        <w:tc>
          <w:tcPr>
            <w:tcW w:w="3878" w:type="dxa"/>
          </w:tcPr>
          <w:p>
            <w:pPr>
              <w:spacing w:line="360" w:lineRule="auto"/>
              <w:jc w:val="center"/>
              <w:rPr>
                <w:rFonts w:ascii="宋体" w:hAnsi="宋体"/>
                <w:sz w:val="24"/>
                <w:szCs w:val="24"/>
              </w:rPr>
            </w:pPr>
            <w:r>
              <w:rPr>
                <w:rFonts w:hint="eastAsia" w:ascii="宋体" w:hAnsi="宋体"/>
                <w:sz w:val="24"/>
                <w:szCs w:val="24"/>
              </w:rPr>
              <w:t>广西师范大学高等教育学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59" w:type="dxa"/>
          </w:tcPr>
          <w:p>
            <w:pPr>
              <w:spacing w:line="360" w:lineRule="auto"/>
              <w:jc w:val="center"/>
              <w:rPr>
                <w:rFonts w:ascii="宋体" w:hAnsi="宋体"/>
                <w:sz w:val="24"/>
                <w:szCs w:val="24"/>
              </w:rPr>
            </w:pPr>
            <w:r>
              <w:rPr>
                <w:rFonts w:hint="eastAsia" w:ascii="宋体" w:hAnsi="宋体"/>
                <w:sz w:val="24"/>
                <w:szCs w:val="24"/>
              </w:rPr>
              <w:t>8</w:t>
            </w:r>
          </w:p>
        </w:tc>
        <w:tc>
          <w:tcPr>
            <w:tcW w:w="1984" w:type="dxa"/>
          </w:tcPr>
          <w:p>
            <w:pPr>
              <w:spacing w:line="360" w:lineRule="auto"/>
              <w:jc w:val="center"/>
              <w:rPr>
                <w:rFonts w:ascii="宋体" w:hAnsi="宋体"/>
                <w:sz w:val="24"/>
                <w:szCs w:val="24"/>
              </w:rPr>
            </w:pPr>
            <w:r>
              <w:rPr>
                <w:rFonts w:hint="eastAsia" w:ascii="宋体" w:hAnsi="宋体"/>
                <w:sz w:val="24"/>
                <w:szCs w:val="24"/>
              </w:rPr>
              <w:t>18应用心理学</w:t>
            </w:r>
          </w:p>
        </w:tc>
        <w:tc>
          <w:tcPr>
            <w:tcW w:w="1701" w:type="dxa"/>
          </w:tcPr>
          <w:p>
            <w:pPr>
              <w:spacing w:line="360" w:lineRule="auto"/>
              <w:jc w:val="center"/>
              <w:rPr>
                <w:rFonts w:ascii="宋体" w:hAnsi="宋体"/>
                <w:sz w:val="24"/>
                <w:szCs w:val="24"/>
              </w:rPr>
            </w:pPr>
            <w:r>
              <w:rPr>
                <w:rFonts w:hint="eastAsia" w:ascii="宋体" w:hAnsi="宋体"/>
                <w:sz w:val="24"/>
                <w:szCs w:val="24"/>
              </w:rPr>
              <w:t>胡可</w:t>
            </w:r>
          </w:p>
        </w:tc>
        <w:tc>
          <w:tcPr>
            <w:tcW w:w="3878" w:type="dxa"/>
          </w:tcPr>
          <w:p>
            <w:pPr>
              <w:spacing w:line="360" w:lineRule="auto"/>
              <w:jc w:val="center"/>
              <w:rPr>
                <w:rFonts w:ascii="宋体" w:hAnsi="宋体"/>
                <w:sz w:val="24"/>
                <w:szCs w:val="24"/>
              </w:rPr>
            </w:pPr>
            <w:r>
              <w:rPr>
                <w:rFonts w:hint="eastAsia" w:ascii="宋体" w:hAnsi="宋体"/>
                <w:sz w:val="24"/>
                <w:szCs w:val="24"/>
              </w:rPr>
              <w:t>温州医科大学应用心理</w:t>
            </w:r>
          </w:p>
        </w:tc>
      </w:tr>
    </w:tbl>
    <w:p>
      <w:pPr>
        <w:spacing w:line="360" w:lineRule="auto"/>
        <w:ind w:firstLine="482" w:firstLineChars="200"/>
        <w:jc w:val="left"/>
        <w:rPr>
          <w:rFonts w:ascii="宋体" w:hAnsi="宋体"/>
          <w:b/>
          <w:bCs/>
          <w:sz w:val="24"/>
          <w:szCs w:val="24"/>
        </w:rPr>
      </w:pPr>
      <w:r>
        <w:rPr>
          <w:rFonts w:hint="eastAsia" w:ascii="宋体" w:hAnsi="宋体"/>
          <w:b/>
          <w:sz w:val="24"/>
          <w:szCs w:val="24"/>
        </w:rPr>
        <w:t>（</w:t>
      </w:r>
      <w:r>
        <w:rPr>
          <w:rFonts w:ascii="宋体" w:hAnsi="宋体"/>
          <w:b/>
          <w:sz w:val="24"/>
          <w:szCs w:val="24"/>
        </w:rPr>
        <w:t>4</w:t>
      </w:r>
      <w:r>
        <w:rPr>
          <w:rFonts w:hint="eastAsia" w:ascii="宋体" w:hAnsi="宋体"/>
          <w:b/>
          <w:sz w:val="24"/>
          <w:szCs w:val="24"/>
        </w:rPr>
        <w:t>）考编</w:t>
      </w:r>
      <w:r>
        <w:rPr>
          <w:rFonts w:hint="eastAsia" w:ascii="宋体" w:hAnsi="宋体"/>
          <w:b/>
          <w:bCs/>
          <w:sz w:val="24"/>
          <w:szCs w:val="24"/>
        </w:rPr>
        <w:t>情况分析</w:t>
      </w:r>
    </w:p>
    <w:p>
      <w:pPr>
        <w:spacing w:line="360" w:lineRule="auto"/>
        <w:ind w:firstLine="480" w:firstLineChars="200"/>
        <w:rPr>
          <w:rFonts w:ascii="宋体" w:hAnsi="宋体"/>
          <w:sz w:val="24"/>
          <w:szCs w:val="24"/>
        </w:rPr>
      </w:pPr>
      <w:r>
        <w:rPr>
          <w:rFonts w:hint="eastAsia" w:ascii="宋体" w:hAnsi="宋体"/>
          <w:sz w:val="24"/>
          <w:szCs w:val="24"/>
        </w:rPr>
        <w:t>2</w:t>
      </w:r>
      <w:r>
        <w:rPr>
          <w:rFonts w:ascii="宋体" w:hAnsi="宋体"/>
          <w:sz w:val="24"/>
          <w:szCs w:val="24"/>
        </w:rPr>
        <w:t>022</w:t>
      </w:r>
      <w:r>
        <w:rPr>
          <w:rFonts w:hint="eastAsia" w:ascii="宋体" w:hAnsi="宋体"/>
          <w:sz w:val="24"/>
          <w:szCs w:val="24"/>
        </w:rPr>
        <w:t>年，在考编人数增多、难度加大的背景下，学院多措并举助力毕业生教师考编。对考研考编学生，由专业教师通过QQ群等形式，开展各类在线指导，有针对性地进行答疑解惑。邀请考研考编成功的校友与毕业生进行交流，分享成功经验。202</w:t>
      </w:r>
      <w:r>
        <w:rPr>
          <w:rFonts w:ascii="宋体" w:hAnsi="宋体"/>
          <w:sz w:val="24"/>
          <w:szCs w:val="24"/>
        </w:rPr>
        <w:t>2</w:t>
      </w:r>
      <w:r>
        <w:rPr>
          <w:rFonts w:hint="eastAsia" w:ascii="宋体" w:hAnsi="宋体"/>
          <w:sz w:val="24"/>
          <w:szCs w:val="24"/>
        </w:rPr>
        <w:t>届毕业生中，有</w:t>
      </w:r>
      <w:r>
        <w:rPr>
          <w:rFonts w:ascii="宋体" w:hAnsi="宋体"/>
          <w:sz w:val="24"/>
          <w:szCs w:val="24"/>
        </w:rPr>
        <w:t>18</w:t>
      </w:r>
      <w:r>
        <w:rPr>
          <w:rFonts w:hint="eastAsia" w:ascii="宋体" w:hAnsi="宋体"/>
          <w:sz w:val="24"/>
          <w:szCs w:val="24"/>
        </w:rPr>
        <w:t>名学生顺利考编。</w:t>
      </w:r>
    </w:p>
    <w:p>
      <w:pPr>
        <w:spacing w:line="360" w:lineRule="auto"/>
        <w:jc w:val="center"/>
        <w:rPr>
          <w:rFonts w:ascii="宋体" w:hAnsi="宋体"/>
          <w:sz w:val="24"/>
          <w:szCs w:val="24"/>
        </w:rPr>
      </w:pPr>
      <w:r>
        <w:rPr>
          <w:rFonts w:hint="eastAsia" w:ascii="宋体" w:hAnsi="宋体"/>
          <w:b/>
          <w:color w:val="000000"/>
          <w:kern w:val="0"/>
          <w:szCs w:val="21"/>
        </w:rPr>
        <w:t>表</w:t>
      </w:r>
      <w:r>
        <w:rPr>
          <w:rFonts w:ascii="宋体" w:hAnsi="宋体"/>
          <w:b/>
          <w:color w:val="000000"/>
          <w:kern w:val="0"/>
          <w:szCs w:val="21"/>
        </w:rPr>
        <w:t>5</w:t>
      </w:r>
      <w:r>
        <w:rPr>
          <w:rFonts w:hint="eastAsia" w:ascii="宋体" w:hAnsi="宋体"/>
          <w:b/>
          <w:color w:val="000000"/>
          <w:kern w:val="0"/>
          <w:szCs w:val="21"/>
        </w:rPr>
        <w:t>：考编统计表</w:t>
      </w:r>
    </w:p>
    <w:tbl>
      <w:tblPr>
        <w:tblStyle w:val="14"/>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959"/>
        <w:gridCol w:w="2410"/>
        <w:gridCol w:w="1559"/>
        <w:gridCol w:w="359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59" w:type="dxa"/>
          </w:tcPr>
          <w:p>
            <w:pPr>
              <w:spacing w:line="360" w:lineRule="auto"/>
              <w:jc w:val="center"/>
              <w:rPr>
                <w:rFonts w:ascii="宋体" w:hAnsi="宋体"/>
                <w:sz w:val="24"/>
                <w:szCs w:val="24"/>
              </w:rPr>
            </w:pPr>
            <w:r>
              <w:rPr>
                <w:rFonts w:hint="eastAsia" w:ascii="宋体" w:hAnsi="宋体"/>
                <w:sz w:val="24"/>
                <w:szCs w:val="24"/>
              </w:rPr>
              <w:t>序号</w:t>
            </w:r>
          </w:p>
        </w:tc>
        <w:tc>
          <w:tcPr>
            <w:tcW w:w="2410" w:type="dxa"/>
          </w:tcPr>
          <w:p>
            <w:pPr>
              <w:spacing w:line="360" w:lineRule="auto"/>
              <w:jc w:val="center"/>
              <w:rPr>
                <w:rFonts w:ascii="宋体" w:hAnsi="宋体"/>
                <w:sz w:val="24"/>
                <w:szCs w:val="24"/>
              </w:rPr>
            </w:pPr>
            <w:r>
              <w:rPr>
                <w:rFonts w:hint="eastAsia" w:ascii="宋体" w:hAnsi="宋体"/>
                <w:sz w:val="24"/>
                <w:szCs w:val="24"/>
              </w:rPr>
              <w:t>专业</w:t>
            </w:r>
          </w:p>
        </w:tc>
        <w:tc>
          <w:tcPr>
            <w:tcW w:w="1559" w:type="dxa"/>
          </w:tcPr>
          <w:p>
            <w:pPr>
              <w:spacing w:line="360" w:lineRule="auto"/>
              <w:jc w:val="center"/>
              <w:rPr>
                <w:rFonts w:ascii="宋体" w:hAnsi="宋体"/>
                <w:sz w:val="24"/>
                <w:szCs w:val="24"/>
              </w:rPr>
            </w:pPr>
            <w:r>
              <w:rPr>
                <w:rFonts w:hint="eastAsia" w:ascii="宋体" w:hAnsi="宋体"/>
                <w:sz w:val="24"/>
                <w:szCs w:val="24"/>
              </w:rPr>
              <w:t>姓名</w:t>
            </w:r>
          </w:p>
        </w:tc>
        <w:tc>
          <w:tcPr>
            <w:tcW w:w="3594" w:type="dxa"/>
          </w:tcPr>
          <w:p>
            <w:pPr>
              <w:spacing w:line="360" w:lineRule="auto"/>
              <w:jc w:val="center"/>
              <w:rPr>
                <w:rFonts w:ascii="宋体" w:hAnsi="宋体"/>
                <w:sz w:val="24"/>
                <w:szCs w:val="24"/>
              </w:rPr>
            </w:pPr>
            <w:r>
              <w:rPr>
                <w:rFonts w:hint="eastAsia" w:ascii="宋体" w:hAnsi="宋体"/>
                <w:color w:val="000000"/>
                <w:sz w:val="24"/>
                <w:szCs w:val="24"/>
              </w:rPr>
              <w:t>录取单位名称（或工作地市）</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59" w:type="dxa"/>
          </w:tcPr>
          <w:p>
            <w:pPr>
              <w:spacing w:line="360" w:lineRule="auto"/>
              <w:jc w:val="center"/>
              <w:rPr>
                <w:rFonts w:ascii="宋体" w:hAnsi="宋体"/>
                <w:sz w:val="24"/>
                <w:szCs w:val="24"/>
              </w:rPr>
            </w:pPr>
            <w:r>
              <w:rPr>
                <w:rFonts w:hint="eastAsia" w:ascii="宋体" w:hAnsi="宋体"/>
                <w:sz w:val="24"/>
                <w:szCs w:val="24"/>
              </w:rPr>
              <w:t>1</w:t>
            </w:r>
          </w:p>
        </w:tc>
        <w:tc>
          <w:tcPr>
            <w:tcW w:w="2410" w:type="dxa"/>
            <w:vAlign w:val="center"/>
          </w:tcPr>
          <w:p>
            <w:pPr>
              <w:widowControl/>
              <w:spacing w:line="360" w:lineRule="auto"/>
              <w:jc w:val="center"/>
              <w:textAlignment w:val="center"/>
              <w:rPr>
                <w:rFonts w:ascii="宋体" w:hAnsi="宋体"/>
                <w:color w:val="000000"/>
                <w:sz w:val="24"/>
                <w:szCs w:val="24"/>
              </w:rPr>
            </w:pPr>
            <w:r>
              <w:rPr>
                <w:rFonts w:hint="eastAsia" w:ascii="宋体" w:hAnsi="宋体"/>
                <w:color w:val="000000"/>
                <w:kern w:val="0"/>
                <w:sz w:val="24"/>
                <w:szCs w:val="24"/>
                <w:lang w:bidi="ar"/>
              </w:rPr>
              <w:t>18小学教育</w:t>
            </w:r>
          </w:p>
        </w:tc>
        <w:tc>
          <w:tcPr>
            <w:tcW w:w="1559" w:type="dxa"/>
            <w:vAlign w:val="center"/>
          </w:tcPr>
          <w:p>
            <w:pPr>
              <w:widowControl/>
              <w:spacing w:line="360" w:lineRule="auto"/>
              <w:jc w:val="center"/>
              <w:textAlignment w:val="center"/>
              <w:rPr>
                <w:rFonts w:ascii="宋体" w:hAnsi="宋体"/>
                <w:color w:val="000000"/>
                <w:sz w:val="24"/>
                <w:szCs w:val="24"/>
              </w:rPr>
            </w:pPr>
            <w:r>
              <w:rPr>
                <w:rFonts w:hint="eastAsia" w:ascii="宋体" w:hAnsi="宋体"/>
                <w:color w:val="000000"/>
                <w:sz w:val="24"/>
                <w:szCs w:val="24"/>
              </w:rPr>
              <w:t>程雅婷</w:t>
            </w:r>
          </w:p>
        </w:tc>
        <w:tc>
          <w:tcPr>
            <w:tcW w:w="3594" w:type="dxa"/>
            <w:vAlign w:val="center"/>
          </w:tcPr>
          <w:p>
            <w:pPr>
              <w:widowControl/>
              <w:spacing w:line="360" w:lineRule="auto"/>
              <w:jc w:val="center"/>
              <w:textAlignment w:val="center"/>
              <w:rPr>
                <w:rFonts w:ascii="宋体" w:hAnsi="宋体"/>
                <w:color w:val="000000"/>
                <w:sz w:val="24"/>
                <w:szCs w:val="24"/>
              </w:rPr>
            </w:pPr>
            <w:r>
              <w:rPr>
                <w:rFonts w:hint="eastAsia" w:ascii="宋体" w:hAnsi="宋体"/>
                <w:color w:val="000000"/>
                <w:kern w:val="0"/>
                <w:sz w:val="24"/>
                <w:szCs w:val="24"/>
                <w:lang w:bidi="ar"/>
              </w:rPr>
              <w:t>江苏苏州市吴中区教育局</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59" w:type="dxa"/>
          </w:tcPr>
          <w:p>
            <w:pPr>
              <w:spacing w:line="360" w:lineRule="auto"/>
              <w:jc w:val="center"/>
              <w:rPr>
                <w:rFonts w:ascii="宋体" w:hAnsi="宋体"/>
                <w:sz w:val="24"/>
                <w:szCs w:val="24"/>
              </w:rPr>
            </w:pPr>
            <w:r>
              <w:rPr>
                <w:rFonts w:hint="eastAsia" w:ascii="宋体" w:hAnsi="宋体"/>
                <w:sz w:val="24"/>
                <w:szCs w:val="24"/>
              </w:rPr>
              <w:t>2</w:t>
            </w:r>
          </w:p>
        </w:tc>
        <w:tc>
          <w:tcPr>
            <w:tcW w:w="2410" w:type="dxa"/>
            <w:vAlign w:val="center"/>
          </w:tcPr>
          <w:p>
            <w:pPr>
              <w:widowControl/>
              <w:spacing w:line="360" w:lineRule="auto"/>
              <w:jc w:val="center"/>
              <w:textAlignment w:val="center"/>
              <w:rPr>
                <w:rFonts w:ascii="宋体" w:hAnsi="宋体"/>
                <w:color w:val="000000"/>
                <w:sz w:val="24"/>
                <w:szCs w:val="24"/>
              </w:rPr>
            </w:pPr>
            <w:r>
              <w:rPr>
                <w:rFonts w:hint="eastAsia" w:ascii="宋体" w:hAnsi="宋体"/>
                <w:color w:val="000000"/>
                <w:kern w:val="0"/>
                <w:sz w:val="24"/>
                <w:szCs w:val="24"/>
                <w:lang w:bidi="ar"/>
              </w:rPr>
              <w:t>18小学教育</w:t>
            </w:r>
          </w:p>
        </w:tc>
        <w:tc>
          <w:tcPr>
            <w:tcW w:w="1559" w:type="dxa"/>
            <w:vAlign w:val="center"/>
          </w:tcPr>
          <w:p>
            <w:pPr>
              <w:widowControl/>
              <w:spacing w:line="360" w:lineRule="auto"/>
              <w:jc w:val="center"/>
              <w:textAlignment w:val="center"/>
              <w:rPr>
                <w:rFonts w:ascii="宋体" w:hAnsi="宋体"/>
                <w:color w:val="000000"/>
                <w:sz w:val="24"/>
                <w:szCs w:val="24"/>
              </w:rPr>
            </w:pPr>
            <w:r>
              <w:rPr>
                <w:rFonts w:hint="eastAsia" w:ascii="宋体" w:hAnsi="宋体"/>
                <w:color w:val="000000"/>
                <w:sz w:val="24"/>
                <w:szCs w:val="24"/>
              </w:rPr>
              <w:t>唐雯</w:t>
            </w:r>
          </w:p>
        </w:tc>
        <w:tc>
          <w:tcPr>
            <w:tcW w:w="3594" w:type="dxa"/>
            <w:vAlign w:val="center"/>
          </w:tcPr>
          <w:p>
            <w:pPr>
              <w:widowControl/>
              <w:spacing w:line="360" w:lineRule="auto"/>
              <w:jc w:val="center"/>
              <w:textAlignment w:val="center"/>
              <w:rPr>
                <w:rFonts w:ascii="宋体" w:hAnsi="宋体"/>
                <w:color w:val="000000"/>
                <w:sz w:val="24"/>
                <w:szCs w:val="24"/>
              </w:rPr>
            </w:pPr>
            <w:r>
              <w:rPr>
                <w:rFonts w:hint="eastAsia" w:ascii="宋体" w:hAnsi="宋体"/>
                <w:color w:val="000000"/>
                <w:kern w:val="0"/>
                <w:sz w:val="24"/>
                <w:szCs w:val="24"/>
                <w:lang w:bidi="ar"/>
              </w:rPr>
              <w:t>江苏无锡市荡口实验小学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59" w:type="dxa"/>
          </w:tcPr>
          <w:p>
            <w:pPr>
              <w:spacing w:line="360" w:lineRule="auto"/>
              <w:jc w:val="center"/>
              <w:rPr>
                <w:rFonts w:ascii="宋体" w:hAnsi="宋体"/>
                <w:sz w:val="24"/>
                <w:szCs w:val="24"/>
              </w:rPr>
            </w:pPr>
            <w:r>
              <w:rPr>
                <w:rFonts w:hint="eastAsia" w:ascii="宋体" w:hAnsi="宋体"/>
                <w:sz w:val="24"/>
                <w:szCs w:val="24"/>
              </w:rPr>
              <w:t>3</w:t>
            </w:r>
          </w:p>
        </w:tc>
        <w:tc>
          <w:tcPr>
            <w:tcW w:w="2410" w:type="dxa"/>
            <w:vAlign w:val="center"/>
          </w:tcPr>
          <w:p>
            <w:pPr>
              <w:widowControl/>
              <w:spacing w:line="360" w:lineRule="auto"/>
              <w:jc w:val="center"/>
              <w:textAlignment w:val="center"/>
              <w:rPr>
                <w:rFonts w:ascii="宋体" w:hAnsi="宋体"/>
                <w:color w:val="000000"/>
                <w:sz w:val="24"/>
                <w:szCs w:val="24"/>
              </w:rPr>
            </w:pPr>
            <w:r>
              <w:rPr>
                <w:rFonts w:hint="eastAsia" w:ascii="宋体" w:hAnsi="宋体"/>
                <w:color w:val="000000"/>
                <w:kern w:val="0"/>
                <w:sz w:val="24"/>
                <w:szCs w:val="24"/>
                <w:lang w:bidi="ar"/>
              </w:rPr>
              <w:t>18小学教育</w:t>
            </w:r>
          </w:p>
        </w:tc>
        <w:tc>
          <w:tcPr>
            <w:tcW w:w="1559" w:type="dxa"/>
            <w:vAlign w:val="center"/>
          </w:tcPr>
          <w:p>
            <w:pPr>
              <w:widowControl/>
              <w:spacing w:line="360" w:lineRule="auto"/>
              <w:jc w:val="center"/>
              <w:textAlignment w:val="center"/>
              <w:rPr>
                <w:rFonts w:ascii="宋体" w:hAnsi="宋体"/>
                <w:color w:val="000000"/>
                <w:sz w:val="24"/>
                <w:szCs w:val="24"/>
              </w:rPr>
            </w:pPr>
            <w:r>
              <w:rPr>
                <w:rFonts w:hint="eastAsia" w:ascii="宋体" w:hAnsi="宋体"/>
                <w:color w:val="000000"/>
                <w:kern w:val="0"/>
                <w:sz w:val="24"/>
                <w:szCs w:val="24"/>
                <w:lang w:bidi="ar"/>
              </w:rPr>
              <w:t>王瑞</w:t>
            </w:r>
          </w:p>
        </w:tc>
        <w:tc>
          <w:tcPr>
            <w:tcW w:w="3594" w:type="dxa"/>
            <w:vAlign w:val="center"/>
          </w:tcPr>
          <w:p>
            <w:pPr>
              <w:widowControl/>
              <w:spacing w:line="360" w:lineRule="auto"/>
              <w:jc w:val="center"/>
              <w:textAlignment w:val="center"/>
              <w:rPr>
                <w:rFonts w:ascii="宋体" w:hAnsi="宋体"/>
                <w:color w:val="000000"/>
                <w:sz w:val="24"/>
                <w:szCs w:val="24"/>
              </w:rPr>
            </w:pPr>
            <w:r>
              <w:rPr>
                <w:rFonts w:hint="eastAsia" w:ascii="宋体" w:hAnsi="宋体"/>
                <w:color w:val="000000"/>
                <w:kern w:val="0"/>
                <w:sz w:val="24"/>
                <w:szCs w:val="24"/>
                <w:lang w:bidi="ar"/>
              </w:rPr>
              <w:t>江苏南京市金陵中学实验小学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59" w:type="dxa"/>
          </w:tcPr>
          <w:p>
            <w:pPr>
              <w:spacing w:line="360" w:lineRule="auto"/>
              <w:jc w:val="center"/>
              <w:rPr>
                <w:rFonts w:ascii="宋体" w:hAnsi="宋体"/>
                <w:sz w:val="24"/>
                <w:szCs w:val="24"/>
              </w:rPr>
            </w:pPr>
            <w:r>
              <w:rPr>
                <w:rFonts w:hint="eastAsia" w:ascii="宋体" w:hAnsi="宋体"/>
                <w:sz w:val="24"/>
                <w:szCs w:val="24"/>
              </w:rPr>
              <w:t>4</w:t>
            </w:r>
          </w:p>
        </w:tc>
        <w:tc>
          <w:tcPr>
            <w:tcW w:w="2410" w:type="dxa"/>
            <w:vAlign w:val="center"/>
          </w:tcPr>
          <w:p>
            <w:pPr>
              <w:widowControl/>
              <w:spacing w:line="360" w:lineRule="auto"/>
              <w:jc w:val="center"/>
              <w:textAlignment w:val="center"/>
              <w:rPr>
                <w:rFonts w:ascii="宋体" w:hAnsi="宋体"/>
                <w:color w:val="000000"/>
                <w:sz w:val="24"/>
                <w:szCs w:val="24"/>
              </w:rPr>
            </w:pPr>
            <w:r>
              <w:rPr>
                <w:rFonts w:hint="eastAsia" w:ascii="宋体" w:hAnsi="宋体"/>
                <w:color w:val="000000"/>
                <w:kern w:val="0"/>
                <w:sz w:val="24"/>
                <w:szCs w:val="24"/>
                <w:lang w:bidi="ar"/>
              </w:rPr>
              <w:t>18小学教育</w:t>
            </w:r>
          </w:p>
        </w:tc>
        <w:tc>
          <w:tcPr>
            <w:tcW w:w="1559" w:type="dxa"/>
            <w:vAlign w:val="center"/>
          </w:tcPr>
          <w:p>
            <w:pPr>
              <w:widowControl/>
              <w:spacing w:line="360" w:lineRule="auto"/>
              <w:jc w:val="center"/>
              <w:textAlignment w:val="center"/>
              <w:rPr>
                <w:rFonts w:ascii="宋体" w:hAnsi="宋体"/>
                <w:color w:val="000000"/>
                <w:sz w:val="24"/>
                <w:szCs w:val="24"/>
              </w:rPr>
            </w:pPr>
            <w:r>
              <w:rPr>
                <w:rFonts w:hint="eastAsia" w:ascii="宋体" w:hAnsi="宋体"/>
                <w:color w:val="000000"/>
                <w:kern w:val="0"/>
                <w:sz w:val="24"/>
                <w:szCs w:val="24"/>
                <w:lang w:bidi="ar"/>
              </w:rPr>
              <w:t>胡悦</w:t>
            </w:r>
          </w:p>
        </w:tc>
        <w:tc>
          <w:tcPr>
            <w:tcW w:w="3594" w:type="dxa"/>
            <w:vAlign w:val="center"/>
          </w:tcPr>
          <w:p>
            <w:pPr>
              <w:widowControl/>
              <w:spacing w:line="360" w:lineRule="auto"/>
              <w:jc w:val="center"/>
              <w:textAlignment w:val="center"/>
              <w:rPr>
                <w:rFonts w:ascii="宋体" w:hAnsi="宋体"/>
                <w:color w:val="000000"/>
                <w:sz w:val="24"/>
                <w:szCs w:val="24"/>
              </w:rPr>
            </w:pPr>
            <w:r>
              <w:rPr>
                <w:rFonts w:hint="eastAsia" w:ascii="宋体" w:hAnsi="宋体"/>
                <w:color w:val="000000"/>
                <w:kern w:val="0"/>
                <w:sz w:val="24"/>
                <w:szCs w:val="24"/>
                <w:lang w:bidi="ar"/>
              </w:rPr>
              <w:t>江苏徐州市经十路小学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59" w:type="dxa"/>
          </w:tcPr>
          <w:p>
            <w:pPr>
              <w:spacing w:line="360" w:lineRule="auto"/>
              <w:jc w:val="center"/>
              <w:rPr>
                <w:rFonts w:ascii="宋体" w:hAnsi="宋体"/>
                <w:sz w:val="24"/>
                <w:szCs w:val="24"/>
              </w:rPr>
            </w:pPr>
            <w:r>
              <w:rPr>
                <w:rFonts w:hint="eastAsia" w:ascii="宋体" w:hAnsi="宋体"/>
                <w:sz w:val="24"/>
                <w:szCs w:val="24"/>
              </w:rPr>
              <w:t>5</w:t>
            </w:r>
          </w:p>
        </w:tc>
        <w:tc>
          <w:tcPr>
            <w:tcW w:w="2410" w:type="dxa"/>
            <w:vAlign w:val="center"/>
          </w:tcPr>
          <w:p>
            <w:pPr>
              <w:widowControl/>
              <w:spacing w:line="360" w:lineRule="auto"/>
              <w:jc w:val="center"/>
              <w:textAlignment w:val="center"/>
              <w:rPr>
                <w:rFonts w:ascii="宋体" w:hAnsi="宋体"/>
                <w:color w:val="000000"/>
                <w:sz w:val="24"/>
                <w:szCs w:val="24"/>
              </w:rPr>
            </w:pPr>
            <w:r>
              <w:rPr>
                <w:rFonts w:hint="eastAsia" w:ascii="宋体" w:hAnsi="宋体"/>
                <w:color w:val="000000"/>
                <w:kern w:val="0"/>
                <w:sz w:val="24"/>
                <w:szCs w:val="24"/>
                <w:lang w:bidi="ar"/>
              </w:rPr>
              <w:t>18小学教育</w:t>
            </w:r>
          </w:p>
        </w:tc>
        <w:tc>
          <w:tcPr>
            <w:tcW w:w="1559" w:type="dxa"/>
            <w:vAlign w:val="center"/>
          </w:tcPr>
          <w:p>
            <w:pPr>
              <w:widowControl/>
              <w:spacing w:line="360" w:lineRule="auto"/>
              <w:jc w:val="center"/>
              <w:textAlignment w:val="center"/>
              <w:rPr>
                <w:rFonts w:ascii="宋体" w:hAnsi="宋体"/>
                <w:color w:val="000000"/>
                <w:sz w:val="24"/>
                <w:szCs w:val="24"/>
              </w:rPr>
            </w:pPr>
            <w:r>
              <w:rPr>
                <w:rFonts w:hint="eastAsia" w:ascii="宋体" w:hAnsi="宋体"/>
                <w:color w:val="000000"/>
                <w:kern w:val="0"/>
                <w:sz w:val="24"/>
                <w:szCs w:val="24"/>
                <w:lang w:bidi="ar"/>
              </w:rPr>
              <w:t>朱贞贞</w:t>
            </w:r>
          </w:p>
        </w:tc>
        <w:tc>
          <w:tcPr>
            <w:tcW w:w="3594" w:type="dxa"/>
            <w:vAlign w:val="center"/>
          </w:tcPr>
          <w:p>
            <w:pPr>
              <w:widowControl/>
              <w:spacing w:line="360" w:lineRule="auto"/>
              <w:jc w:val="center"/>
              <w:textAlignment w:val="center"/>
              <w:rPr>
                <w:rFonts w:ascii="宋体" w:hAnsi="宋体"/>
                <w:color w:val="000000"/>
                <w:sz w:val="24"/>
                <w:szCs w:val="24"/>
              </w:rPr>
            </w:pPr>
            <w:r>
              <w:rPr>
                <w:rFonts w:hint="eastAsia" w:ascii="宋体" w:hAnsi="宋体"/>
                <w:color w:val="000000"/>
                <w:kern w:val="0"/>
                <w:sz w:val="24"/>
                <w:szCs w:val="24"/>
                <w:lang w:bidi="ar"/>
              </w:rPr>
              <w:t>江苏苏州市吴中区教育局</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59" w:type="dxa"/>
          </w:tcPr>
          <w:p>
            <w:pPr>
              <w:spacing w:line="360" w:lineRule="auto"/>
              <w:jc w:val="center"/>
              <w:rPr>
                <w:rFonts w:ascii="宋体" w:hAnsi="宋体"/>
                <w:sz w:val="24"/>
                <w:szCs w:val="24"/>
              </w:rPr>
            </w:pPr>
            <w:r>
              <w:rPr>
                <w:rFonts w:hint="eastAsia" w:ascii="宋体" w:hAnsi="宋体"/>
                <w:sz w:val="24"/>
                <w:szCs w:val="24"/>
              </w:rPr>
              <w:t>6</w:t>
            </w:r>
          </w:p>
        </w:tc>
        <w:tc>
          <w:tcPr>
            <w:tcW w:w="2410" w:type="dxa"/>
            <w:vAlign w:val="center"/>
          </w:tcPr>
          <w:p>
            <w:pPr>
              <w:widowControl/>
              <w:spacing w:line="360" w:lineRule="auto"/>
              <w:jc w:val="center"/>
              <w:textAlignment w:val="center"/>
              <w:rPr>
                <w:rFonts w:ascii="宋体" w:hAnsi="宋体"/>
                <w:color w:val="000000"/>
                <w:sz w:val="24"/>
                <w:szCs w:val="24"/>
              </w:rPr>
            </w:pPr>
            <w:r>
              <w:rPr>
                <w:rFonts w:hint="eastAsia" w:ascii="宋体" w:hAnsi="宋体"/>
                <w:color w:val="000000"/>
                <w:kern w:val="0"/>
                <w:sz w:val="24"/>
                <w:szCs w:val="24"/>
                <w:lang w:bidi="ar"/>
              </w:rPr>
              <w:t>18小学教育</w:t>
            </w:r>
          </w:p>
        </w:tc>
        <w:tc>
          <w:tcPr>
            <w:tcW w:w="1559" w:type="dxa"/>
            <w:vAlign w:val="center"/>
          </w:tcPr>
          <w:p>
            <w:pPr>
              <w:widowControl/>
              <w:spacing w:line="360" w:lineRule="auto"/>
              <w:jc w:val="center"/>
              <w:textAlignment w:val="center"/>
              <w:rPr>
                <w:rFonts w:ascii="宋体" w:hAnsi="宋体"/>
                <w:color w:val="000000"/>
                <w:sz w:val="24"/>
                <w:szCs w:val="24"/>
              </w:rPr>
            </w:pPr>
            <w:r>
              <w:rPr>
                <w:rFonts w:hint="eastAsia" w:ascii="宋体" w:hAnsi="宋体"/>
                <w:color w:val="000000"/>
                <w:kern w:val="0"/>
                <w:sz w:val="24"/>
                <w:szCs w:val="24"/>
                <w:lang w:bidi="ar"/>
              </w:rPr>
              <w:t>郑羽宏</w:t>
            </w:r>
          </w:p>
        </w:tc>
        <w:tc>
          <w:tcPr>
            <w:tcW w:w="3594" w:type="dxa"/>
            <w:vAlign w:val="center"/>
          </w:tcPr>
          <w:p>
            <w:pPr>
              <w:widowControl/>
              <w:spacing w:line="360" w:lineRule="auto"/>
              <w:jc w:val="center"/>
              <w:textAlignment w:val="center"/>
              <w:rPr>
                <w:rFonts w:ascii="宋体" w:hAnsi="宋体"/>
                <w:color w:val="000000"/>
                <w:sz w:val="24"/>
                <w:szCs w:val="24"/>
              </w:rPr>
            </w:pPr>
            <w:r>
              <w:rPr>
                <w:rFonts w:hint="eastAsia" w:ascii="宋体" w:hAnsi="宋体"/>
                <w:color w:val="000000"/>
                <w:kern w:val="0"/>
                <w:sz w:val="24"/>
                <w:szCs w:val="24"/>
                <w:lang w:bidi="ar"/>
              </w:rPr>
              <w:t>黑龙江鹤岗市育民小学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59" w:type="dxa"/>
          </w:tcPr>
          <w:p>
            <w:pPr>
              <w:spacing w:line="360" w:lineRule="auto"/>
              <w:jc w:val="center"/>
              <w:rPr>
                <w:rFonts w:ascii="宋体" w:hAnsi="宋体"/>
                <w:sz w:val="24"/>
                <w:szCs w:val="24"/>
              </w:rPr>
            </w:pPr>
            <w:r>
              <w:rPr>
                <w:rFonts w:hint="eastAsia" w:ascii="宋体" w:hAnsi="宋体"/>
                <w:sz w:val="24"/>
                <w:szCs w:val="24"/>
              </w:rPr>
              <w:t>7</w:t>
            </w:r>
          </w:p>
        </w:tc>
        <w:tc>
          <w:tcPr>
            <w:tcW w:w="2410" w:type="dxa"/>
            <w:vAlign w:val="center"/>
          </w:tcPr>
          <w:p>
            <w:pPr>
              <w:widowControl/>
              <w:spacing w:line="360" w:lineRule="auto"/>
              <w:jc w:val="center"/>
              <w:textAlignment w:val="center"/>
              <w:rPr>
                <w:rFonts w:ascii="宋体" w:hAnsi="宋体"/>
                <w:color w:val="000000"/>
                <w:kern w:val="0"/>
                <w:sz w:val="24"/>
                <w:szCs w:val="24"/>
                <w:lang w:bidi="ar"/>
              </w:rPr>
            </w:pPr>
            <w:r>
              <w:rPr>
                <w:rFonts w:hint="eastAsia" w:ascii="宋体" w:hAnsi="宋体"/>
                <w:color w:val="000000"/>
                <w:kern w:val="0"/>
                <w:sz w:val="24"/>
                <w:szCs w:val="24"/>
                <w:lang w:bidi="ar"/>
              </w:rPr>
              <w:t>18小学教育</w:t>
            </w:r>
          </w:p>
        </w:tc>
        <w:tc>
          <w:tcPr>
            <w:tcW w:w="1559" w:type="dxa"/>
            <w:vAlign w:val="center"/>
          </w:tcPr>
          <w:p>
            <w:pPr>
              <w:widowControl/>
              <w:spacing w:line="360" w:lineRule="auto"/>
              <w:jc w:val="center"/>
              <w:textAlignment w:val="center"/>
              <w:rPr>
                <w:rFonts w:ascii="宋体" w:hAnsi="宋体"/>
                <w:color w:val="000000"/>
                <w:kern w:val="0"/>
                <w:sz w:val="24"/>
                <w:szCs w:val="24"/>
                <w:lang w:bidi="ar"/>
              </w:rPr>
            </w:pPr>
            <w:r>
              <w:rPr>
                <w:rFonts w:hint="eastAsia" w:ascii="宋体" w:hAnsi="宋体"/>
                <w:color w:val="000000"/>
                <w:kern w:val="0"/>
                <w:sz w:val="24"/>
                <w:szCs w:val="24"/>
                <w:lang w:bidi="ar"/>
              </w:rPr>
              <w:t>邓樱淇</w:t>
            </w:r>
          </w:p>
        </w:tc>
        <w:tc>
          <w:tcPr>
            <w:tcW w:w="3594" w:type="dxa"/>
            <w:vAlign w:val="center"/>
          </w:tcPr>
          <w:p>
            <w:pPr>
              <w:widowControl/>
              <w:spacing w:line="360" w:lineRule="auto"/>
              <w:jc w:val="center"/>
              <w:textAlignment w:val="center"/>
              <w:rPr>
                <w:rFonts w:ascii="宋体" w:hAnsi="宋体"/>
                <w:color w:val="000000"/>
                <w:kern w:val="0"/>
                <w:sz w:val="24"/>
                <w:szCs w:val="24"/>
                <w:lang w:bidi="ar"/>
              </w:rPr>
            </w:pPr>
            <w:r>
              <w:rPr>
                <w:rFonts w:hint="eastAsia" w:ascii="宋体" w:hAnsi="宋体"/>
                <w:color w:val="000000"/>
                <w:kern w:val="0"/>
                <w:sz w:val="24"/>
                <w:szCs w:val="24"/>
                <w:lang w:bidi="ar"/>
              </w:rPr>
              <w:t>湖南临湘市长塘中学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59" w:type="dxa"/>
          </w:tcPr>
          <w:p>
            <w:pPr>
              <w:spacing w:line="360" w:lineRule="auto"/>
              <w:jc w:val="center"/>
              <w:rPr>
                <w:rFonts w:ascii="宋体" w:hAnsi="宋体"/>
                <w:sz w:val="24"/>
                <w:szCs w:val="24"/>
              </w:rPr>
            </w:pPr>
            <w:r>
              <w:rPr>
                <w:rFonts w:hint="eastAsia" w:ascii="宋体" w:hAnsi="宋体"/>
                <w:sz w:val="24"/>
                <w:szCs w:val="24"/>
              </w:rPr>
              <w:t>8</w:t>
            </w:r>
          </w:p>
        </w:tc>
        <w:tc>
          <w:tcPr>
            <w:tcW w:w="2410" w:type="dxa"/>
            <w:vAlign w:val="center"/>
          </w:tcPr>
          <w:p>
            <w:pPr>
              <w:widowControl/>
              <w:spacing w:line="360" w:lineRule="auto"/>
              <w:jc w:val="center"/>
              <w:textAlignment w:val="center"/>
              <w:rPr>
                <w:rFonts w:ascii="宋体" w:hAnsi="宋体"/>
                <w:color w:val="000000"/>
                <w:sz w:val="24"/>
                <w:szCs w:val="24"/>
              </w:rPr>
            </w:pPr>
            <w:r>
              <w:rPr>
                <w:rFonts w:hint="eastAsia" w:ascii="宋体" w:hAnsi="宋体"/>
                <w:color w:val="000000"/>
                <w:kern w:val="0"/>
                <w:sz w:val="24"/>
                <w:szCs w:val="24"/>
                <w:lang w:bidi="ar"/>
              </w:rPr>
              <w:t>18学前教育（对口）</w:t>
            </w:r>
          </w:p>
        </w:tc>
        <w:tc>
          <w:tcPr>
            <w:tcW w:w="1559" w:type="dxa"/>
            <w:vAlign w:val="center"/>
          </w:tcPr>
          <w:p>
            <w:pPr>
              <w:widowControl/>
              <w:spacing w:line="360" w:lineRule="auto"/>
              <w:jc w:val="center"/>
              <w:textAlignment w:val="center"/>
              <w:rPr>
                <w:rFonts w:ascii="宋体" w:hAnsi="宋体"/>
                <w:color w:val="000000"/>
                <w:sz w:val="24"/>
                <w:szCs w:val="24"/>
              </w:rPr>
            </w:pPr>
            <w:r>
              <w:rPr>
                <w:rFonts w:hint="eastAsia" w:ascii="宋体" w:hAnsi="宋体"/>
                <w:color w:val="000000"/>
                <w:kern w:val="0"/>
                <w:sz w:val="24"/>
                <w:szCs w:val="24"/>
                <w:lang w:bidi="ar"/>
              </w:rPr>
              <w:t>盛云</w:t>
            </w:r>
          </w:p>
        </w:tc>
        <w:tc>
          <w:tcPr>
            <w:tcW w:w="3594" w:type="dxa"/>
            <w:vAlign w:val="center"/>
          </w:tcPr>
          <w:p>
            <w:pPr>
              <w:widowControl/>
              <w:spacing w:line="360" w:lineRule="auto"/>
              <w:jc w:val="center"/>
              <w:textAlignment w:val="center"/>
              <w:rPr>
                <w:rFonts w:ascii="宋体" w:hAnsi="宋体"/>
                <w:color w:val="000000"/>
                <w:sz w:val="24"/>
                <w:szCs w:val="24"/>
              </w:rPr>
            </w:pPr>
            <w:r>
              <w:rPr>
                <w:rFonts w:hint="eastAsia" w:ascii="宋体" w:hAnsi="宋体"/>
                <w:color w:val="000000"/>
                <w:kern w:val="0"/>
                <w:sz w:val="24"/>
                <w:szCs w:val="24"/>
                <w:lang w:bidi="ar"/>
              </w:rPr>
              <w:t>上海松江区石桥幼儿园</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59" w:type="dxa"/>
          </w:tcPr>
          <w:p>
            <w:pPr>
              <w:spacing w:line="360" w:lineRule="auto"/>
              <w:jc w:val="center"/>
              <w:rPr>
                <w:rFonts w:ascii="宋体" w:hAnsi="宋体"/>
                <w:sz w:val="24"/>
                <w:szCs w:val="24"/>
              </w:rPr>
            </w:pPr>
            <w:r>
              <w:rPr>
                <w:rFonts w:hint="eastAsia" w:ascii="宋体" w:hAnsi="宋体"/>
                <w:sz w:val="24"/>
                <w:szCs w:val="24"/>
              </w:rPr>
              <w:t>9</w:t>
            </w:r>
          </w:p>
        </w:tc>
        <w:tc>
          <w:tcPr>
            <w:tcW w:w="2410" w:type="dxa"/>
            <w:vAlign w:val="center"/>
          </w:tcPr>
          <w:p>
            <w:pPr>
              <w:widowControl/>
              <w:spacing w:line="360" w:lineRule="auto"/>
              <w:jc w:val="center"/>
              <w:textAlignment w:val="center"/>
              <w:rPr>
                <w:rFonts w:ascii="宋体" w:hAnsi="宋体"/>
                <w:color w:val="000000"/>
                <w:sz w:val="24"/>
                <w:szCs w:val="24"/>
              </w:rPr>
            </w:pPr>
            <w:r>
              <w:rPr>
                <w:rFonts w:hint="eastAsia" w:ascii="宋体" w:hAnsi="宋体"/>
                <w:color w:val="000000"/>
                <w:kern w:val="0"/>
                <w:sz w:val="24"/>
                <w:szCs w:val="24"/>
                <w:lang w:bidi="ar"/>
              </w:rPr>
              <w:t>18学前教育（对口）</w:t>
            </w:r>
          </w:p>
        </w:tc>
        <w:tc>
          <w:tcPr>
            <w:tcW w:w="1559" w:type="dxa"/>
            <w:vAlign w:val="center"/>
          </w:tcPr>
          <w:p>
            <w:pPr>
              <w:widowControl/>
              <w:spacing w:line="360" w:lineRule="auto"/>
              <w:jc w:val="center"/>
              <w:textAlignment w:val="center"/>
              <w:rPr>
                <w:rFonts w:ascii="宋体" w:hAnsi="宋体"/>
                <w:color w:val="000000"/>
                <w:sz w:val="24"/>
                <w:szCs w:val="24"/>
              </w:rPr>
            </w:pPr>
            <w:r>
              <w:rPr>
                <w:rFonts w:hint="eastAsia" w:ascii="宋体" w:hAnsi="宋体"/>
                <w:color w:val="000000"/>
                <w:kern w:val="0"/>
                <w:sz w:val="24"/>
                <w:szCs w:val="24"/>
                <w:lang w:bidi="ar"/>
              </w:rPr>
              <w:t>许冰</w:t>
            </w:r>
          </w:p>
        </w:tc>
        <w:tc>
          <w:tcPr>
            <w:tcW w:w="3594" w:type="dxa"/>
            <w:vAlign w:val="center"/>
          </w:tcPr>
          <w:p>
            <w:pPr>
              <w:widowControl/>
              <w:spacing w:line="360" w:lineRule="auto"/>
              <w:jc w:val="center"/>
              <w:textAlignment w:val="center"/>
              <w:rPr>
                <w:rFonts w:ascii="宋体" w:hAnsi="宋体"/>
                <w:color w:val="000000"/>
                <w:sz w:val="24"/>
                <w:szCs w:val="24"/>
              </w:rPr>
            </w:pPr>
            <w:r>
              <w:rPr>
                <w:rFonts w:hint="eastAsia" w:ascii="宋体" w:hAnsi="宋体"/>
                <w:color w:val="000000"/>
                <w:kern w:val="0"/>
                <w:sz w:val="24"/>
                <w:szCs w:val="24"/>
                <w:lang w:bidi="ar"/>
              </w:rPr>
              <w:t>上海松江区九亭第三幼儿园</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59" w:type="dxa"/>
          </w:tcPr>
          <w:p>
            <w:pPr>
              <w:spacing w:line="360" w:lineRule="auto"/>
              <w:jc w:val="center"/>
              <w:rPr>
                <w:rFonts w:ascii="宋体" w:hAnsi="宋体"/>
                <w:sz w:val="24"/>
                <w:szCs w:val="24"/>
              </w:rPr>
            </w:pPr>
            <w:r>
              <w:rPr>
                <w:rFonts w:hint="eastAsia" w:ascii="宋体" w:hAnsi="宋体"/>
                <w:sz w:val="24"/>
                <w:szCs w:val="24"/>
              </w:rPr>
              <w:t>1</w:t>
            </w:r>
            <w:r>
              <w:rPr>
                <w:rFonts w:ascii="宋体" w:hAnsi="宋体"/>
                <w:sz w:val="24"/>
                <w:szCs w:val="24"/>
              </w:rPr>
              <w:t>0</w:t>
            </w:r>
          </w:p>
        </w:tc>
        <w:tc>
          <w:tcPr>
            <w:tcW w:w="2410" w:type="dxa"/>
            <w:vAlign w:val="center"/>
          </w:tcPr>
          <w:p>
            <w:pPr>
              <w:widowControl/>
              <w:spacing w:line="360" w:lineRule="auto"/>
              <w:jc w:val="center"/>
              <w:textAlignment w:val="center"/>
              <w:rPr>
                <w:rFonts w:ascii="宋体" w:hAnsi="宋体"/>
                <w:color w:val="000000"/>
                <w:sz w:val="24"/>
                <w:szCs w:val="24"/>
              </w:rPr>
            </w:pPr>
            <w:r>
              <w:rPr>
                <w:rFonts w:hint="eastAsia" w:ascii="宋体" w:hAnsi="宋体"/>
                <w:color w:val="000000"/>
                <w:kern w:val="0"/>
                <w:sz w:val="24"/>
                <w:szCs w:val="24"/>
                <w:lang w:bidi="ar"/>
              </w:rPr>
              <w:t>18学前教育（对口）</w:t>
            </w:r>
          </w:p>
        </w:tc>
        <w:tc>
          <w:tcPr>
            <w:tcW w:w="1559" w:type="dxa"/>
            <w:vAlign w:val="center"/>
          </w:tcPr>
          <w:p>
            <w:pPr>
              <w:widowControl/>
              <w:spacing w:line="360" w:lineRule="auto"/>
              <w:jc w:val="center"/>
              <w:textAlignment w:val="center"/>
              <w:rPr>
                <w:rFonts w:ascii="宋体" w:hAnsi="宋体"/>
                <w:color w:val="000000"/>
                <w:sz w:val="24"/>
                <w:szCs w:val="24"/>
              </w:rPr>
            </w:pPr>
            <w:r>
              <w:rPr>
                <w:rFonts w:hint="eastAsia" w:ascii="宋体" w:hAnsi="宋体"/>
                <w:color w:val="000000"/>
                <w:kern w:val="0"/>
                <w:sz w:val="24"/>
                <w:szCs w:val="24"/>
                <w:lang w:bidi="ar"/>
              </w:rPr>
              <w:t>盛宗鸟</w:t>
            </w:r>
          </w:p>
        </w:tc>
        <w:tc>
          <w:tcPr>
            <w:tcW w:w="3594" w:type="dxa"/>
            <w:vAlign w:val="center"/>
          </w:tcPr>
          <w:p>
            <w:pPr>
              <w:widowControl/>
              <w:spacing w:line="360" w:lineRule="auto"/>
              <w:jc w:val="center"/>
              <w:textAlignment w:val="center"/>
              <w:rPr>
                <w:rFonts w:ascii="宋体" w:hAnsi="宋体"/>
                <w:color w:val="000000"/>
                <w:sz w:val="24"/>
                <w:szCs w:val="24"/>
              </w:rPr>
            </w:pPr>
            <w:r>
              <w:rPr>
                <w:rFonts w:hint="eastAsia" w:ascii="宋体" w:hAnsi="宋体"/>
                <w:color w:val="000000"/>
                <w:kern w:val="0"/>
                <w:sz w:val="24"/>
                <w:szCs w:val="24"/>
                <w:lang w:bidi="ar"/>
              </w:rPr>
              <w:t>上海松江区九亭第四幼儿园</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59" w:type="dxa"/>
          </w:tcPr>
          <w:p>
            <w:pPr>
              <w:spacing w:line="360" w:lineRule="auto"/>
              <w:jc w:val="center"/>
              <w:rPr>
                <w:rFonts w:ascii="宋体" w:hAnsi="宋体"/>
                <w:sz w:val="24"/>
                <w:szCs w:val="24"/>
              </w:rPr>
            </w:pPr>
            <w:r>
              <w:rPr>
                <w:rFonts w:hint="eastAsia" w:ascii="宋体" w:hAnsi="宋体"/>
                <w:sz w:val="24"/>
                <w:szCs w:val="24"/>
              </w:rPr>
              <w:t>1</w:t>
            </w:r>
            <w:r>
              <w:rPr>
                <w:rFonts w:ascii="宋体" w:hAnsi="宋体"/>
                <w:sz w:val="24"/>
                <w:szCs w:val="24"/>
              </w:rPr>
              <w:t>1</w:t>
            </w:r>
          </w:p>
        </w:tc>
        <w:tc>
          <w:tcPr>
            <w:tcW w:w="2410" w:type="dxa"/>
            <w:vAlign w:val="center"/>
          </w:tcPr>
          <w:p>
            <w:pPr>
              <w:widowControl/>
              <w:spacing w:line="360" w:lineRule="auto"/>
              <w:jc w:val="center"/>
              <w:textAlignment w:val="center"/>
              <w:rPr>
                <w:rFonts w:ascii="宋体" w:hAnsi="宋体"/>
                <w:color w:val="000000"/>
                <w:sz w:val="24"/>
                <w:szCs w:val="24"/>
              </w:rPr>
            </w:pPr>
            <w:r>
              <w:rPr>
                <w:rFonts w:hint="eastAsia" w:ascii="宋体" w:hAnsi="宋体"/>
                <w:color w:val="000000"/>
                <w:kern w:val="0"/>
                <w:sz w:val="24"/>
                <w:szCs w:val="24"/>
                <w:lang w:bidi="ar"/>
              </w:rPr>
              <w:t>18学前教育（对口）</w:t>
            </w:r>
          </w:p>
        </w:tc>
        <w:tc>
          <w:tcPr>
            <w:tcW w:w="1559" w:type="dxa"/>
            <w:vAlign w:val="center"/>
          </w:tcPr>
          <w:p>
            <w:pPr>
              <w:widowControl/>
              <w:spacing w:line="360" w:lineRule="auto"/>
              <w:jc w:val="center"/>
              <w:textAlignment w:val="center"/>
              <w:rPr>
                <w:rFonts w:ascii="宋体" w:hAnsi="宋体"/>
                <w:color w:val="000000"/>
                <w:sz w:val="24"/>
                <w:szCs w:val="24"/>
              </w:rPr>
            </w:pPr>
            <w:r>
              <w:rPr>
                <w:rFonts w:hint="eastAsia" w:ascii="宋体" w:hAnsi="宋体"/>
                <w:color w:val="000000"/>
                <w:sz w:val="24"/>
                <w:szCs w:val="24"/>
              </w:rPr>
              <w:t>李瑞</w:t>
            </w:r>
          </w:p>
        </w:tc>
        <w:tc>
          <w:tcPr>
            <w:tcW w:w="3594" w:type="dxa"/>
            <w:vAlign w:val="center"/>
          </w:tcPr>
          <w:p>
            <w:pPr>
              <w:widowControl/>
              <w:spacing w:line="360" w:lineRule="auto"/>
              <w:jc w:val="center"/>
              <w:textAlignment w:val="center"/>
              <w:rPr>
                <w:rFonts w:ascii="宋体" w:hAnsi="宋体"/>
                <w:color w:val="000000"/>
                <w:sz w:val="24"/>
                <w:szCs w:val="24"/>
              </w:rPr>
            </w:pPr>
            <w:r>
              <w:rPr>
                <w:rFonts w:hint="eastAsia" w:ascii="宋体" w:hAnsi="宋体"/>
                <w:color w:val="000000"/>
                <w:kern w:val="0"/>
                <w:sz w:val="24"/>
                <w:szCs w:val="24"/>
                <w:lang w:bidi="ar"/>
              </w:rPr>
              <w:t>上海松江区佘山第三幼儿园</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59" w:type="dxa"/>
          </w:tcPr>
          <w:p>
            <w:pPr>
              <w:spacing w:line="360" w:lineRule="auto"/>
              <w:jc w:val="center"/>
              <w:rPr>
                <w:rFonts w:ascii="宋体" w:hAnsi="宋体"/>
                <w:sz w:val="24"/>
                <w:szCs w:val="24"/>
              </w:rPr>
            </w:pPr>
            <w:r>
              <w:rPr>
                <w:rFonts w:hint="eastAsia" w:ascii="宋体" w:hAnsi="宋体"/>
                <w:sz w:val="24"/>
                <w:szCs w:val="24"/>
              </w:rPr>
              <w:t>1</w:t>
            </w:r>
            <w:r>
              <w:rPr>
                <w:rFonts w:ascii="宋体" w:hAnsi="宋体"/>
                <w:sz w:val="24"/>
                <w:szCs w:val="24"/>
              </w:rPr>
              <w:t>2</w:t>
            </w:r>
          </w:p>
        </w:tc>
        <w:tc>
          <w:tcPr>
            <w:tcW w:w="2410" w:type="dxa"/>
            <w:vAlign w:val="center"/>
          </w:tcPr>
          <w:p>
            <w:pPr>
              <w:widowControl/>
              <w:spacing w:line="360" w:lineRule="auto"/>
              <w:jc w:val="center"/>
              <w:textAlignment w:val="center"/>
              <w:rPr>
                <w:rFonts w:ascii="宋体" w:hAnsi="宋体"/>
                <w:color w:val="000000"/>
                <w:sz w:val="24"/>
                <w:szCs w:val="24"/>
              </w:rPr>
            </w:pPr>
            <w:r>
              <w:rPr>
                <w:rFonts w:hint="eastAsia" w:ascii="宋体" w:hAnsi="宋体"/>
                <w:color w:val="000000"/>
                <w:kern w:val="0"/>
                <w:sz w:val="24"/>
                <w:szCs w:val="24"/>
                <w:lang w:bidi="ar"/>
              </w:rPr>
              <w:t>18学前教育（对口</w:t>
            </w:r>
          </w:p>
        </w:tc>
        <w:tc>
          <w:tcPr>
            <w:tcW w:w="1559" w:type="dxa"/>
            <w:vAlign w:val="center"/>
          </w:tcPr>
          <w:p>
            <w:pPr>
              <w:widowControl/>
              <w:spacing w:line="360" w:lineRule="auto"/>
              <w:jc w:val="center"/>
              <w:textAlignment w:val="center"/>
              <w:rPr>
                <w:rFonts w:ascii="宋体" w:hAnsi="宋体"/>
                <w:color w:val="000000"/>
                <w:sz w:val="24"/>
                <w:szCs w:val="24"/>
              </w:rPr>
            </w:pPr>
            <w:r>
              <w:rPr>
                <w:rFonts w:hint="eastAsia" w:ascii="宋体" w:hAnsi="宋体"/>
                <w:color w:val="000000"/>
                <w:kern w:val="0"/>
                <w:sz w:val="24"/>
                <w:szCs w:val="24"/>
                <w:lang w:bidi="ar"/>
              </w:rPr>
              <w:t>王秉兰</w:t>
            </w:r>
          </w:p>
        </w:tc>
        <w:tc>
          <w:tcPr>
            <w:tcW w:w="3594" w:type="dxa"/>
            <w:vAlign w:val="center"/>
          </w:tcPr>
          <w:p>
            <w:pPr>
              <w:widowControl/>
              <w:spacing w:line="360" w:lineRule="auto"/>
              <w:jc w:val="center"/>
              <w:textAlignment w:val="center"/>
              <w:rPr>
                <w:rFonts w:ascii="宋体" w:hAnsi="宋体"/>
                <w:color w:val="000000"/>
                <w:sz w:val="24"/>
                <w:szCs w:val="24"/>
              </w:rPr>
            </w:pPr>
            <w:r>
              <w:rPr>
                <w:rFonts w:hint="eastAsia" w:ascii="宋体" w:hAnsi="宋体"/>
                <w:color w:val="000000"/>
                <w:kern w:val="0"/>
                <w:sz w:val="24"/>
                <w:szCs w:val="24"/>
                <w:lang w:bidi="ar"/>
              </w:rPr>
              <w:t>上海松江区佘山第三幼儿园</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59" w:type="dxa"/>
          </w:tcPr>
          <w:p>
            <w:pPr>
              <w:spacing w:line="360" w:lineRule="auto"/>
              <w:jc w:val="center"/>
              <w:rPr>
                <w:rFonts w:ascii="宋体" w:hAnsi="宋体"/>
                <w:sz w:val="24"/>
                <w:szCs w:val="24"/>
              </w:rPr>
            </w:pPr>
            <w:r>
              <w:rPr>
                <w:rFonts w:hint="eastAsia" w:ascii="宋体" w:hAnsi="宋体"/>
                <w:sz w:val="24"/>
                <w:szCs w:val="24"/>
              </w:rPr>
              <w:t>1</w:t>
            </w:r>
            <w:r>
              <w:rPr>
                <w:rFonts w:ascii="宋体" w:hAnsi="宋体"/>
                <w:sz w:val="24"/>
                <w:szCs w:val="24"/>
              </w:rPr>
              <w:t>3</w:t>
            </w:r>
          </w:p>
        </w:tc>
        <w:tc>
          <w:tcPr>
            <w:tcW w:w="2410" w:type="dxa"/>
            <w:vAlign w:val="center"/>
          </w:tcPr>
          <w:p>
            <w:pPr>
              <w:widowControl/>
              <w:spacing w:line="360" w:lineRule="auto"/>
              <w:jc w:val="center"/>
              <w:textAlignment w:val="center"/>
              <w:rPr>
                <w:rFonts w:ascii="宋体" w:hAnsi="宋体"/>
                <w:color w:val="000000"/>
                <w:sz w:val="24"/>
                <w:szCs w:val="24"/>
              </w:rPr>
            </w:pPr>
            <w:r>
              <w:rPr>
                <w:rFonts w:hint="eastAsia" w:ascii="宋体" w:hAnsi="宋体"/>
                <w:color w:val="000000"/>
                <w:kern w:val="0"/>
                <w:sz w:val="24"/>
                <w:szCs w:val="24"/>
                <w:lang w:bidi="ar"/>
              </w:rPr>
              <w:t>18学前教育（对口）</w:t>
            </w:r>
          </w:p>
        </w:tc>
        <w:tc>
          <w:tcPr>
            <w:tcW w:w="1559" w:type="dxa"/>
            <w:vAlign w:val="center"/>
          </w:tcPr>
          <w:p>
            <w:pPr>
              <w:widowControl/>
              <w:spacing w:line="360" w:lineRule="auto"/>
              <w:jc w:val="center"/>
              <w:textAlignment w:val="center"/>
              <w:rPr>
                <w:rFonts w:ascii="宋体" w:hAnsi="宋体"/>
                <w:color w:val="000000"/>
                <w:sz w:val="24"/>
                <w:szCs w:val="24"/>
              </w:rPr>
            </w:pPr>
            <w:r>
              <w:rPr>
                <w:rFonts w:hint="eastAsia" w:ascii="宋体" w:hAnsi="宋体"/>
                <w:color w:val="000000"/>
                <w:sz w:val="24"/>
                <w:szCs w:val="24"/>
              </w:rPr>
              <w:t>徐可馨</w:t>
            </w:r>
          </w:p>
        </w:tc>
        <w:tc>
          <w:tcPr>
            <w:tcW w:w="3594" w:type="dxa"/>
            <w:vAlign w:val="center"/>
          </w:tcPr>
          <w:p>
            <w:pPr>
              <w:widowControl/>
              <w:spacing w:line="360" w:lineRule="auto"/>
              <w:jc w:val="center"/>
              <w:textAlignment w:val="center"/>
              <w:rPr>
                <w:rFonts w:ascii="宋体" w:hAnsi="宋体"/>
                <w:color w:val="000000"/>
                <w:sz w:val="24"/>
                <w:szCs w:val="24"/>
              </w:rPr>
            </w:pPr>
            <w:r>
              <w:rPr>
                <w:rFonts w:hint="eastAsia"/>
              </w:rPr>
              <w:t>浙江</w:t>
            </w:r>
            <w:r>
              <w:t>杭州市钱塘区凌云幼儿园</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59" w:type="dxa"/>
          </w:tcPr>
          <w:p>
            <w:pPr>
              <w:spacing w:line="360" w:lineRule="auto"/>
              <w:jc w:val="center"/>
              <w:rPr>
                <w:rFonts w:ascii="宋体" w:hAnsi="宋体"/>
                <w:sz w:val="24"/>
                <w:szCs w:val="24"/>
              </w:rPr>
            </w:pPr>
            <w:r>
              <w:rPr>
                <w:rFonts w:hint="eastAsia" w:ascii="宋体" w:hAnsi="宋体"/>
                <w:sz w:val="24"/>
                <w:szCs w:val="24"/>
              </w:rPr>
              <w:t>1</w:t>
            </w:r>
            <w:r>
              <w:rPr>
                <w:rFonts w:ascii="宋体" w:hAnsi="宋体"/>
                <w:sz w:val="24"/>
                <w:szCs w:val="24"/>
              </w:rPr>
              <w:t>4</w:t>
            </w:r>
          </w:p>
        </w:tc>
        <w:tc>
          <w:tcPr>
            <w:tcW w:w="2410" w:type="dxa"/>
            <w:vAlign w:val="center"/>
          </w:tcPr>
          <w:p>
            <w:pPr>
              <w:widowControl/>
              <w:spacing w:line="360" w:lineRule="auto"/>
              <w:jc w:val="center"/>
              <w:textAlignment w:val="center"/>
              <w:rPr>
                <w:rFonts w:ascii="宋体" w:hAnsi="宋体"/>
                <w:color w:val="000000"/>
                <w:sz w:val="24"/>
                <w:szCs w:val="24"/>
              </w:rPr>
            </w:pPr>
            <w:r>
              <w:rPr>
                <w:rFonts w:hint="eastAsia" w:ascii="宋体" w:hAnsi="宋体"/>
                <w:color w:val="000000"/>
                <w:kern w:val="0"/>
                <w:sz w:val="24"/>
                <w:szCs w:val="24"/>
                <w:lang w:bidi="ar"/>
              </w:rPr>
              <w:t>18学前教育（对口）</w:t>
            </w:r>
          </w:p>
        </w:tc>
        <w:tc>
          <w:tcPr>
            <w:tcW w:w="1559" w:type="dxa"/>
            <w:vAlign w:val="center"/>
          </w:tcPr>
          <w:p>
            <w:pPr>
              <w:widowControl/>
              <w:spacing w:line="360" w:lineRule="auto"/>
              <w:jc w:val="center"/>
              <w:textAlignment w:val="center"/>
              <w:rPr>
                <w:rFonts w:ascii="宋体" w:hAnsi="宋体"/>
                <w:color w:val="000000"/>
                <w:sz w:val="24"/>
                <w:szCs w:val="24"/>
              </w:rPr>
            </w:pPr>
            <w:r>
              <w:rPr>
                <w:rFonts w:hint="eastAsia" w:ascii="宋体" w:hAnsi="宋体"/>
                <w:color w:val="000000"/>
                <w:sz w:val="24"/>
                <w:szCs w:val="24"/>
              </w:rPr>
              <w:t>孙晓婷</w:t>
            </w:r>
          </w:p>
        </w:tc>
        <w:tc>
          <w:tcPr>
            <w:tcW w:w="3594" w:type="dxa"/>
            <w:vAlign w:val="center"/>
          </w:tcPr>
          <w:p>
            <w:pPr>
              <w:widowControl/>
              <w:spacing w:line="360" w:lineRule="auto"/>
              <w:jc w:val="center"/>
              <w:textAlignment w:val="center"/>
              <w:rPr>
                <w:rFonts w:ascii="宋体" w:hAnsi="宋体"/>
                <w:color w:val="000000"/>
                <w:sz w:val="24"/>
                <w:szCs w:val="24"/>
              </w:rPr>
            </w:pPr>
            <w:r>
              <w:rPr>
                <w:rFonts w:hint="eastAsia"/>
              </w:rPr>
              <w:t>浙江</w:t>
            </w:r>
            <w:r>
              <w:t>杭州市钱塘区义和幼儿园</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59" w:type="dxa"/>
          </w:tcPr>
          <w:p>
            <w:pPr>
              <w:spacing w:line="360" w:lineRule="auto"/>
              <w:jc w:val="center"/>
              <w:rPr>
                <w:rFonts w:ascii="宋体" w:hAnsi="宋体"/>
                <w:sz w:val="24"/>
                <w:szCs w:val="24"/>
              </w:rPr>
            </w:pPr>
            <w:r>
              <w:rPr>
                <w:rFonts w:hint="eastAsia" w:ascii="宋体" w:hAnsi="宋体"/>
                <w:sz w:val="24"/>
                <w:szCs w:val="24"/>
              </w:rPr>
              <w:t>1</w:t>
            </w:r>
            <w:r>
              <w:rPr>
                <w:rFonts w:ascii="宋体" w:hAnsi="宋体"/>
                <w:sz w:val="24"/>
                <w:szCs w:val="24"/>
              </w:rPr>
              <w:t>5</w:t>
            </w:r>
          </w:p>
        </w:tc>
        <w:tc>
          <w:tcPr>
            <w:tcW w:w="2410" w:type="dxa"/>
            <w:vAlign w:val="center"/>
          </w:tcPr>
          <w:p>
            <w:pPr>
              <w:widowControl/>
              <w:spacing w:line="360" w:lineRule="auto"/>
              <w:jc w:val="center"/>
              <w:textAlignment w:val="center"/>
              <w:rPr>
                <w:rFonts w:ascii="宋体" w:hAnsi="宋体"/>
                <w:color w:val="000000"/>
                <w:kern w:val="0"/>
                <w:sz w:val="24"/>
                <w:szCs w:val="24"/>
                <w:lang w:bidi="ar"/>
              </w:rPr>
            </w:pPr>
            <w:r>
              <w:rPr>
                <w:rFonts w:hint="eastAsia" w:ascii="宋体" w:hAnsi="宋体"/>
                <w:color w:val="000000"/>
                <w:kern w:val="0"/>
                <w:sz w:val="24"/>
                <w:szCs w:val="24"/>
                <w:lang w:bidi="ar"/>
              </w:rPr>
              <w:t>20学前教育（专升本）</w:t>
            </w:r>
          </w:p>
        </w:tc>
        <w:tc>
          <w:tcPr>
            <w:tcW w:w="1559" w:type="dxa"/>
            <w:vAlign w:val="center"/>
          </w:tcPr>
          <w:p>
            <w:pPr>
              <w:widowControl/>
              <w:spacing w:line="360" w:lineRule="auto"/>
              <w:jc w:val="center"/>
              <w:textAlignment w:val="center"/>
              <w:rPr>
                <w:rFonts w:ascii="宋体" w:hAnsi="宋体"/>
                <w:color w:val="000000"/>
                <w:sz w:val="24"/>
                <w:szCs w:val="24"/>
              </w:rPr>
            </w:pPr>
            <w:r>
              <w:rPr>
                <w:rFonts w:hint="eastAsia" w:ascii="宋体" w:hAnsi="宋体"/>
                <w:color w:val="000000"/>
                <w:sz w:val="24"/>
                <w:szCs w:val="24"/>
              </w:rPr>
              <w:t>刘艳莉</w:t>
            </w:r>
          </w:p>
        </w:tc>
        <w:tc>
          <w:tcPr>
            <w:tcW w:w="3594" w:type="dxa"/>
            <w:vAlign w:val="center"/>
          </w:tcPr>
          <w:p>
            <w:pPr>
              <w:widowControl/>
              <w:spacing w:line="360" w:lineRule="auto"/>
              <w:jc w:val="center"/>
              <w:textAlignment w:val="center"/>
            </w:pPr>
            <w:r>
              <w:rPr>
                <w:rFonts w:ascii="Times New Roman" w:hAnsi="Times New Roman"/>
              </w:rPr>
              <w:t>六安市裕安区平桥乡平安东苑幼儿园</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59" w:type="dxa"/>
          </w:tcPr>
          <w:p>
            <w:pPr>
              <w:spacing w:line="360" w:lineRule="auto"/>
              <w:jc w:val="center"/>
              <w:rPr>
                <w:rFonts w:ascii="宋体" w:hAnsi="宋体"/>
                <w:sz w:val="24"/>
                <w:szCs w:val="24"/>
              </w:rPr>
            </w:pPr>
            <w:r>
              <w:rPr>
                <w:rFonts w:hint="eastAsia" w:ascii="宋体" w:hAnsi="宋体"/>
                <w:sz w:val="24"/>
                <w:szCs w:val="24"/>
              </w:rPr>
              <w:t>1</w:t>
            </w:r>
            <w:r>
              <w:rPr>
                <w:rFonts w:ascii="宋体" w:hAnsi="宋体"/>
                <w:sz w:val="24"/>
                <w:szCs w:val="24"/>
              </w:rPr>
              <w:t>6</w:t>
            </w:r>
          </w:p>
        </w:tc>
        <w:tc>
          <w:tcPr>
            <w:tcW w:w="2410" w:type="dxa"/>
            <w:vAlign w:val="center"/>
          </w:tcPr>
          <w:p>
            <w:pPr>
              <w:widowControl/>
              <w:spacing w:line="360" w:lineRule="auto"/>
              <w:jc w:val="center"/>
              <w:textAlignment w:val="center"/>
              <w:rPr>
                <w:rFonts w:ascii="宋体" w:hAnsi="宋体"/>
                <w:color w:val="000000"/>
                <w:kern w:val="0"/>
                <w:sz w:val="24"/>
                <w:szCs w:val="24"/>
                <w:lang w:bidi="ar"/>
              </w:rPr>
            </w:pPr>
            <w:r>
              <w:rPr>
                <w:rFonts w:hint="eastAsia" w:ascii="宋体" w:hAnsi="宋体"/>
                <w:color w:val="000000"/>
                <w:kern w:val="0"/>
                <w:sz w:val="24"/>
                <w:szCs w:val="24"/>
                <w:lang w:bidi="ar"/>
              </w:rPr>
              <w:t>20学前教育（专升本）</w:t>
            </w:r>
          </w:p>
        </w:tc>
        <w:tc>
          <w:tcPr>
            <w:tcW w:w="1559" w:type="dxa"/>
            <w:vAlign w:val="center"/>
          </w:tcPr>
          <w:p>
            <w:pPr>
              <w:widowControl/>
              <w:spacing w:line="360" w:lineRule="auto"/>
              <w:jc w:val="center"/>
              <w:textAlignment w:val="center"/>
              <w:rPr>
                <w:rFonts w:ascii="宋体" w:hAnsi="宋体"/>
                <w:color w:val="000000"/>
                <w:kern w:val="0"/>
                <w:sz w:val="24"/>
                <w:szCs w:val="24"/>
                <w:lang w:bidi="ar"/>
              </w:rPr>
            </w:pPr>
            <w:r>
              <w:fldChar w:fldCharType="begin"/>
            </w:r>
            <w:r>
              <w:instrText xml:space="preserve"> HYPERLINK "https://hfuu.ahbys.com/Console/Scheme/Graduate/GradModify.aspx?y=2022&amp;p=Q&amp;kind=2&amp;gid=9bb89411-ef0d-4863-9534-54ec916fcb1b&amp;eid=231&amp;pid=&amp;cid=&amp;Audited=&amp;key=" </w:instrText>
            </w:r>
            <w:r>
              <w:fldChar w:fldCharType="separate"/>
            </w:r>
            <w:r>
              <w:rPr>
                <w:rFonts w:hint="eastAsia" w:ascii="宋体" w:hAnsi="宋体"/>
                <w:color w:val="000000"/>
                <w:kern w:val="0"/>
                <w:sz w:val="24"/>
                <w:szCs w:val="24"/>
                <w:lang w:bidi="ar"/>
              </w:rPr>
              <w:t>叶世靓</w:t>
            </w:r>
            <w:r>
              <w:rPr>
                <w:rFonts w:hint="eastAsia" w:ascii="宋体" w:hAnsi="宋体"/>
                <w:color w:val="000000"/>
                <w:kern w:val="0"/>
                <w:sz w:val="24"/>
                <w:szCs w:val="24"/>
                <w:lang w:bidi="ar"/>
              </w:rPr>
              <w:fldChar w:fldCharType="end"/>
            </w:r>
          </w:p>
        </w:tc>
        <w:tc>
          <w:tcPr>
            <w:tcW w:w="3594" w:type="dxa"/>
            <w:vAlign w:val="center"/>
          </w:tcPr>
          <w:p>
            <w:pPr>
              <w:widowControl/>
              <w:spacing w:line="360" w:lineRule="auto"/>
              <w:jc w:val="center"/>
              <w:textAlignment w:val="center"/>
            </w:pPr>
            <w:r>
              <w:rPr>
                <w:rFonts w:hint="eastAsia" w:ascii="宋体" w:hAnsi="宋体"/>
                <w:color w:val="000000"/>
                <w:kern w:val="0"/>
                <w:sz w:val="24"/>
                <w:szCs w:val="24"/>
                <w:lang w:bidi="ar"/>
              </w:rPr>
              <w:t>桐城市同安幼儿教育集团园</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59" w:type="dxa"/>
          </w:tcPr>
          <w:p>
            <w:pPr>
              <w:spacing w:line="360" w:lineRule="auto"/>
              <w:jc w:val="center"/>
              <w:rPr>
                <w:rFonts w:ascii="宋体" w:hAnsi="宋体"/>
                <w:sz w:val="24"/>
                <w:szCs w:val="24"/>
              </w:rPr>
            </w:pPr>
            <w:r>
              <w:rPr>
                <w:rFonts w:hint="eastAsia" w:ascii="宋体" w:hAnsi="宋体"/>
                <w:sz w:val="24"/>
                <w:szCs w:val="24"/>
              </w:rPr>
              <w:t>1</w:t>
            </w:r>
            <w:r>
              <w:rPr>
                <w:rFonts w:ascii="宋体" w:hAnsi="宋体"/>
                <w:sz w:val="24"/>
                <w:szCs w:val="24"/>
              </w:rPr>
              <w:t>7</w:t>
            </w:r>
          </w:p>
        </w:tc>
        <w:tc>
          <w:tcPr>
            <w:tcW w:w="2410" w:type="dxa"/>
            <w:vAlign w:val="center"/>
          </w:tcPr>
          <w:p>
            <w:pPr>
              <w:widowControl/>
              <w:spacing w:line="360" w:lineRule="auto"/>
              <w:jc w:val="center"/>
              <w:textAlignment w:val="center"/>
              <w:rPr>
                <w:rFonts w:ascii="宋体" w:hAnsi="宋体"/>
                <w:color w:val="000000"/>
                <w:kern w:val="0"/>
                <w:sz w:val="24"/>
                <w:szCs w:val="24"/>
                <w:lang w:bidi="ar"/>
              </w:rPr>
            </w:pPr>
            <w:r>
              <w:rPr>
                <w:rFonts w:hint="eastAsia" w:ascii="宋体" w:hAnsi="宋体"/>
                <w:color w:val="000000"/>
                <w:kern w:val="0"/>
                <w:sz w:val="24"/>
                <w:szCs w:val="24"/>
                <w:lang w:bidi="ar"/>
              </w:rPr>
              <w:t>20学前教育（专升本）</w:t>
            </w:r>
          </w:p>
        </w:tc>
        <w:tc>
          <w:tcPr>
            <w:tcW w:w="1559" w:type="dxa"/>
            <w:vAlign w:val="center"/>
          </w:tcPr>
          <w:p>
            <w:pPr>
              <w:widowControl/>
              <w:spacing w:line="360" w:lineRule="auto"/>
              <w:jc w:val="center"/>
              <w:textAlignment w:val="center"/>
              <w:rPr>
                <w:rFonts w:ascii="宋体" w:hAnsi="宋体"/>
                <w:color w:val="000000"/>
                <w:kern w:val="0"/>
                <w:sz w:val="24"/>
                <w:szCs w:val="24"/>
                <w:lang w:bidi="ar"/>
              </w:rPr>
            </w:pPr>
            <w:r>
              <w:fldChar w:fldCharType="begin"/>
            </w:r>
            <w:r>
              <w:instrText xml:space="preserve"> HYPERLINK "https://hfuu.ahbys.com/Console/Scheme/Graduate/GradModify.aspx?y=2022&amp;p=Q&amp;kind=2&amp;gid=9c4dafcc-6884-40b0-97ea-cdae970ecf60&amp;eid=231&amp;pid=&amp;cid=&amp;Audited=&amp;key=" </w:instrText>
            </w:r>
            <w:r>
              <w:fldChar w:fldCharType="separate"/>
            </w:r>
            <w:r>
              <w:rPr>
                <w:rFonts w:hint="eastAsia" w:ascii="宋体" w:hAnsi="宋体"/>
                <w:color w:val="000000"/>
                <w:kern w:val="0"/>
                <w:sz w:val="24"/>
                <w:szCs w:val="24"/>
                <w:lang w:bidi="ar"/>
              </w:rPr>
              <w:t>李雨晴</w:t>
            </w:r>
            <w:r>
              <w:rPr>
                <w:rFonts w:hint="eastAsia" w:ascii="宋体" w:hAnsi="宋体"/>
                <w:color w:val="000000"/>
                <w:kern w:val="0"/>
                <w:sz w:val="24"/>
                <w:szCs w:val="24"/>
                <w:lang w:bidi="ar"/>
              </w:rPr>
              <w:fldChar w:fldCharType="end"/>
            </w:r>
          </w:p>
        </w:tc>
        <w:tc>
          <w:tcPr>
            <w:tcW w:w="3594" w:type="dxa"/>
            <w:vAlign w:val="center"/>
          </w:tcPr>
          <w:p>
            <w:pPr>
              <w:widowControl/>
              <w:spacing w:line="360" w:lineRule="auto"/>
              <w:jc w:val="center"/>
              <w:textAlignment w:val="center"/>
            </w:pPr>
            <w:r>
              <w:rPr>
                <w:rFonts w:hint="eastAsia"/>
              </w:rPr>
              <w:t>蚌埠行知幼儿园</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59" w:type="dxa"/>
          </w:tcPr>
          <w:p>
            <w:pPr>
              <w:spacing w:line="360" w:lineRule="auto"/>
              <w:jc w:val="center"/>
              <w:rPr>
                <w:rFonts w:ascii="宋体" w:hAnsi="宋体"/>
                <w:sz w:val="24"/>
                <w:szCs w:val="24"/>
              </w:rPr>
            </w:pPr>
            <w:r>
              <w:rPr>
                <w:rFonts w:ascii="宋体" w:hAnsi="宋体"/>
                <w:sz w:val="24"/>
                <w:szCs w:val="24"/>
              </w:rPr>
              <w:t>1</w:t>
            </w:r>
            <w:r>
              <w:rPr>
                <w:rFonts w:hint="eastAsia" w:ascii="宋体" w:hAnsi="宋体"/>
                <w:sz w:val="24"/>
                <w:szCs w:val="24"/>
              </w:rPr>
              <w:t>8</w:t>
            </w:r>
          </w:p>
        </w:tc>
        <w:tc>
          <w:tcPr>
            <w:tcW w:w="2410" w:type="dxa"/>
            <w:vAlign w:val="center"/>
          </w:tcPr>
          <w:p>
            <w:pPr>
              <w:widowControl/>
              <w:spacing w:line="360" w:lineRule="auto"/>
              <w:jc w:val="center"/>
              <w:textAlignment w:val="center"/>
              <w:rPr>
                <w:rFonts w:ascii="宋体" w:hAnsi="宋体"/>
                <w:color w:val="000000"/>
                <w:kern w:val="0"/>
                <w:sz w:val="24"/>
                <w:szCs w:val="24"/>
                <w:lang w:bidi="ar"/>
              </w:rPr>
            </w:pPr>
            <w:r>
              <w:rPr>
                <w:rFonts w:hint="eastAsia" w:ascii="宋体" w:hAnsi="宋体"/>
                <w:color w:val="000000"/>
                <w:kern w:val="0"/>
                <w:sz w:val="24"/>
                <w:szCs w:val="24"/>
                <w:lang w:bidi="ar"/>
              </w:rPr>
              <w:t>20学前教育（专升本）</w:t>
            </w:r>
          </w:p>
        </w:tc>
        <w:tc>
          <w:tcPr>
            <w:tcW w:w="1559" w:type="dxa"/>
            <w:vAlign w:val="center"/>
          </w:tcPr>
          <w:p>
            <w:pPr>
              <w:widowControl/>
              <w:spacing w:line="360" w:lineRule="auto"/>
              <w:jc w:val="center"/>
              <w:textAlignment w:val="center"/>
              <w:rPr>
                <w:rFonts w:ascii="宋体" w:hAnsi="宋体"/>
                <w:color w:val="000000"/>
                <w:kern w:val="0"/>
                <w:sz w:val="24"/>
                <w:szCs w:val="24"/>
                <w:lang w:bidi="ar"/>
              </w:rPr>
            </w:pPr>
            <w:r>
              <w:fldChar w:fldCharType="begin"/>
            </w:r>
            <w:r>
              <w:instrText xml:space="preserve"> HYPERLINK "https://hfuu.ahbys.com/Console/Scheme/Graduate/GradModify.aspx?y=2022&amp;p=Q&amp;kind=2&amp;gid=d7432379-4dd8-46c8-94fe-3d540b0b1698&amp;eid=231&amp;pid=&amp;cid=&amp;Audited=&amp;key=" </w:instrText>
            </w:r>
            <w:r>
              <w:fldChar w:fldCharType="separate"/>
            </w:r>
            <w:r>
              <w:rPr>
                <w:rFonts w:hint="eastAsia" w:ascii="宋体" w:hAnsi="宋体"/>
                <w:color w:val="000000"/>
                <w:kern w:val="0"/>
                <w:sz w:val="24"/>
                <w:szCs w:val="24"/>
                <w:lang w:bidi="ar"/>
              </w:rPr>
              <w:t>汪冰冰</w:t>
            </w:r>
            <w:r>
              <w:rPr>
                <w:rFonts w:hint="eastAsia" w:ascii="宋体" w:hAnsi="宋体"/>
                <w:color w:val="000000"/>
                <w:kern w:val="0"/>
                <w:sz w:val="24"/>
                <w:szCs w:val="24"/>
                <w:lang w:bidi="ar"/>
              </w:rPr>
              <w:fldChar w:fldCharType="end"/>
            </w:r>
          </w:p>
        </w:tc>
        <w:tc>
          <w:tcPr>
            <w:tcW w:w="3594" w:type="dxa"/>
            <w:vAlign w:val="center"/>
          </w:tcPr>
          <w:p>
            <w:pPr>
              <w:widowControl/>
              <w:spacing w:line="360" w:lineRule="auto"/>
              <w:jc w:val="center"/>
              <w:textAlignment w:val="center"/>
            </w:pPr>
            <w:r>
              <w:rPr>
                <w:rFonts w:hint="eastAsia" w:ascii="宋体" w:hAnsi="宋体"/>
                <w:color w:val="000000"/>
                <w:kern w:val="0"/>
                <w:sz w:val="24"/>
                <w:szCs w:val="24"/>
                <w:lang w:bidi="ar"/>
              </w:rPr>
              <w:t>舒城县城关第三幼儿园</w:t>
            </w:r>
          </w:p>
        </w:tc>
      </w:tr>
    </w:tbl>
    <w:p>
      <w:pPr>
        <w:spacing w:line="360" w:lineRule="auto"/>
        <w:rPr>
          <w:rFonts w:ascii="宋体" w:hAnsi="宋体"/>
          <w:sz w:val="24"/>
          <w:szCs w:val="24"/>
        </w:rPr>
      </w:pPr>
    </w:p>
    <w:p>
      <w:pPr>
        <w:spacing w:line="360" w:lineRule="auto"/>
        <w:ind w:firstLine="482" w:firstLineChars="200"/>
        <w:rPr>
          <w:rFonts w:ascii="宋体" w:hAnsi="宋体"/>
          <w:b/>
          <w:sz w:val="24"/>
          <w:szCs w:val="24"/>
        </w:rPr>
      </w:pPr>
      <w:r>
        <w:rPr>
          <w:rFonts w:hint="eastAsia" w:ascii="宋体" w:hAnsi="宋体"/>
          <w:b/>
          <w:sz w:val="24"/>
          <w:szCs w:val="24"/>
        </w:rPr>
        <w:t>二、毕业生就业去向</w:t>
      </w:r>
    </w:p>
    <w:p>
      <w:pPr>
        <w:spacing w:line="360" w:lineRule="auto"/>
        <w:ind w:firstLine="482" w:firstLineChars="200"/>
        <w:rPr>
          <w:rFonts w:ascii="宋体" w:hAnsi="宋体"/>
          <w:b/>
          <w:sz w:val="24"/>
          <w:szCs w:val="24"/>
        </w:rPr>
      </w:pPr>
      <w:r>
        <w:rPr>
          <w:rFonts w:hint="eastAsia" w:ascii="宋体" w:hAnsi="宋体"/>
          <w:b/>
          <w:sz w:val="24"/>
          <w:szCs w:val="24"/>
        </w:rPr>
        <w:t>（1）就业区域分析</w:t>
      </w:r>
    </w:p>
    <w:p>
      <w:pPr>
        <w:spacing w:line="360" w:lineRule="auto"/>
        <w:ind w:firstLine="480" w:firstLineChars="200"/>
        <w:rPr>
          <w:rFonts w:ascii="宋体" w:hAnsi="宋体"/>
          <w:sz w:val="24"/>
          <w:szCs w:val="24"/>
        </w:rPr>
      </w:pPr>
      <w:r>
        <w:rPr>
          <w:rFonts w:hint="eastAsia" w:ascii="宋体" w:hAnsi="宋体"/>
          <w:sz w:val="24"/>
          <w:szCs w:val="24"/>
        </w:rPr>
        <w:t>从就业地区看，我院</w:t>
      </w:r>
      <w:r>
        <w:rPr>
          <w:rFonts w:ascii="宋体" w:hAnsi="宋体"/>
          <w:sz w:val="24"/>
          <w:szCs w:val="24"/>
        </w:rPr>
        <w:t>2022</w:t>
      </w:r>
      <w:r>
        <w:rPr>
          <w:rFonts w:hint="eastAsia" w:ascii="宋体" w:hAnsi="宋体"/>
          <w:sz w:val="24"/>
          <w:szCs w:val="24"/>
        </w:rPr>
        <w:t>届毕业生就业区域以安徽省内为主，16</w:t>
      </w:r>
      <w:r>
        <w:rPr>
          <w:rFonts w:ascii="宋体" w:hAnsi="宋体"/>
          <w:sz w:val="24"/>
          <w:szCs w:val="24"/>
        </w:rPr>
        <w:t>4</w:t>
      </w:r>
      <w:r>
        <w:rPr>
          <w:rFonts w:hint="eastAsia" w:ascii="宋体" w:hAnsi="宋体"/>
          <w:sz w:val="24"/>
          <w:szCs w:val="24"/>
        </w:rPr>
        <w:t>人在省内就业，留皖率为8</w:t>
      </w:r>
      <w:r>
        <w:rPr>
          <w:rFonts w:ascii="宋体" w:hAnsi="宋体"/>
          <w:sz w:val="24"/>
          <w:szCs w:val="24"/>
        </w:rPr>
        <w:t>5.26</w:t>
      </w:r>
      <w:r>
        <w:rPr>
          <w:rFonts w:hint="eastAsia" w:ascii="宋体" w:hAnsi="宋体"/>
          <w:sz w:val="24"/>
          <w:szCs w:val="24"/>
        </w:rPr>
        <w:t>%，这体现了我校“应用型、地方性”的办学定位，为安徽省人才需求提供了有力的支撑。其中，在合肥市就业人数最为集中，有12</w:t>
      </w:r>
      <w:r>
        <w:rPr>
          <w:rFonts w:ascii="宋体" w:hAnsi="宋体"/>
          <w:sz w:val="24"/>
          <w:szCs w:val="24"/>
        </w:rPr>
        <w:t>5</w:t>
      </w:r>
      <w:r>
        <w:rPr>
          <w:rFonts w:hint="eastAsia" w:ascii="宋体" w:hAnsi="宋体"/>
          <w:sz w:val="24"/>
          <w:szCs w:val="24"/>
        </w:rPr>
        <w:t>人，留肥率为</w:t>
      </w:r>
      <w:r>
        <w:rPr>
          <w:rFonts w:ascii="宋体" w:hAnsi="宋体"/>
          <w:sz w:val="24"/>
          <w:szCs w:val="24"/>
        </w:rPr>
        <w:t>65.79</w:t>
      </w:r>
      <w:r>
        <w:rPr>
          <w:rFonts w:hint="eastAsia" w:ascii="宋体" w:hAnsi="宋体"/>
          <w:sz w:val="24"/>
          <w:szCs w:val="24"/>
        </w:rPr>
        <w:t>%。其中省内就业城市中，蚌埠市1人，淮南市2人，铜陵市1人，安庆市</w:t>
      </w:r>
      <w:r>
        <w:rPr>
          <w:rFonts w:ascii="宋体" w:hAnsi="宋体"/>
          <w:sz w:val="24"/>
          <w:szCs w:val="24"/>
        </w:rPr>
        <w:t>3</w:t>
      </w:r>
      <w:r>
        <w:rPr>
          <w:rFonts w:hint="eastAsia" w:ascii="宋体" w:hAnsi="宋体"/>
          <w:sz w:val="24"/>
          <w:szCs w:val="24"/>
        </w:rPr>
        <w:t>人，滁州市</w:t>
      </w:r>
      <w:r>
        <w:rPr>
          <w:rFonts w:ascii="宋体" w:hAnsi="宋体"/>
          <w:sz w:val="24"/>
          <w:szCs w:val="24"/>
        </w:rPr>
        <w:t>4</w:t>
      </w:r>
      <w:r>
        <w:rPr>
          <w:rFonts w:hint="eastAsia" w:ascii="宋体" w:hAnsi="宋体"/>
          <w:sz w:val="24"/>
          <w:szCs w:val="24"/>
        </w:rPr>
        <w:t>人，阜阳市8人，宿州市1人，六安市</w:t>
      </w:r>
      <w:r>
        <w:rPr>
          <w:rFonts w:ascii="宋体" w:hAnsi="宋体"/>
          <w:sz w:val="24"/>
          <w:szCs w:val="24"/>
        </w:rPr>
        <w:t>7</w:t>
      </w:r>
      <w:r>
        <w:rPr>
          <w:rFonts w:hint="eastAsia" w:ascii="宋体" w:hAnsi="宋体"/>
          <w:sz w:val="24"/>
          <w:szCs w:val="24"/>
        </w:rPr>
        <w:t>人，亳州市5人，宣城市</w:t>
      </w:r>
      <w:r>
        <w:rPr>
          <w:rFonts w:ascii="宋体" w:hAnsi="宋体"/>
          <w:sz w:val="24"/>
          <w:szCs w:val="24"/>
        </w:rPr>
        <w:t>3</w:t>
      </w:r>
      <w:r>
        <w:rPr>
          <w:rFonts w:hint="eastAsia" w:ascii="宋体" w:hAnsi="宋体"/>
          <w:sz w:val="24"/>
          <w:szCs w:val="24"/>
        </w:rPr>
        <w:t>人，马鞍山市</w:t>
      </w:r>
      <w:r>
        <w:rPr>
          <w:rFonts w:ascii="宋体" w:hAnsi="宋体"/>
          <w:sz w:val="24"/>
          <w:szCs w:val="24"/>
        </w:rPr>
        <w:t>4</w:t>
      </w:r>
      <w:r>
        <w:rPr>
          <w:rFonts w:hint="eastAsia" w:ascii="宋体" w:hAnsi="宋体"/>
          <w:sz w:val="24"/>
          <w:szCs w:val="24"/>
        </w:rPr>
        <w:t>人。</w:t>
      </w:r>
    </w:p>
    <w:p>
      <w:pPr>
        <w:spacing w:line="360" w:lineRule="auto"/>
        <w:jc w:val="center"/>
        <w:rPr>
          <w:rFonts w:ascii="宋体" w:hAnsi="宋体"/>
          <w:b/>
          <w:color w:val="000000"/>
          <w:kern w:val="0"/>
          <w:szCs w:val="21"/>
        </w:rPr>
      </w:pPr>
      <w:r>
        <w:rPr>
          <w:rFonts w:hint="eastAsia" w:ascii="宋体" w:hAnsi="宋体"/>
          <w:b/>
          <w:color w:val="000000"/>
          <w:kern w:val="0"/>
          <w:szCs w:val="21"/>
        </w:rPr>
        <w:t>表</w:t>
      </w:r>
      <w:r>
        <w:rPr>
          <w:rFonts w:ascii="宋体" w:hAnsi="宋体"/>
          <w:b/>
          <w:color w:val="000000"/>
          <w:kern w:val="0"/>
          <w:szCs w:val="21"/>
        </w:rPr>
        <w:t>6</w:t>
      </w:r>
      <w:r>
        <w:rPr>
          <w:rFonts w:hint="eastAsia" w:ascii="宋体" w:hAnsi="宋体"/>
          <w:b/>
          <w:color w:val="000000"/>
          <w:kern w:val="0"/>
          <w:szCs w:val="21"/>
        </w:rPr>
        <w:t>：省内就业分布</w:t>
      </w:r>
    </w:p>
    <w:p>
      <w:pPr>
        <w:spacing w:line="360" w:lineRule="auto"/>
        <w:jc w:val="center"/>
        <w:rPr>
          <w:rFonts w:ascii="宋体" w:hAnsi="宋体"/>
          <w:sz w:val="24"/>
          <w:szCs w:val="24"/>
        </w:rPr>
      </w:pPr>
      <w:r>
        <w:rPr>
          <w:rFonts w:ascii="宋体" w:hAnsi="宋体"/>
          <w:sz w:val="24"/>
          <w:szCs w:val="24"/>
        </w:rPr>
        <w:drawing>
          <wp:inline distT="0" distB="0" distL="0" distR="0">
            <wp:extent cx="4476750" cy="2333625"/>
            <wp:effectExtent l="5080" t="4445" r="4445" b="5080"/>
            <wp:docPr id="24" name="图表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pPr>
        <w:spacing w:line="360" w:lineRule="auto"/>
        <w:ind w:firstLine="480" w:firstLineChars="200"/>
        <w:rPr>
          <w:rFonts w:ascii="宋体" w:hAnsi="宋体"/>
          <w:sz w:val="24"/>
          <w:szCs w:val="24"/>
        </w:rPr>
      </w:pPr>
      <w:r>
        <w:rPr>
          <w:rFonts w:hint="eastAsia" w:ascii="宋体" w:hAnsi="宋体"/>
          <w:sz w:val="24"/>
          <w:szCs w:val="24"/>
        </w:rPr>
        <w:t>此外，有3</w:t>
      </w:r>
      <w:r>
        <w:rPr>
          <w:rFonts w:ascii="宋体" w:hAnsi="宋体"/>
          <w:sz w:val="24"/>
          <w:szCs w:val="24"/>
        </w:rPr>
        <w:t>4</w:t>
      </w:r>
      <w:r>
        <w:rPr>
          <w:rFonts w:hint="eastAsia" w:ascii="宋体" w:hAnsi="宋体"/>
          <w:sz w:val="24"/>
          <w:szCs w:val="24"/>
        </w:rPr>
        <w:t>人在省外就业，主要分布在江苏9人，上海8人，浙江7人，海南2人，广东2人，湖南</w:t>
      </w:r>
      <w:r>
        <w:rPr>
          <w:rFonts w:ascii="宋体" w:hAnsi="宋体"/>
          <w:sz w:val="24"/>
          <w:szCs w:val="24"/>
        </w:rPr>
        <w:t>2</w:t>
      </w:r>
      <w:r>
        <w:rPr>
          <w:rFonts w:hint="eastAsia" w:ascii="宋体" w:hAnsi="宋体"/>
          <w:sz w:val="24"/>
          <w:szCs w:val="24"/>
        </w:rPr>
        <w:t>人，广西1人，河南1人，黑龙江1人，山东1人。</w:t>
      </w:r>
    </w:p>
    <w:p>
      <w:pPr>
        <w:spacing w:line="360" w:lineRule="auto"/>
        <w:jc w:val="center"/>
        <w:rPr>
          <w:rFonts w:ascii="宋体" w:hAnsi="宋体"/>
          <w:b/>
          <w:color w:val="000000"/>
          <w:kern w:val="0"/>
          <w:szCs w:val="21"/>
        </w:rPr>
      </w:pPr>
      <w:r>
        <w:rPr>
          <w:rFonts w:hint="eastAsia" w:ascii="宋体" w:hAnsi="宋体"/>
          <w:b/>
          <w:color w:val="000000"/>
          <w:kern w:val="0"/>
          <w:szCs w:val="21"/>
        </w:rPr>
        <w:t>表</w:t>
      </w:r>
      <w:r>
        <w:rPr>
          <w:rFonts w:ascii="宋体" w:hAnsi="宋体"/>
          <w:b/>
          <w:color w:val="000000"/>
          <w:kern w:val="0"/>
          <w:szCs w:val="21"/>
        </w:rPr>
        <w:t>7</w:t>
      </w:r>
      <w:r>
        <w:rPr>
          <w:rFonts w:hint="eastAsia" w:ascii="宋体" w:hAnsi="宋体"/>
          <w:b/>
          <w:color w:val="000000"/>
          <w:kern w:val="0"/>
          <w:szCs w:val="21"/>
        </w:rPr>
        <w:t>：省外就业分布</w:t>
      </w:r>
    </w:p>
    <w:p>
      <w:pPr>
        <w:spacing w:line="360" w:lineRule="auto"/>
        <w:jc w:val="center"/>
        <w:rPr>
          <w:rFonts w:ascii="宋体" w:hAnsi="宋体"/>
          <w:sz w:val="24"/>
          <w:szCs w:val="24"/>
        </w:rPr>
      </w:pPr>
      <w:r>
        <w:rPr>
          <w:rFonts w:hint="eastAsia" w:ascii="宋体" w:hAnsi="宋体"/>
          <w:sz w:val="24"/>
          <w:szCs w:val="24"/>
        </w:rPr>
        <w:drawing>
          <wp:inline distT="0" distB="0" distL="0" distR="0">
            <wp:extent cx="4419600" cy="2505075"/>
            <wp:effectExtent l="4445" t="4445" r="5080" b="5080"/>
            <wp:docPr id="25" name="图表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pPr>
        <w:spacing w:line="360" w:lineRule="auto"/>
        <w:rPr>
          <w:rFonts w:ascii="宋体" w:hAnsi="宋体"/>
          <w:b/>
          <w:sz w:val="24"/>
          <w:szCs w:val="24"/>
        </w:rPr>
      </w:pPr>
      <w:r>
        <w:rPr>
          <w:rFonts w:hint="eastAsia" w:ascii="宋体" w:hAnsi="宋体"/>
          <w:b/>
          <w:sz w:val="24"/>
          <w:szCs w:val="24"/>
        </w:rPr>
        <w:t>　　（2）就业单位性质分析</w:t>
      </w:r>
    </w:p>
    <w:p>
      <w:pPr>
        <w:spacing w:line="360" w:lineRule="auto"/>
        <w:ind w:firstLine="480" w:firstLineChars="200"/>
        <w:rPr>
          <w:rFonts w:ascii="宋体" w:hAnsi="宋体"/>
          <w:sz w:val="24"/>
          <w:szCs w:val="24"/>
        </w:rPr>
      </w:pPr>
      <w:r>
        <w:rPr>
          <w:rFonts w:hint="eastAsia" w:ascii="宋体" w:hAnsi="宋体"/>
          <w:sz w:val="24"/>
          <w:szCs w:val="24"/>
        </w:rPr>
        <w:t>我院2</w:t>
      </w:r>
      <w:r>
        <w:rPr>
          <w:rFonts w:ascii="宋体" w:hAnsi="宋体"/>
          <w:sz w:val="24"/>
          <w:szCs w:val="24"/>
        </w:rPr>
        <w:t>022</w:t>
      </w:r>
      <w:r>
        <w:rPr>
          <w:rFonts w:hint="eastAsia" w:ascii="宋体" w:hAnsi="宋体"/>
          <w:sz w:val="24"/>
          <w:szCs w:val="24"/>
        </w:rPr>
        <w:t>届毕业生就业单位的性质主要有中初等教育单位、机关、国有企业、其他事业单位、其他企业。其中在中初教育单位有5</w:t>
      </w:r>
      <w:r>
        <w:rPr>
          <w:rFonts w:ascii="宋体" w:hAnsi="宋体"/>
          <w:sz w:val="24"/>
          <w:szCs w:val="24"/>
        </w:rPr>
        <w:t>2</w:t>
      </w:r>
      <w:r>
        <w:rPr>
          <w:rFonts w:hint="eastAsia" w:ascii="宋体" w:hAnsi="宋体"/>
          <w:sz w:val="24"/>
          <w:szCs w:val="24"/>
        </w:rPr>
        <w:t>人，所占比例较大，这也符合我院的专业性质；在其他事业单位有2</w:t>
      </w:r>
      <w:r>
        <w:rPr>
          <w:rFonts w:ascii="宋体" w:hAnsi="宋体"/>
          <w:sz w:val="24"/>
          <w:szCs w:val="24"/>
        </w:rPr>
        <w:t>7</w:t>
      </w:r>
      <w:r>
        <w:rPr>
          <w:rFonts w:hint="eastAsia" w:ascii="宋体" w:hAnsi="宋体"/>
          <w:sz w:val="24"/>
          <w:szCs w:val="24"/>
        </w:rPr>
        <w:t>人；在其他企业有10</w:t>
      </w:r>
      <w:r>
        <w:rPr>
          <w:rFonts w:ascii="宋体" w:hAnsi="宋体"/>
          <w:sz w:val="24"/>
          <w:szCs w:val="24"/>
        </w:rPr>
        <w:t>4</w:t>
      </w:r>
      <w:r>
        <w:rPr>
          <w:rFonts w:hint="eastAsia" w:ascii="宋体" w:hAnsi="宋体"/>
          <w:sz w:val="24"/>
          <w:szCs w:val="24"/>
        </w:rPr>
        <w:t>人；在国有企业3人；在机关有</w:t>
      </w:r>
      <w:r>
        <w:rPr>
          <w:rFonts w:ascii="宋体" w:hAnsi="宋体"/>
          <w:sz w:val="24"/>
          <w:szCs w:val="24"/>
        </w:rPr>
        <w:t>3</w:t>
      </w:r>
      <w:r>
        <w:rPr>
          <w:rFonts w:hint="eastAsia" w:ascii="宋体" w:hAnsi="宋体"/>
          <w:sz w:val="24"/>
          <w:szCs w:val="24"/>
        </w:rPr>
        <w:t xml:space="preserve">人。 </w:t>
      </w:r>
    </w:p>
    <w:p>
      <w:pPr>
        <w:spacing w:line="360" w:lineRule="auto"/>
        <w:jc w:val="center"/>
        <w:rPr>
          <w:rFonts w:ascii="宋体" w:hAnsi="宋体"/>
          <w:sz w:val="24"/>
          <w:szCs w:val="24"/>
        </w:rPr>
      </w:pPr>
      <w:r>
        <w:rPr>
          <w:rFonts w:hint="eastAsia" w:ascii="宋体" w:hAnsi="宋体"/>
          <w:b/>
          <w:color w:val="000000"/>
          <w:kern w:val="0"/>
          <w:szCs w:val="21"/>
        </w:rPr>
        <w:t>表</w:t>
      </w:r>
      <w:r>
        <w:rPr>
          <w:rFonts w:ascii="宋体" w:hAnsi="宋体"/>
          <w:b/>
          <w:color w:val="000000"/>
          <w:kern w:val="0"/>
          <w:szCs w:val="21"/>
        </w:rPr>
        <w:t>8</w:t>
      </w:r>
      <w:r>
        <w:rPr>
          <w:rFonts w:hint="eastAsia" w:ascii="宋体" w:hAnsi="宋体"/>
          <w:b/>
          <w:color w:val="000000"/>
          <w:kern w:val="0"/>
          <w:szCs w:val="21"/>
        </w:rPr>
        <w:t>：就业单位性质分布</w:t>
      </w:r>
    </w:p>
    <w:p>
      <w:pPr>
        <w:spacing w:line="360" w:lineRule="auto"/>
        <w:jc w:val="center"/>
        <w:rPr>
          <w:rFonts w:ascii="宋体" w:hAnsi="宋体"/>
          <w:sz w:val="24"/>
          <w:szCs w:val="24"/>
        </w:rPr>
      </w:pPr>
      <w:r>
        <w:rPr>
          <w:rFonts w:ascii="宋体" w:hAnsi="宋体"/>
          <w:sz w:val="24"/>
          <w:szCs w:val="24"/>
        </w:rPr>
        <w:drawing>
          <wp:inline distT="0" distB="0" distL="0" distR="0">
            <wp:extent cx="4514850" cy="2324100"/>
            <wp:effectExtent l="4445" t="4445" r="5080" b="5080"/>
            <wp:docPr id="26" name="图表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pPr>
        <w:spacing w:line="360" w:lineRule="auto"/>
        <w:ind w:firstLine="482" w:firstLineChars="200"/>
        <w:rPr>
          <w:rFonts w:ascii="宋体" w:hAnsi="宋体"/>
          <w:b/>
          <w:bCs/>
          <w:sz w:val="24"/>
          <w:szCs w:val="24"/>
        </w:rPr>
      </w:pPr>
      <w:r>
        <w:rPr>
          <w:rFonts w:hint="eastAsia" w:ascii="宋体" w:hAnsi="宋体"/>
          <w:b/>
          <w:bCs/>
          <w:sz w:val="24"/>
          <w:szCs w:val="24"/>
        </w:rPr>
        <w:t>（3）就业单位行业分析</w:t>
      </w:r>
    </w:p>
    <w:p>
      <w:pPr>
        <w:spacing w:line="360" w:lineRule="auto"/>
        <w:ind w:firstLine="480" w:firstLineChars="200"/>
        <w:rPr>
          <w:rFonts w:ascii="宋体" w:hAnsi="宋体"/>
          <w:bCs/>
          <w:sz w:val="24"/>
          <w:szCs w:val="24"/>
        </w:rPr>
      </w:pPr>
      <w:r>
        <w:rPr>
          <w:rFonts w:ascii="宋体" w:hAnsi="宋体"/>
          <w:bCs/>
          <w:sz w:val="24"/>
          <w:szCs w:val="24"/>
        </w:rPr>
        <w:t>今年我院就业单位行业中，房地产业有1人；公共管理、社会保障和社会组织有4人；建筑业有</w:t>
      </w:r>
      <w:r>
        <w:rPr>
          <w:rFonts w:hint="eastAsia" w:ascii="宋体" w:hAnsi="宋体"/>
          <w:bCs/>
          <w:sz w:val="24"/>
          <w:szCs w:val="24"/>
        </w:rPr>
        <w:t>1</w:t>
      </w:r>
      <w:r>
        <w:rPr>
          <w:rFonts w:ascii="宋体" w:hAnsi="宋体"/>
          <w:bCs/>
          <w:sz w:val="24"/>
          <w:szCs w:val="24"/>
        </w:rPr>
        <w:t>人；交通运输、仓储和邮政业有</w:t>
      </w:r>
      <w:r>
        <w:rPr>
          <w:rFonts w:hint="eastAsia" w:ascii="宋体" w:hAnsi="宋体"/>
          <w:bCs/>
          <w:sz w:val="24"/>
          <w:szCs w:val="24"/>
        </w:rPr>
        <w:t>1</w:t>
      </w:r>
      <w:r>
        <w:rPr>
          <w:rFonts w:ascii="宋体" w:hAnsi="宋体"/>
          <w:bCs/>
          <w:sz w:val="24"/>
          <w:szCs w:val="24"/>
        </w:rPr>
        <w:t>人；教育有144人；居民服务、修理和其他服务业有</w:t>
      </w:r>
      <w:r>
        <w:rPr>
          <w:rFonts w:hint="eastAsia" w:ascii="宋体" w:hAnsi="宋体"/>
          <w:bCs/>
          <w:sz w:val="24"/>
          <w:szCs w:val="24"/>
        </w:rPr>
        <w:t>1</w:t>
      </w:r>
      <w:r>
        <w:rPr>
          <w:rFonts w:ascii="宋体" w:hAnsi="宋体"/>
          <w:bCs/>
          <w:sz w:val="24"/>
          <w:szCs w:val="24"/>
        </w:rPr>
        <w:t>人；科学技术和技术服务业有5人；批发和零售业有5人；卫生和社会工作有</w:t>
      </w:r>
      <w:r>
        <w:rPr>
          <w:rFonts w:hint="eastAsia" w:ascii="宋体" w:hAnsi="宋体"/>
          <w:bCs/>
          <w:sz w:val="24"/>
          <w:szCs w:val="24"/>
        </w:rPr>
        <w:t>4</w:t>
      </w:r>
      <w:r>
        <w:rPr>
          <w:rFonts w:ascii="宋体" w:hAnsi="宋体"/>
          <w:bCs/>
          <w:sz w:val="24"/>
          <w:szCs w:val="24"/>
        </w:rPr>
        <w:t>人；文化、体育和娱乐业有</w:t>
      </w:r>
      <w:r>
        <w:rPr>
          <w:rFonts w:hint="eastAsia" w:ascii="宋体" w:hAnsi="宋体"/>
          <w:bCs/>
          <w:sz w:val="24"/>
          <w:szCs w:val="24"/>
        </w:rPr>
        <w:t>1</w:t>
      </w:r>
      <w:r>
        <w:rPr>
          <w:rFonts w:ascii="宋体" w:hAnsi="宋体"/>
          <w:bCs/>
          <w:sz w:val="24"/>
          <w:szCs w:val="24"/>
        </w:rPr>
        <w:t>5人；信息传输、软件和信息有</w:t>
      </w:r>
      <w:r>
        <w:rPr>
          <w:rFonts w:hint="eastAsia" w:ascii="宋体" w:hAnsi="宋体"/>
          <w:bCs/>
          <w:sz w:val="24"/>
          <w:szCs w:val="24"/>
        </w:rPr>
        <w:t>5</w:t>
      </w:r>
      <w:r>
        <w:rPr>
          <w:rFonts w:ascii="宋体" w:hAnsi="宋体"/>
          <w:bCs/>
          <w:sz w:val="24"/>
          <w:szCs w:val="24"/>
        </w:rPr>
        <w:t>人；制造业有3人；租赁和商务服务业有</w:t>
      </w:r>
      <w:r>
        <w:rPr>
          <w:rFonts w:hint="eastAsia" w:ascii="宋体" w:hAnsi="宋体"/>
          <w:bCs/>
          <w:sz w:val="24"/>
          <w:szCs w:val="24"/>
        </w:rPr>
        <w:t>1</w:t>
      </w:r>
      <w:r>
        <w:rPr>
          <w:rFonts w:ascii="宋体" w:hAnsi="宋体"/>
          <w:bCs/>
          <w:sz w:val="24"/>
          <w:szCs w:val="24"/>
        </w:rPr>
        <w:t>人。</w:t>
      </w:r>
    </w:p>
    <w:p>
      <w:pPr>
        <w:spacing w:line="360" w:lineRule="auto"/>
        <w:jc w:val="center"/>
        <w:rPr>
          <w:rFonts w:ascii="宋体" w:hAnsi="宋体"/>
          <w:sz w:val="24"/>
          <w:szCs w:val="24"/>
        </w:rPr>
      </w:pPr>
      <w:r>
        <w:rPr>
          <w:rFonts w:hint="eastAsia" w:ascii="宋体" w:hAnsi="宋体"/>
          <w:b/>
          <w:color w:val="000000"/>
          <w:kern w:val="0"/>
          <w:szCs w:val="21"/>
        </w:rPr>
        <w:t>表</w:t>
      </w:r>
      <w:r>
        <w:rPr>
          <w:rFonts w:ascii="宋体" w:hAnsi="宋体"/>
          <w:b/>
          <w:color w:val="000000"/>
          <w:kern w:val="0"/>
          <w:szCs w:val="21"/>
        </w:rPr>
        <w:t>9</w:t>
      </w:r>
      <w:r>
        <w:rPr>
          <w:rFonts w:hint="eastAsia" w:ascii="宋体" w:hAnsi="宋体"/>
          <w:b/>
          <w:color w:val="000000"/>
          <w:kern w:val="0"/>
          <w:szCs w:val="21"/>
        </w:rPr>
        <w:t>：就业单位行业分布</w:t>
      </w:r>
    </w:p>
    <w:p>
      <w:pPr>
        <w:spacing w:line="360" w:lineRule="auto"/>
        <w:jc w:val="center"/>
        <w:rPr>
          <w:rFonts w:ascii="宋体" w:hAnsi="宋体"/>
          <w:bCs/>
          <w:sz w:val="24"/>
          <w:szCs w:val="24"/>
        </w:rPr>
      </w:pPr>
      <w:r>
        <w:rPr>
          <w:rFonts w:ascii="宋体" w:hAnsi="宋体"/>
          <w:bCs/>
          <w:sz w:val="24"/>
          <w:szCs w:val="24"/>
        </w:rPr>
        <w:drawing>
          <wp:inline distT="0" distB="0" distL="0" distR="0">
            <wp:extent cx="4645660" cy="2524125"/>
            <wp:effectExtent l="4445" t="4445" r="7620" b="5080"/>
            <wp:docPr id="27" name="图表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pPr>
        <w:spacing w:line="360" w:lineRule="auto"/>
        <w:ind w:firstLine="482" w:firstLineChars="200"/>
        <w:rPr>
          <w:rFonts w:ascii="宋体" w:hAnsi="宋体"/>
          <w:b/>
          <w:bCs/>
          <w:sz w:val="24"/>
          <w:szCs w:val="24"/>
        </w:rPr>
      </w:pPr>
      <w:r>
        <w:rPr>
          <w:rFonts w:hint="eastAsia" w:ascii="宋体" w:hAnsi="宋体"/>
          <w:b/>
          <w:bCs/>
          <w:sz w:val="24"/>
          <w:szCs w:val="24"/>
        </w:rPr>
        <w:t>（4）就业职位类别分析</w:t>
      </w:r>
    </w:p>
    <w:p>
      <w:pPr>
        <w:spacing w:line="360" w:lineRule="auto"/>
        <w:ind w:firstLine="480" w:firstLineChars="200"/>
        <w:rPr>
          <w:rFonts w:ascii="宋体" w:hAnsi="宋体"/>
          <w:sz w:val="24"/>
          <w:szCs w:val="24"/>
        </w:rPr>
      </w:pPr>
      <w:r>
        <w:rPr>
          <w:rFonts w:hint="eastAsia" w:ascii="宋体" w:hAnsi="宋体"/>
          <w:sz w:val="24"/>
          <w:szCs w:val="24"/>
        </w:rPr>
        <w:t>我院今年毕业生就业职位类别主要有办事人员和有关人员、教学人员、金融业务人员、科学研究人员、其他人员、其他专业技术人员、商业和服务业人员、体育工作人员、文学艺术工作人员。其中，教学人员所占比例最高，有1</w:t>
      </w:r>
      <w:r>
        <w:rPr>
          <w:rFonts w:ascii="宋体" w:hAnsi="宋体"/>
          <w:sz w:val="24"/>
          <w:szCs w:val="24"/>
        </w:rPr>
        <w:t>31</w:t>
      </w:r>
      <w:r>
        <w:rPr>
          <w:rFonts w:hint="eastAsia" w:ascii="宋体" w:hAnsi="宋体"/>
          <w:sz w:val="24"/>
          <w:szCs w:val="24"/>
        </w:rPr>
        <w:t>人，符合我们的专业性质；办事人员和有关人员有3</w:t>
      </w:r>
      <w:r>
        <w:rPr>
          <w:rFonts w:ascii="宋体" w:hAnsi="宋体"/>
          <w:sz w:val="24"/>
          <w:szCs w:val="24"/>
        </w:rPr>
        <w:t>6</w:t>
      </w:r>
      <w:r>
        <w:rPr>
          <w:rFonts w:hint="eastAsia" w:ascii="宋体" w:hAnsi="宋体"/>
          <w:sz w:val="24"/>
          <w:szCs w:val="24"/>
        </w:rPr>
        <w:t>人；金融专业人员有1人；科学研究人员有1人；其他人员4人；其他专业技术人员有3人；商业和服务业人员有</w:t>
      </w:r>
      <w:r>
        <w:rPr>
          <w:rFonts w:ascii="宋体" w:hAnsi="宋体"/>
          <w:sz w:val="24"/>
          <w:szCs w:val="24"/>
        </w:rPr>
        <w:t>7</w:t>
      </w:r>
      <w:r>
        <w:rPr>
          <w:rFonts w:hint="eastAsia" w:ascii="宋体" w:hAnsi="宋体"/>
          <w:sz w:val="24"/>
          <w:szCs w:val="24"/>
        </w:rPr>
        <w:t>人；体育工作人员有1人；文学艺术工作人员有7人。</w:t>
      </w:r>
    </w:p>
    <w:p>
      <w:pPr>
        <w:spacing w:line="360" w:lineRule="auto"/>
        <w:jc w:val="center"/>
        <w:rPr>
          <w:rFonts w:ascii="宋体" w:hAnsi="宋体"/>
          <w:b/>
          <w:color w:val="000000"/>
          <w:kern w:val="0"/>
          <w:szCs w:val="21"/>
        </w:rPr>
      </w:pPr>
      <w:r>
        <w:rPr>
          <w:rFonts w:hint="eastAsia" w:ascii="宋体" w:hAnsi="宋体"/>
          <w:b/>
          <w:color w:val="000000"/>
          <w:kern w:val="0"/>
          <w:szCs w:val="21"/>
        </w:rPr>
        <w:t>表</w:t>
      </w:r>
      <w:r>
        <w:rPr>
          <w:rFonts w:ascii="宋体" w:hAnsi="宋体"/>
          <w:b/>
          <w:color w:val="000000"/>
          <w:kern w:val="0"/>
          <w:szCs w:val="21"/>
        </w:rPr>
        <w:t>10</w:t>
      </w:r>
      <w:r>
        <w:rPr>
          <w:rFonts w:hint="eastAsia" w:ascii="宋体" w:hAnsi="宋体"/>
          <w:b/>
          <w:color w:val="000000"/>
          <w:kern w:val="0"/>
          <w:szCs w:val="21"/>
        </w:rPr>
        <w:t>：就业职位类别分布</w:t>
      </w:r>
    </w:p>
    <w:p>
      <w:pPr>
        <w:spacing w:line="360" w:lineRule="auto"/>
        <w:jc w:val="center"/>
        <w:rPr>
          <w:rFonts w:ascii="宋体" w:hAnsi="宋体"/>
          <w:sz w:val="24"/>
          <w:szCs w:val="24"/>
        </w:rPr>
      </w:pPr>
      <w:r>
        <w:rPr>
          <w:rFonts w:hint="eastAsia" w:ascii="宋体" w:hAnsi="宋体"/>
          <w:sz w:val="24"/>
          <w:szCs w:val="24"/>
        </w:rPr>
        <w:drawing>
          <wp:inline distT="0" distB="0" distL="0" distR="0">
            <wp:extent cx="4962525" cy="2314575"/>
            <wp:effectExtent l="5080" t="4445" r="4445" b="5080"/>
            <wp:docPr id="29" name="图表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pPr>
        <w:spacing w:line="360" w:lineRule="auto"/>
        <w:rPr>
          <w:rFonts w:ascii="宋体" w:hAnsi="宋体"/>
          <w:sz w:val="24"/>
          <w:szCs w:val="24"/>
        </w:rPr>
      </w:pPr>
    </w:p>
    <w:p>
      <w:pPr>
        <w:spacing w:line="360" w:lineRule="auto"/>
        <w:jc w:val="center"/>
        <w:rPr>
          <w:rFonts w:ascii="宋体" w:hAnsi="宋体"/>
          <w:b/>
          <w:sz w:val="24"/>
          <w:szCs w:val="24"/>
        </w:rPr>
      </w:pPr>
      <w:r>
        <w:rPr>
          <w:rFonts w:hint="eastAsia" w:ascii="宋体" w:hAnsi="宋体"/>
          <w:b/>
          <w:sz w:val="24"/>
          <w:szCs w:val="24"/>
        </w:rPr>
        <w:t>第三部分  教育学院市场需求调查情况</w:t>
      </w:r>
    </w:p>
    <w:p>
      <w:pPr>
        <w:spacing w:line="360" w:lineRule="auto"/>
        <w:ind w:firstLine="480" w:firstLineChars="200"/>
        <w:rPr>
          <w:rFonts w:ascii="宋体" w:hAnsi="宋体"/>
          <w:sz w:val="24"/>
          <w:szCs w:val="24"/>
        </w:rPr>
      </w:pPr>
      <w:r>
        <w:rPr>
          <w:rFonts w:ascii="宋体" w:hAnsi="宋体"/>
          <w:sz w:val="24"/>
          <w:szCs w:val="24"/>
        </w:rPr>
        <w:t>为了充分了解我</w:t>
      </w:r>
      <w:r>
        <w:rPr>
          <w:rFonts w:hint="eastAsia" w:ascii="宋体" w:hAnsi="宋体"/>
          <w:sz w:val="24"/>
          <w:szCs w:val="24"/>
        </w:rPr>
        <w:t>院</w:t>
      </w:r>
      <w:r>
        <w:rPr>
          <w:rFonts w:ascii="宋体" w:hAnsi="宋体"/>
          <w:sz w:val="24"/>
          <w:szCs w:val="24"/>
        </w:rPr>
        <w:t>应届毕业生就业市场的供求状况，更广泛地搜集毕业生需求信息，为毕业生就业开辟新的就业渠道</w:t>
      </w:r>
      <w:r>
        <w:rPr>
          <w:rFonts w:hint="eastAsia" w:ascii="宋体" w:hAnsi="宋体"/>
          <w:sz w:val="24"/>
          <w:szCs w:val="24"/>
        </w:rPr>
        <w:t>，20</w:t>
      </w:r>
      <w:r>
        <w:rPr>
          <w:rFonts w:ascii="宋体" w:hAnsi="宋体"/>
          <w:sz w:val="24"/>
          <w:szCs w:val="24"/>
        </w:rPr>
        <w:t>22</w:t>
      </w:r>
      <w:r>
        <w:rPr>
          <w:rFonts w:hint="eastAsia" w:ascii="宋体" w:hAnsi="宋体"/>
          <w:sz w:val="24"/>
          <w:szCs w:val="24"/>
        </w:rPr>
        <w:t>年，教育学院先后到霍山文峰学校、金寨县金江实验学校等</w:t>
      </w:r>
      <w:r>
        <w:rPr>
          <w:rFonts w:ascii="宋体" w:hAnsi="宋体"/>
          <w:sz w:val="24"/>
          <w:szCs w:val="24"/>
        </w:rPr>
        <w:t>进行毕业生就业市场</w:t>
      </w:r>
      <w:r>
        <w:rPr>
          <w:rFonts w:hint="eastAsia" w:ascii="宋体" w:hAnsi="宋体"/>
          <w:sz w:val="24"/>
          <w:szCs w:val="24"/>
        </w:rPr>
        <w:t>调研，与在其中工作的毕业生和相关教师进行交谈，了解教育学院毕业生发展情况和现在市场需求。</w:t>
      </w:r>
    </w:p>
    <w:p>
      <w:pPr>
        <w:spacing w:line="360" w:lineRule="auto"/>
        <w:ind w:firstLine="480" w:firstLineChars="200"/>
        <w:jc w:val="center"/>
        <w:rPr>
          <w:rFonts w:ascii="宋体" w:hAnsi="宋体"/>
          <w:sz w:val="24"/>
          <w:szCs w:val="24"/>
        </w:rPr>
      </w:pPr>
      <w:r>
        <w:rPr>
          <w:rFonts w:ascii="宋体" w:hAnsi="宋体"/>
          <w:sz w:val="24"/>
          <w:szCs w:val="24"/>
        </w:rPr>
        <w:drawing>
          <wp:inline distT="0" distB="0" distL="0" distR="0">
            <wp:extent cx="3253740" cy="2476500"/>
            <wp:effectExtent l="0" t="0" r="3810" b="0"/>
            <wp:docPr id="30" name="图片 30" descr="C:\Users\Administrator\Desktop\ea23a1b5-9e54-4e28-824e-0d83c78a4d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C:\Users\Administrator\Desktop\ea23a1b5-9e54-4e28-824e-0d83c78a4d23.jpg"/>
                    <pic:cNvPicPr>
                      <a:picLocks noChangeAspect="1" noChangeArrowheads="1"/>
                    </pic:cNvPicPr>
                  </pic:nvPicPr>
                  <pic:blipFill>
                    <a:blip r:embed="rId101">
                      <a:extLst>
                        <a:ext uri="{28A0092B-C50C-407E-A947-70E740481C1C}">
                          <a14:useLocalDpi xmlns:a14="http://schemas.microsoft.com/office/drawing/2010/main" val="0"/>
                        </a:ext>
                      </a:extLst>
                    </a:blip>
                    <a:srcRect t="17609" b="18318"/>
                    <a:stretch>
                      <a:fillRect/>
                    </a:stretch>
                  </pic:blipFill>
                  <pic:spPr>
                    <a:xfrm>
                      <a:off x="0" y="0"/>
                      <a:ext cx="3312021" cy="2520523"/>
                    </a:xfrm>
                    <a:prstGeom prst="rect">
                      <a:avLst/>
                    </a:prstGeom>
                    <a:noFill/>
                    <a:ln>
                      <a:noFill/>
                    </a:ln>
                  </pic:spPr>
                </pic:pic>
              </a:graphicData>
            </a:graphic>
          </wp:inline>
        </w:drawing>
      </w:r>
    </w:p>
    <w:p>
      <w:pPr>
        <w:spacing w:line="360" w:lineRule="auto"/>
        <w:ind w:firstLine="480" w:firstLineChars="200"/>
        <w:rPr>
          <w:rFonts w:ascii="宋体" w:hAnsi="宋体"/>
          <w:sz w:val="24"/>
          <w:szCs w:val="24"/>
        </w:rPr>
      </w:pPr>
      <w:r>
        <w:rPr>
          <w:rFonts w:hint="eastAsia" w:ascii="宋体" w:hAnsi="宋体"/>
          <w:sz w:val="24"/>
          <w:szCs w:val="24"/>
        </w:rPr>
        <w:t>在调研的过程中，我们了解到省内对教师有一定需求。同时还掌握了用人单位对我院毕业生的总体评价，听取对有关教育、管理和专业结构、课程设置以及人才培养模式等有价值的建议，为进一步做好毕业生就业工作打下了良好的基础</w:t>
      </w:r>
      <w:r>
        <w:rPr>
          <w:rFonts w:ascii="宋体" w:hAnsi="宋体"/>
          <w:sz w:val="24"/>
          <w:szCs w:val="24"/>
        </w:rPr>
        <w:t xml:space="preserve">。 </w:t>
      </w:r>
    </w:p>
    <w:p>
      <w:pPr>
        <w:spacing w:line="360" w:lineRule="auto"/>
        <w:ind w:firstLine="480" w:firstLineChars="200"/>
        <w:rPr>
          <w:rFonts w:ascii="宋体" w:hAnsi="宋体"/>
          <w:sz w:val="24"/>
          <w:szCs w:val="24"/>
        </w:rPr>
      </w:pPr>
      <w:r>
        <w:rPr>
          <w:rFonts w:hint="eastAsia" w:ascii="宋体" w:hAnsi="宋体"/>
          <w:sz w:val="24"/>
          <w:szCs w:val="24"/>
        </w:rPr>
        <w:t>同时结合调研情况，我们也对202</w:t>
      </w:r>
      <w:r>
        <w:rPr>
          <w:rFonts w:ascii="宋体" w:hAnsi="宋体"/>
          <w:sz w:val="24"/>
          <w:szCs w:val="24"/>
        </w:rPr>
        <w:t>2</w:t>
      </w:r>
      <w:r>
        <w:rPr>
          <w:rFonts w:hint="eastAsia" w:ascii="宋体" w:hAnsi="宋体"/>
          <w:sz w:val="24"/>
          <w:szCs w:val="24"/>
        </w:rPr>
        <w:t>年就业市场的特点进行了分析总结：</w:t>
      </w:r>
    </w:p>
    <w:p>
      <w:pPr>
        <w:spacing w:line="360" w:lineRule="auto"/>
        <w:ind w:firstLine="482" w:firstLineChars="200"/>
        <w:rPr>
          <w:rFonts w:ascii="宋体" w:hAnsi="宋体"/>
          <w:b/>
          <w:sz w:val="24"/>
          <w:szCs w:val="24"/>
        </w:rPr>
      </w:pPr>
      <w:r>
        <w:rPr>
          <w:rFonts w:hint="eastAsia" w:ascii="宋体" w:hAnsi="宋体"/>
          <w:b/>
          <w:sz w:val="24"/>
          <w:szCs w:val="24"/>
        </w:rPr>
        <w:t>1、202</w:t>
      </w:r>
      <w:r>
        <w:rPr>
          <w:rFonts w:ascii="宋体" w:hAnsi="宋体"/>
          <w:b/>
          <w:sz w:val="24"/>
          <w:szCs w:val="24"/>
        </w:rPr>
        <w:t>2</w:t>
      </w:r>
      <w:r>
        <w:rPr>
          <w:rFonts w:hint="eastAsia" w:ascii="宋体" w:hAnsi="宋体"/>
          <w:b/>
          <w:sz w:val="24"/>
          <w:szCs w:val="24"/>
        </w:rPr>
        <w:t>年就业需求特点</w:t>
      </w:r>
    </w:p>
    <w:p>
      <w:pPr>
        <w:spacing w:line="360" w:lineRule="auto"/>
        <w:ind w:firstLine="480" w:firstLineChars="200"/>
        <w:rPr>
          <w:rFonts w:ascii="宋体" w:hAnsi="宋体"/>
          <w:sz w:val="24"/>
          <w:szCs w:val="24"/>
        </w:rPr>
      </w:pPr>
      <w:r>
        <w:rPr>
          <w:rFonts w:ascii="宋体" w:hAnsi="宋体"/>
          <w:sz w:val="24"/>
          <w:szCs w:val="24"/>
        </w:rPr>
        <w:t>新冠肺炎疫情对我国经济社会发展和生产生活秩序</w:t>
      </w:r>
      <w:r>
        <w:rPr>
          <w:rFonts w:hint="eastAsia" w:ascii="宋体" w:hAnsi="宋体"/>
          <w:sz w:val="24"/>
          <w:szCs w:val="24"/>
        </w:rPr>
        <w:t>的影响依旧持续</w:t>
      </w:r>
      <w:r>
        <w:rPr>
          <w:rFonts w:ascii="宋体" w:hAnsi="宋体"/>
          <w:sz w:val="24"/>
          <w:szCs w:val="24"/>
        </w:rPr>
        <w:t>，疫情对大学生就业的影响具有滞后性与持久性，</w:t>
      </w:r>
      <w:r>
        <w:rPr>
          <w:rFonts w:hint="eastAsia" w:ascii="宋体" w:hAnsi="宋体"/>
          <w:sz w:val="24"/>
          <w:szCs w:val="24"/>
        </w:rPr>
        <w:t>导致</w:t>
      </w:r>
      <w:r>
        <w:rPr>
          <w:rFonts w:ascii="宋体" w:hAnsi="宋体"/>
          <w:sz w:val="24"/>
          <w:szCs w:val="24"/>
        </w:rPr>
        <w:t>2022届高校毕业生本就严峻的就业形势雪上加霜</w:t>
      </w:r>
      <w:r>
        <w:rPr>
          <w:rFonts w:hint="eastAsia" w:ascii="宋体" w:hAnsi="宋体"/>
          <w:sz w:val="24"/>
          <w:szCs w:val="24"/>
        </w:rPr>
        <w:t>，同时由于今年的教师编制特别是合肥市的编制相对减少。但挑战中蕴含着机遇，由于疫情原因催生了很多线上教学和新兴的网上授课形式</w:t>
      </w:r>
      <w:r>
        <w:rPr>
          <w:rFonts w:ascii="宋体" w:hAnsi="宋体"/>
          <w:sz w:val="24"/>
          <w:szCs w:val="24"/>
        </w:rPr>
        <w:t>，很多学校采用直播、录播、慕课、视频会议、专属定制（SPOC）等多种网络教学模式，</w:t>
      </w:r>
      <w:r>
        <w:rPr>
          <w:rFonts w:hint="eastAsia" w:ascii="宋体" w:hAnsi="宋体"/>
          <w:sz w:val="24"/>
          <w:szCs w:val="24"/>
        </w:rPr>
        <w:t>在某种程度上促进了</w:t>
      </w:r>
      <w:r>
        <w:rPr>
          <w:rFonts w:ascii="宋体" w:hAnsi="宋体"/>
          <w:sz w:val="24"/>
          <w:szCs w:val="24"/>
        </w:rPr>
        <w:t>教育行业</w:t>
      </w:r>
      <w:r>
        <w:rPr>
          <w:rFonts w:hint="eastAsia" w:ascii="宋体" w:hAnsi="宋体"/>
          <w:sz w:val="24"/>
          <w:szCs w:val="24"/>
        </w:rPr>
        <w:t>的创新和发展。</w:t>
      </w:r>
    </w:p>
    <w:p>
      <w:pPr>
        <w:spacing w:line="360" w:lineRule="auto"/>
        <w:ind w:firstLine="482" w:firstLineChars="200"/>
        <w:rPr>
          <w:rFonts w:ascii="宋体" w:hAnsi="宋体"/>
          <w:b/>
          <w:sz w:val="24"/>
          <w:szCs w:val="24"/>
        </w:rPr>
      </w:pPr>
      <w:r>
        <w:rPr>
          <w:rFonts w:hint="eastAsia" w:ascii="宋体" w:hAnsi="宋体"/>
          <w:b/>
          <w:sz w:val="24"/>
          <w:szCs w:val="24"/>
        </w:rPr>
        <w:t>2、各地教师考编时间不统一</w:t>
      </w:r>
    </w:p>
    <w:p>
      <w:pPr>
        <w:spacing w:line="360" w:lineRule="auto"/>
        <w:ind w:firstLine="480" w:firstLineChars="200"/>
        <w:rPr>
          <w:rFonts w:ascii="宋体" w:hAnsi="宋体"/>
          <w:sz w:val="24"/>
          <w:szCs w:val="24"/>
        </w:rPr>
      </w:pPr>
      <w:r>
        <w:rPr>
          <w:rFonts w:hint="eastAsia" w:ascii="宋体" w:hAnsi="宋体"/>
          <w:sz w:val="24"/>
          <w:szCs w:val="24"/>
        </w:rPr>
        <w:t>目前，教师的考编不是全国统一考试，而是各地依据自身情况和需求自行确定时间。江浙沪一带的考编时间在上一年的1</w:t>
      </w:r>
      <w:r>
        <w:rPr>
          <w:rFonts w:ascii="宋体" w:hAnsi="宋体"/>
          <w:sz w:val="24"/>
          <w:szCs w:val="24"/>
        </w:rPr>
        <w:t>1</w:t>
      </w:r>
      <w:r>
        <w:rPr>
          <w:rFonts w:hint="eastAsia" w:ascii="宋体" w:hAnsi="宋体"/>
          <w:sz w:val="24"/>
          <w:szCs w:val="24"/>
        </w:rPr>
        <w:t>-</w:t>
      </w:r>
      <w:r>
        <w:rPr>
          <w:rFonts w:ascii="宋体" w:hAnsi="宋体"/>
          <w:sz w:val="24"/>
          <w:szCs w:val="24"/>
        </w:rPr>
        <w:t>3</w:t>
      </w:r>
      <w:r>
        <w:rPr>
          <w:rFonts w:hint="eastAsia" w:ascii="宋体" w:hAnsi="宋体"/>
          <w:sz w:val="24"/>
          <w:szCs w:val="24"/>
        </w:rPr>
        <w:t>月份左右，安徽的考编时间在7月份左右。这样虽然有利于学生错开各地考编的时间，但是也使得我院的就业工作具有滞后性的特点。</w:t>
      </w:r>
    </w:p>
    <w:p>
      <w:pPr>
        <w:spacing w:line="360" w:lineRule="auto"/>
        <w:ind w:firstLine="482" w:firstLineChars="200"/>
        <w:rPr>
          <w:rFonts w:ascii="宋体" w:hAnsi="宋体"/>
          <w:b/>
          <w:sz w:val="24"/>
          <w:szCs w:val="24"/>
        </w:rPr>
      </w:pPr>
      <w:r>
        <w:rPr>
          <w:rFonts w:hint="eastAsia" w:ascii="宋体" w:hAnsi="宋体"/>
          <w:b/>
          <w:sz w:val="24"/>
          <w:szCs w:val="24"/>
        </w:rPr>
        <w:t>3、对就业工作的思考</w:t>
      </w:r>
    </w:p>
    <w:p>
      <w:pPr>
        <w:spacing w:line="360" w:lineRule="auto"/>
        <w:ind w:firstLine="480" w:firstLineChars="200"/>
        <w:rPr>
          <w:rFonts w:ascii="宋体" w:hAnsi="宋体"/>
          <w:sz w:val="24"/>
          <w:szCs w:val="24"/>
        </w:rPr>
      </w:pPr>
      <w:r>
        <w:rPr>
          <w:rFonts w:ascii="宋体" w:hAnsi="宋体"/>
          <w:sz w:val="24"/>
          <w:szCs w:val="24"/>
        </w:rPr>
        <w:t>结合</w:t>
      </w:r>
      <w:r>
        <w:rPr>
          <w:rFonts w:hint="eastAsia" w:ascii="宋体" w:hAnsi="宋体"/>
          <w:sz w:val="24"/>
          <w:szCs w:val="24"/>
        </w:rPr>
        <w:t>以往</w:t>
      </w:r>
      <w:r>
        <w:rPr>
          <w:rFonts w:ascii="宋体" w:hAnsi="宋体"/>
          <w:sz w:val="24"/>
          <w:szCs w:val="24"/>
        </w:rPr>
        <w:t>调研</w:t>
      </w:r>
      <w:r>
        <w:rPr>
          <w:rFonts w:hint="eastAsia" w:ascii="宋体" w:hAnsi="宋体"/>
          <w:sz w:val="24"/>
          <w:szCs w:val="24"/>
        </w:rPr>
        <w:t>的经验和今年对有关就业单位的回访</w:t>
      </w:r>
      <w:r>
        <w:rPr>
          <w:rFonts w:ascii="宋体" w:hAnsi="宋体"/>
          <w:sz w:val="24"/>
          <w:szCs w:val="24"/>
        </w:rPr>
        <w:t>，</w:t>
      </w:r>
      <w:r>
        <w:rPr>
          <w:rFonts w:hint="eastAsia" w:ascii="宋体" w:hAnsi="宋体"/>
          <w:sz w:val="24"/>
          <w:szCs w:val="24"/>
        </w:rPr>
        <w:t>对</w:t>
      </w:r>
      <w:r>
        <w:rPr>
          <w:rFonts w:ascii="宋体" w:hAnsi="宋体"/>
          <w:sz w:val="24"/>
          <w:szCs w:val="24"/>
        </w:rPr>
        <w:t>就业指导工作</w:t>
      </w:r>
      <w:r>
        <w:rPr>
          <w:rFonts w:hint="eastAsia" w:ascii="宋体" w:hAnsi="宋体"/>
          <w:sz w:val="24"/>
          <w:szCs w:val="24"/>
        </w:rPr>
        <w:t>做以下</w:t>
      </w:r>
      <w:r>
        <w:rPr>
          <w:rFonts w:ascii="宋体" w:hAnsi="宋体"/>
          <w:sz w:val="24"/>
          <w:szCs w:val="24"/>
        </w:rPr>
        <w:t>思考：</w:t>
      </w:r>
    </w:p>
    <w:p>
      <w:pPr>
        <w:spacing w:line="360" w:lineRule="auto"/>
        <w:ind w:firstLine="482" w:firstLineChars="200"/>
        <w:rPr>
          <w:rFonts w:ascii="宋体" w:hAnsi="宋体"/>
          <w:b/>
          <w:sz w:val="24"/>
          <w:szCs w:val="24"/>
        </w:rPr>
      </w:pPr>
      <w:r>
        <w:rPr>
          <w:rFonts w:hint="eastAsia" w:ascii="宋体" w:hAnsi="宋体"/>
          <w:b/>
          <w:sz w:val="24"/>
          <w:szCs w:val="24"/>
        </w:rPr>
        <w:t>（1）注重知识能力，更重综合素质</w:t>
      </w:r>
    </w:p>
    <w:p>
      <w:pPr>
        <w:spacing w:line="360" w:lineRule="auto"/>
        <w:ind w:firstLine="480" w:firstLineChars="200"/>
        <w:rPr>
          <w:rFonts w:ascii="宋体" w:hAnsi="宋体"/>
          <w:sz w:val="24"/>
          <w:szCs w:val="24"/>
        </w:rPr>
      </w:pPr>
      <w:r>
        <w:rPr>
          <w:rFonts w:hint="eastAsia" w:ascii="宋体" w:hAnsi="宋体"/>
          <w:sz w:val="24"/>
          <w:szCs w:val="24"/>
        </w:rPr>
        <w:t>对于教育学院的学生，我们更加注重学生的知识能力，与此同时，我们要注意学生的综合素质能力。比如学前专业的钢琴即兴伴奏等，我院学生对于此类型技能的把握不够；小学教育专业的学生们对于上课进行的实践较少，更缺乏一些专业的教室供学生使用；应用心理学专业的学生更多选择从事企业和事业单位相关工作，而对于自身专业知识的运用则有所欠缺，所以我们对于这方面以后也要更加重视。</w:t>
      </w:r>
    </w:p>
    <w:p>
      <w:pPr>
        <w:spacing w:line="360" w:lineRule="auto"/>
        <w:ind w:firstLine="482" w:firstLineChars="200"/>
        <w:rPr>
          <w:rFonts w:ascii="宋体" w:hAnsi="宋体"/>
          <w:b/>
          <w:sz w:val="24"/>
          <w:szCs w:val="24"/>
        </w:rPr>
      </w:pPr>
      <w:r>
        <w:rPr>
          <w:rFonts w:hint="eastAsia" w:ascii="宋体" w:hAnsi="宋体"/>
          <w:b/>
          <w:sz w:val="24"/>
          <w:szCs w:val="24"/>
        </w:rPr>
        <w:t>（2）加强与人才市场的交流与沟通</w:t>
      </w:r>
    </w:p>
    <w:p>
      <w:pPr>
        <w:spacing w:line="360" w:lineRule="auto"/>
        <w:ind w:firstLine="480" w:firstLineChars="200"/>
        <w:rPr>
          <w:rFonts w:ascii="宋体" w:hAnsi="宋体"/>
          <w:sz w:val="24"/>
          <w:szCs w:val="24"/>
        </w:rPr>
      </w:pPr>
      <w:r>
        <w:rPr>
          <w:rFonts w:ascii="宋体" w:hAnsi="宋体"/>
          <w:sz w:val="24"/>
          <w:szCs w:val="24"/>
        </w:rPr>
        <w:t>发挥人才市场在毕业生就业过程中的牵线搭桥作用，加强与人才市场信息的交流与沟通。人才市场面向各类用人单位和各类人才提供全方位、多样化系统性的专业化人才服务，可为毕业生提供就业指导、就业推荐、就业（接收和落户）手续办理，还可为未就业的毕业生提供单纯保管档案服务和代理招聘服务。</w:t>
      </w:r>
      <w:r>
        <w:rPr>
          <w:rFonts w:hint="eastAsia" w:ascii="宋体" w:hAnsi="宋体"/>
          <w:sz w:val="24"/>
          <w:szCs w:val="24"/>
        </w:rPr>
        <w:t>所以，要重视每一次的招聘会和专场宣讲会，询问相关企业对于人才的需求和能力的要求，进行有针对性地训练。</w:t>
      </w:r>
    </w:p>
    <w:p>
      <w:pPr>
        <w:spacing w:line="360" w:lineRule="auto"/>
        <w:ind w:firstLine="482" w:firstLineChars="200"/>
        <w:rPr>
          <w:rFonts w:ascii="宋体" w:hAnsi="宋体"/>
          <w:b/>
          <w:sz w:val="24"/>
          <w:szCs w:val="24"/>
        </w:rPr>
      </w:pPr>
      <w:r>
        <w:rPr>
          <w:rFonts w:hint="eastAsia" w:ascii="宋体" w:hAnsi="宋体"/>
          <w:b/>
          <w:sz w:val="24"/>
          <w:szCs w:val="24"/>
        </w:rPr>
        <w:t>（3）树立正确的求职观和就业观</w:t>
      </w:r>
    </w:p>
    <w:p>
      <w:pPr>
        <w:spacing w:line="360" w:lineRule="auto"/>
        <w:ind w:firstLine="480" w:firstLineChars="200"/>
        <w:rPr>
          <w:rFonts w:ascii="宋体" w:hAnsi="宋体"/>
          <w:sz w:val="24"/>
          <w:szCs w:val="24"/>
        </w:rPr>
      </w:pPr>
      <w:r>
        <w:rPr>
          <w:rFonts w:ascii="宋体" w:hAnsi="宋体"/>
          <w:sz w:val="24"/>
          <w:szCs w:val="24"/>
        </w:rPr>
        <w:t>要采取走出去和请进来的方法，帮助毕业生树立正确的求职观念，鼓励学生到基层一线工作，要让学生树立下一线锻炼是将来更好发展的必经之路</w:t>
      </w:r>
      <w:r>
        <w:rPr>
          <w:rFonts w:hint="eastAsia" w:ascii="宋体" w:hAnsi="宋体"/>
          <w:sz w:val="24"/>
          <w:szCs w:val="24"/>
        </w:rPr>
        <w:t>；对于学生现在抱有的缓就业和慢就业思想进行及时地引导，同时鼓励学生要树立多元化的就业观，不应该局限于考研、考编，而是应该多尝试，从尝试中进一步发现自己的能力所长和兴趣所在</w:t>
      </w:r>
      <w:r>
        <w:rPr>
          <w:rFonts w:ascii="宋体" w:hAnsi="宋体"/>
          <w:sz w:val="24"/>
          <w:szCs w:val="24"/>
        </w:rPr>
        <w:t>。</w:t>
      </w:r>
    </w:p>
    <w:p>
      <w:pPr>
        <w:spacing w:line="360" w:lineRule="auto"/>
        <w:jc w:val="left"/>
        <w:rPr>
          <w:rFonts w:ascii="宋体" w:hAnsi="宋体"/>
          <w:b/>
          <w:sz w:val="24"/>
          <w:szCs w:val="24"/>
        </w:rPr>
      </w:pPr>
    </w:p>
    <w:p>
      <w:pPr>
        <w:spacing w:line="360" w:lineRule="auto"/>
        <w:ind w:firstLine="482" w:firstLineChars="200"/>
        <w:jc w:val="center"/>
        <w:rPr>
          <w:rFonts w:ascii="宋体" w:hAnsi="宋体"/>
          <w:b/>
          <w:color w:val="000000"/>
          <w:sz w:val="24"/>
          <w:szCs w:val="24"/>
        </w:rPr>
      </w:pPr>
      <w:r>
        <w:rPr>
          <w:rFonts w:hint="eastAsia" w:ascii="宋体" w:hAnsi="宋体"/>
          <w:b/>
          <w:sz w:val="24"/>
          <w:szCs w:val="24"/>
        </w:rPr>
        <w:t>第四部分   教育学院</w:t>
      </w:r>
      <w:r>
        <w:rPr>
          <w:rFonts w:hint="eastAsia" w:ascii="宋体" w:hAnsi="宋体"/>
          <w:b/>
          <w:color w:val="000000"/>
          <w:sz w:val="24"/>
          <w:szCs w:val="24"/>
        </w:rPr>
        <w:t>就业工作的重点与亮点</w:t>
      </w:r>
    </w:p>
    <w:p>
      <w:pPr>
        <w:spacing w:line="360" w:lineRule="auto"/>
        <w:ind w:firstLine="480" w:firstLineChars="200"/>
        <w:rPr>
          <w:rFonts w:ascii="宋体" w:hAnsi="宋体"/>
          <w:color w:val="000000"/>
          <w:kern w:val="0"/>
          <w:sz w:val="24"/>
          <w:szCs w:val="24"/>
        </w:rPr>
      </w:pPr>
      <w:r>
        <w:rPr>
          <w:rFonts w:hint="eastAsia" w:ascii="宋体" w:hAnsi="宋体"/>
          <w:color w:val="000000"/>
          <w:kern w:val="0"/>
          <w:sz w:val="24"/>
          <w:szCs w:val="24"/>
        </w:rPr>
        <w:t>教育学院结合实际制定年度就业工作计划，将毕业生就业工作列入学院工作的重点。院领导和就业工作领导小组定期和不定期召开毕业生就业工作专题会议讨论研究毕业生思想动态和人才市场需求发展动态，部署毕业生就业指导和就业服务工作。</w:t>
      </w:r>
    </w:p>
    <w:p>
      <w:pPr>
        <w:spacing w:line="360" w:lineRule="auto"/>
        <w:ind w:firstLine="482" w:firstLineChars="200"/>
        <w:rPr>
          <w:rFonts w:ascii="宋体" w:hAnsi="宋体"/>
          <w:b/>
          <w:bCs/>
          <w:color w:val="000000"/>
          <w:kern w:val="0"/>
          <w:sz w:val="24"/>
          <w:szCs w:val="24"/>
        </w:rPr>
      </w:pPr>
      <w:r>
        <w:rPr>
          <w:rFonts w:hint="eastAsia" w:ascii="宋体" w:hAnsi="宋体"/>
          <w:b/>
          <w:bCs/>
          <w:color w:val="000000"/>
          <w:kern w:val="0"/>
          <w:sz w:val="24"/>
          <w:szCs w:val="24"/>
        </w:rPr>
        <w:t>1、学生招考方面</w:t>
      </w:r>
    </w:p>
    <w:p>
      <w:pPr>
        <w:spacing w:line="360" w:lineRule="auto"/>
        <w:ind w:firstLine="480" w:firstLineChars="200"/>
        <w:rPr>
          <w:rFonts w:ascii="宋体" w:hAnsi="宋体"/>
          <w:color w:val="000000"/>
          <w:kern w:val="0"/>
          <w:sz w:val="24"/>
          <w:szCs w:val="24"/>
        </w:rPr>
      </w:pPr>
      <w:r>
        <w:rPr>
          <w:rFonts w:hint="eastAsia" w:ascii="宋体" w:hAnsi="宋体"/>
          <w:color w:val="000000"/>
          <w:kern w:val="0"/>
          <w:sz w:val="24"/>
          <w:szCs w:val="24"/>
        </w:rPr>
        <w:t>虽然安徽省内以及合肥教师编制招考人数的有所缩减，尤其是合肥市多年不再招考幼儿园教师编制，但是我院引导毕业生树立良好的就业观，鼓励他们积极拓宽就业途径，推荐他们到市属小学担任代课教师，到民办学校、素质教育培训机构任职。对于考研的学生，也积极帮助他们联系报考学校、进行调剂等。如，辅导员杜启明多次为18小学教育班苟乾浦同学联系调剂学校。</w:t>
      </w:r>
    </w:p>
    <w:p>
      <w:pPr>
        <w:widowControl/>
        <w:spacing w:line="360" w:lineRule="auto"/>
        <w:ind w:firstLine="472" w:firstLineChars="196"/>
        <w:jc w:val="left"/>
        <w:rPr>
          <w:rFonts w:ascii="宋体" w:hAnsi="宋体"/>
          <w:b/>
          <w:bCs/>
          <w:color w:val="000000"/>
          <w:kern w:val="0"/>
          <w:sz w:val="24"/>
          <w:szCs w:val="24"/>
        </w:rPr>
      </w:pPr>
      <w:r>
        <w:rPr>
          <w:rFonts w:hint="eastAsia" w:ascii="宋体" w:hAnsi="宋体"/>
          <w:b/>
          <w:bCs/>
          <w:color w:val="000000"/>
          <w:kern w:val="0"/>
          <w:sz w:val="24"/>
          <w:szCs w:val="24"/>
        </w:rPr>
        <w:t>2、学生培养方面</w:t>
      </w:r>
    </w:p>
    <w:p>
      <w:pPr>
        <w:widowControl/>
        <w:spacing w:line="360" w:lineRule="auto"/>
        <w:ind w:firstLine="470" w:firstLineChars="196"/>
        <w:jc w:val="left"/>
        <w:rPr>
          <w:rFonts w:ascii="宋体" w:hAnsi="宋体"/>
          <w:color w:val="000000"/>
          <w:kern w:val="0"/>
          <w:sz w:val="24"/>
          <w:szCs w:val="24"/>
        </w:rPr>
      </w:pPr>
      <w:r>
        <w:rPr>
          <w:rFonts w:hint="eastAsia" w:ascii="宋体" w:hAnsi="宋体"/>
          <w:color w:val="000000"/>
          <w:kern w:val="0"/>
          <w:sz w:val="24"/>
          <w:szCs w:val="24"/>
        </w:rPr>
        <w:t>我院非常注重对学生学科教学、组织管理、教育研究等能力的培养，同时院部加强与合肥市师范附属小学、习友小学等多所学校的联系，在每学期不同月份开展教师职业技能考核，大力加强学生专业技能的培养和训练，通过这样的方式，提升学生的专业素质，在就业和考编的过程中，我院的学生才能以过硬的专业素养击败其他高校的学生，获得一席一位，同时近几年考编成绩的节节攀升，也打响了合肥学院教育学院毕业生的牌子。</w:t>
      </w:r>
    </w:p>
    <w:p>
      <w:pPr>
        <w:spacing w:line="360" w:lineRule="auto"/>
        <w:ind w:firstLine="482" w:firstLineChars="200"/>
        <w:rPr>
          <w:rFonts w:ascii="宋体" w:hAnsi="宋体"/>
          <w:b/>
          <w:color w:val="000000"/>
          <w:kern w:val="0"/>
          <w:sz w:val="24"/>
          <w:szCs w:val="24"/>
        </w:rPr>
      </w:pPr>
      <w:r>
        <w:rPr>
          <w:rFonts w:hint="eastAsia" w:ascii="宋体" w:hAnsi="宋体"/>
          <w:b/>
          <w:color w:val="000000"/>
          <w:kern w:val="0"/>
          <w:sz w:val="24"/>
          <w:szCs w:val="24"/>
        </w:rPr>
        <w:t>3、学院管理方面</w:t>
      </w:r>
    </w:p>
    <w:p>
      <w:pPr>
        <w:widowControl/>
        <w:spacing w:line="360" w:lineRule="auto"/>
        <w:ind w:firstLine="470" w:firstLineChars="196"/>
        <w:jc w:val="left"/>
        <w:rPr>
          <w:rFonts w:ascii="宋体" w:hAnsi="宋体"/>
          <w:color w:val="000000"/>
          <w:kern w:val="0"/>
          <w:sz w:val="24"/>
          <w:szCs w:val="24"/>
        </w:rPr>
      </w:pPr>
      <w:r>
        <w:rPr>
          <w:rFonts w:hint="eastAsia" w:ascii="宋体" w:hAnsi="宋体"/>
          <w:color w:val="000000"/>
          <w:kern w:val="0"/>
          <w:sz w:val="24"/>
          <w:szCs w:val="24"/>
        </w:rPr>
        <w:t>2022年，在高校毕业生人数持续增加、就业压力持续增大、疫情持续反复的情况下，学院认真贯彻落实国家有关毕业生就业工作的方针政策及相关会议精神，扎实做好就业工作。成立了就业领导小组，制定了疫情防控期间毕业生就业工作方案，将专业系主任、专业教师、辅导员、毕业班班主任等纳入就业工作体系，压实就业工作责任，形成就业工作全院动员、全员参与、全力以赴的良好氛围。同时，制定了《关于成立疫情防控期间就业领导小组的通知》《教育学院新冠肺炎疫情防控期间毕业生就业工作方案》，压实毕业生就业工作责任制度，班主任、毕业生论文指导老师全程参与就业过程，并将毕业生的就业情况与论文指导老师的年终考核和个人绩效挂钩。</w:t>
      </w:r>
    </w:p>
    <w:p>
      <w:pPr>
        <w:widowControl/>
        <w:spacing w:line="360" w:lineRule="auto"/>
        <w:ind w:firstLine="472" w:firstLineChars="196"/>
        <w:jc w:val="left"/>
        <w:rPr>
          <w:rFonts w:ascii="宋体" w:hAnsi="宋体"/>
          <w:b/>
          <w:color w:val="000000"/>
          <w:kern w:val="0"/>
          <w:sz w:val="24"/>
          <w:szCs w:val="24"/>
        </w:rPr>
      </w:pPr>
      <w:r>
        <w:rPr>
          <w:rFonts w:hint="eastAsia" w:ascii="宋体" w:hAnsi="宋体"/>
          <w:b/>
          <w:color w:val="000000"/>
          <w:kern w:val="0"/>
          <w:sz w:val="24"/>
          <w:szCs w:val="24"/>
        </w:rPr>
        <w:t>4、访企拓岗方面</w:t>
      </w:r>
    </w:p>
    <w:p>
      <w:pPr>
        <w:widowControl/>
        <w:spacing w:line="360" w:lineRule="auto"/>
        <w:ind w:firstLine="470" w:firstLineChars="196"/>
        <w:jc w:val="left"/>
        <w:rPr>
          <w:rFonts w:ascii="宋体" w:hAnsi="宋体"/>
          <w:color w:val="000000"/>
          <w:kern w:val="0"/>
          <w:sz w:val="24"/>
          <w:szCs w:val="24"/>
        </w:rPr>
      </w:pPr>
      <w:r>
        <w:rPr>
          <w:rFonts w:hint="eastAsia" w:ascii="宋体" w:hAnsi="宋体"/>
          <w:color w:val="000000"/>
          <w:kern w:val="0"/>
          <w:sz w:val="24"/>
          <w:szCs w:val="24"/>
        </w:rPr>
        <w:t>学院组织5家校友企业参加学校“云招聘”，2家企业线下来校实地招聘。强化校地、校企合作，积极构建高质量就业通道，推动“访企拓岗”专项行动，走访企业6家、新增就业基地3家，开发就业岗位30多个，帮助18位毕业生顺利就业。</w:t>
      </w:r>
    </w:p>
    <w:p>
      <w:pPr>
        <w:widowControl/>
        <w:spacing w:line="360" w:lineRule="auto"/>
        <w:ind w:firstLine="470" w:firstLineChars="196"/>
        <w:jc w:val="center"/>
        <w:rPr>
          <w:rFonts w:ascii="宋体" w:hAnsi="宋体"/>
          <w:color w:val="000000"/>
          <w:kern w:val="0"/>
          <w:sz w:val="24"/>
          <w:szCs w:val="24"/>
        </w:rPr>
      </w:pPr>
      <w:r>
        <w:rPr>
          <w:rFonts w:ascii="宋体" w:hAnsi="宋体"/>
          <w:color w:val="000000"/>
          <w:kern w:val="0"/>
          <w:sz w:val="24"/>
          <w:szCs w:val="24"/>
        </w:rPr>
        <w:drawing>
          <wp:inline distT="0" distB="0" distL="0" distR="0">
            <wp:extent cx="3844925" cy="2563495"/>
            <wp:effectExtent l="0" t="0" r="3175" b="8255"/>
            <wp:docPr id="31" name="图片 31" descr="E:\学院宣传工作\教育学院宣传稿件\2022\“就业起航”系列报道\“就业起航”系列报道之七 ——我院与合肥霁宸教育科技有限公司签订校企合作协议\2022年5月31日，教育学院与合肥霁宸教育科技有限公司签订合作协议\IMG_04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E:\学院宣传工作\教育学院宣传稿件\2022\“就业起航”系列报道\“就业起航”系列报道之七 ——我院与合肥霁宸教育科技有限公司签订校企合作协议\2022年5月31日，教育学院与合肥霁宸教育科技有限公司签订合作协议\IMG_0491.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a:xfrm>
                      <a:off x="0" y="0"/>
                      <a:ext cx="3847673" cy="2565116"/>
                    </a:xfrm>
                    <a:prstGeom prst="rect">
                      <a:avLst/>
                    </a:prstGeom>
                    <a:noFill/>
                    <a:ln>
                      <a:noFill/>
                    </a:ln>
                  </pic:spPr>
                </pic:pic>
              </a:graphicData>
            </a:graphic>
          </wp:inline>
        </w:drawing>
      </w:r>
    </w:p>
    <w:p>
      <w:pPr>
        <w:widowControl/>
        <w:spacing w:line="360" w:lineRule="auto"/>
        <w:ind w:firstLine="470" w:firstLineChars="196"/>
        <w:jc w:val="center"/>
        <w:rPr>
          <w:rFonts w:ascii="宋体" w:hAnsi="宋体"/>
          <w:color w:val="000000"/>
          <w:kern w:val="0"/>
          <w:sz w:val="24"/>
          <w:szCs w:val="24"/>
        </w:rPr>
      </w:pPr>
    </w:p>
    <w:p>
      <w:pPr>
        <w:widowControl/>
        <w:spacing w:line="360" w:lineRule="auto"/>
        <w:ind w:firstLine="470" w:firstLineChars="196"/>
        <w:jc w:val="center"/>
        <w:rPr>
          <w:rFonts w:ascii="宋体" w:hAnsi="宋体"/>
          <w:color w:val="000000"/>
          <w:kern w:val="0"/>
          <w:sz w:val="24"/>
          <w:szCs w:val="24"/>
        </w:rPr>
      </w:pPr>
      <w:r>
        <w:rPr>
          <w:rFonts w:ascii="宋体" w:hAnsi="宋体"/>
          <w:color w:val="000000"/>
          <w:kern w:val="0"/>
          <w:sz w:val="24"/>
          <w:szCs w:val="24"/>
        </w:rPr>
        <w:drawing>
          <wp:inline distT="0" distB="0" distL="0" distR="0">
            <wp:extent cx="3749675" cy="2811780"/>
            <wp:effectExtent l="0" t="0" r="3175" b="7620"/>
            <wp:docPr id="45" name="图片 45" descr="C:\Users\Administrator\Desktop\871f8b4b-15ff-4d40-b4bb-e17c66efb7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C:\Users\Administrator\Desktop\871f8b4b-15ff-4d40-b4bb-e17c66efb7ac.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a:xfrm>
                      <a:off x="0" y="0"/>
                      <a:ext cx="3788767" cy="2841576"/>
                    </a:xfrm>
                    <a:prstGeom prst="rect">
                      <a:avLst/>
                    </a:prstGeom>
                    <a:noFill/>
                    <a:ln>
                      <a:noFill/>
                    </a:ln>
                  </pic:spPr>
                </pic:pic>
              </a:graphicData>
            </a:graphic>
          </wp:inline>
        </w:drawing>
      </w:r>
    </w:p>
    <w:p>
      <w:pPr>
        <w:spacing w:line="360" w:lineRule="auto"/>
        <w:ind w:firstLine="482" w:firstLineChars="200"/>
        <w:rPr>
          <w:rFonts w:ascii="宋体" w:hAnsi="宋体"/>
          <w:b/>
          <w:kern w:val="0"/>
          <w:sz w:val="24"/>
          <w:szCs w:val="24"/>
        </w:rPr>
      </w:pPr>
      <w:r>
        <w:rPr>
          <w:rFonts w:ascii="宋体" w:hAnsi="宋体"/>
          <w:b/>
          <w:kern w:val="0"/>
          <w:sz w:val="24"/>
          <w:szCs w:val="24"/>
        </w:rPr>
        <w:t>5</w:t>
      </w:r>
      <w:r>
        <w:rPr>
          <w:rFonts w:hint="eastAsia" w:ascii="宋体" w:hAnsi="宋体"/>
          <w:b/>
          <w:kern w:val="0"/>
          <w:sz w:val="24"/>
          <w:szCs w:val="24"/>
        </w:rPr>
        <w:t>、学生基层就业方面</w:t>
      </w:r>
    </w:p>
    <w:p>
      <w:pPr>
        <w:spacing w:line="360" w:lineRule="auto"/>
        <w:ind w:firstLine="480" w:firstLineChars="200"/>
        <w:rPr>
          <w:rFonts w:ascii="宋体" w:hAnsi="宋体"/>
          <w:color w:val="000000"/>
          <w:kern w:val="0"/>
          <w:sz w:val="24"/>
          <w:szCs w:val="24"/>
        </w:rPr>
      </w:pPr>
      <w:r>
        <w:rPr>
          <w:rFonts w:hint="eastAsia" w:ascii="宋体" w:hAnsi="宋体"/>
          <w:color w:val="000000"/>
          <w:kern w:val="0"/>
          <w:sz w:val="24"/>
          <w:szCs w:val="24"/>
        </w:rPr>
        <w:t>为了</w:t>
      </w:r>
      <w:r>
        <w:rPr>
          <w:rFonts w:ascii="宋体" w:hAnsi="宋体"/>
          <w:color w:val="000000"/>
          <w:kern w:val="0"/>
          <w:sz w:val="24"/>
          <w:szCs w:val="24"/>
        </w:rPr>
        <w:t>引导和鼓励</w:t>
      </w:r>
      <w:r>
        <w:rPr>
          <w:rFonts w:hint="eastAsia" w:ascii="宋体" w:hAnsi="宋体"/>
          <w:color w:val="000000"/>
          <w:kern w:val="0"/>
          <w:sz w:val="24"/>
          <w:szCs w:val="24"/>
        </w:rPr>
        <w:t>我院</w:t>
      </w:r>
      <w:r>
        <w:rPr>
          <w:rFonts w:ascii="宋体" w:hAnsi="宋体"/>
          <w:color w:val="000000"/>
          <w:kern w:val="0"/>
          <w:sz w:val="24"/>
          <w:szCs w:val="24"/>
        </w:rPr>
        <w:t>毕业生</w:t>
      </w:r>
      <w:r>
        <w:rPr>
          <w:rFonts w:hint="eastAsia" w:ascii="宋体" w:hAnsi="宋体"/>
          <w:color w:val="000000"/>
          <w:kern w:val="0"/>
          <w:sz w:val="24"/>
          <w:szCs w:val="24"/>
        </w:rPr>
        <w:t>去基层工作</w:t>
      </w:r>
      <w:r>
        <w:rPr>
          <w:rFonts w:ascii="宋体" w:hAnsi="宋体"/>
          <w:color w:val="000000"/>
          <w:kern w:val="0"/>
          <w:sz w:val="24"/>
          <w:szCs w:val="24"/>
        </w:rPr>
        <w:t>，</w:t>
      </w:r>
      <w:r>
        <w:rPr>
          <w:rFonts w:hint="eastAsia" w:ascii="宋体" w:hAnsi="宋体"/>
          <w:color w:val="000000"/>
          <w:kern w:val="0"/>
          <w:sz w:val="24"/>
          <w:szCs w:val="24"/>
        </w:rPr>
        <w:t>去祖国最需要的地方去工作。我院共有1名同学考取了安徽省的选调生，1名学生报考了西部计划。</w:t>
      </w:r>
    </w:p>
    <w:p>
      <w:pPr>
        <w:spacing w:line="360" w:lineRule="auto"/>
        <w:ind w:firstLine="480" w:firstLineChars="200"/>
        <w:rPr>
          <w:rFonts w:ascii="宋体" w:hAnsi="宋体"/>
          <w:color w:val="000000"/>
          <w:kern w:val="0"/>
          <w:sz w:val="24"/>
          <w:szCs w:val="24"/>
        </w:rPr>
      </w:pPr>
    </w:p>
    <w:p>
      <w:pPr>
        <w:spacing w:line="360" w:lineRule="auto"/>
        <w:jc w:val="center"/>
        <w:rPr>
          <w:rFonts w:ascii="宋体" w:hAnsi="宋体"/>
          <w:b/>
          <w:bCs/>
          <w:sz w:val="24"/>
          <w:szCs w:val="24"/>
        </w:rPr>
      </w:pPr>
      <w:r>
        <w:rPr>
          <w:rFonts w:hint="eastAsia" w:ascii="宋体" w:hAnsi="宋体"/>
          <w:b/>
          <w:bCs/>
          <w:sz w:val="24"/>
          <w:szCs w:val="24"/>
        </w:rPr>
        <w:t>第五部分  教育学院对就业困难、弱势群体、特殊问题毕业生帮扶情况</w:t>
      </w:r>
    </w:p>
    <w:p>
      <w:pPr>
        <w:widowControl/>
        <w:spacing w:line="360" w:lineRule="auto"/>
        <w:ind w:firstLine="480" w:firstLineChars="200"/>
        <w:jc w:val="left"/>
        <w:rPr>
          <w:rFonts w:ascii="宋体" w:hAnsi="宋体"/>
          <w:sz w:val="24"/>
          <w:szCs w:val="24"/>
        </w:rPr>
      </w:pPr>
      <w:r>
        <w:rPr>
          <w:rFonts w:ascii="宋体" w:hAnsi="宋体"/>
          <w:color w:val="000000"/>
          <w:kern w:val="0"/>
          <w:sz w:val="24"/>
          <w:szCs w:val="24"/>
        </w:rPr>
        <w:t>为促进贫困毕业生充分就业，</w:t>
      </w:r>
      <w:r>
        <w:rPr>
          <w:rFonts w:hint="eastAsia" w:ascii="宋体" w:hAnsi="宋体"/>
          <w:color w:val="000000"/>
          <w:kern w:val="0"/>
          <w:sz w:val="24"/>
          <w:szCs w:val="24"/>
        </w:rPr>
        <w:t>切实做好困难毕业生的就业帮扶工作，我院</w:t>
      </w:r>
      <w:r>
        <w:rPr>
          <w:rFonts w:ascii="宋体" w:hAnsi="宋体"/>
          <w:color w:val="000000"/>
          <w:kern w:val="0"/>
          <w:sz w:val="24"/>
          <w:szCs w:val="24"/>
        </w:rPr>
        <w:t>坚持</w:t>
      </w:r>
      <w:r>
        <w:rPr>
          <w:rFonts w:ascii="宋体" w:hAnsi="宋体"/>
          <w:sz w:val="24"/>
          <w:szCs w:val="24"/>
        </w:rPr>
        <w:t>有针对性地开展帮扶工作，</w:t>
      </w:r>
      <w:r>
        <w:rPr>
          <w:rFonts w:hint="eastAsia" w:ascii="宋体" w:hAnsi="宋体"/>
          <w:sz w:val="24"/>
          <w:szCs w:val="24"/>
        </w:rPr>
        <w:t>并</w:t>
      </w:r>
      <w:r>
        <w:rPr>
          <w:rFonts w:ascii="宋体" w:hAnsi="宋体"/>
          <w:sz w:val="24"/>
          <w:szCs w:val="24"/>
        </w:rPr>
        <w:t>取得了较好的实效。</w:t>
      </w:r>
    </w:p>
    <w:p>
      <w:pPr>
        <w:widowControl/>
        <w:spacing w:line="360" w:lineRule="auto"/>
        <w:ind w:firstLine="482" w:firstLineChars="200"/>
        <w:jc w:val="left"/>
        <w:rPr>
          <w:rFonts w:ascii="宋体" w:hAnsi="宋体"/>
          <w:color w:val="000000"/>
          <w:kern w:val="0"/>
          <w:sz w:val="24"/>
          <w:szCs w:val="24"/>
        </w:rPr>
      </w:pPr>
      <w:r>
        <w:rPr>
          <w:rFonts w:hint="eastAsia" w:ascii="宋体" w:hAnsi="宋体"/>
          <w:b/>
          <w:color w:val="000000"/>
          <w:kern w:val="0"/>
          <w:sz w:val="24"/>
          <w:szCs w:val="24"/>
        </w:rPr>
        <w:t>1、精准帮扶责任制。</w:t>
      </w:r>
      <w:r>
        <w:rPr>
          <w:rFonts w:hint="eastAsia" w:ascii="宋体" w:hAnsi="宋体"/>
          <w:color w:val="000000"/>
          <w:kern w:val="0"/>
          <w:sz w:val="24"/>
          <w:szCs w:val="24"/>
        </w:rPr>
        <w:t>对特殊困难群体毕业生就业采取“一对一”帮扶责任制，加强对特殊困难群体毕业生的关注和指导，提升就业能力，建立帮扶长效机制，完善师生“一对一”跟踪和帮扶机制，安排专人负责特殊困难群体毕业生就业辅导工作，采取心理咨询、心理辅导、就业辅导、电话咨询等形式，帮助特殊困难群体毕业生分析就业困难的原因，引导其树立良好的就业观，克服恐慌、焦虑、浮躁的心理，制定切实可行的求职措施。</w:t>
      </w:r>
    </w:p>
    <w:p>
      <w:pPr>
        <w:widowControl/>
        <w:spacing w:line="360" w:lineRule="auto"/>
        <w:ind w:firstLine="482" w:firstLineChars="200"/>
        <w:jc w:val="left"/>
        <w:rPr>
          <w:rFonts w:ascii="宋体" w:hAnsi="宋体"/>
          <w:color w:val="000000"/>
          <w:kern w:val="0"/>
          <w:sz w:val="24"/>
          <w:szCs w:val="24"/>
        </w:rPr>
      </w:pPr>
      <w:r>
        <w:rPr>
          <w:rFonts w:hint="eastAsia" w:ascii="宋体" w:hAnsi="宋体"/>
          <w:b/>
          <w:color w:val="000000"/>
          <w:kern w:val="0"/>
          <w:sz w:val="24"/>
          <w:szCs w:val="24"/>
        </w:rPr>
        <w:t>2、精准就业信息服务。</w:t>
      </w:r>
      <w:r>
        <w:rPr>
          <w:rFonts w:hint="eastAsia" w:ascii="宋体" w:hAnsi="宋体"/>
          <w:color w:val="000000"/>
          <w:kern w:val="0"/>
          <w:sz w:val="24"/>
          <w:szCs w:val="24"/>
        </w:rPr>
        <w:t>通过微信、QQ群、短信、电话、电子邮件、学院就业网等多种载体，有针对性的为特殊困难群体毕业生及时提供信息，加大就业信息服务力度。</w:t>
      </w:r>
    </w:p>
    <w:p>
      <w:pPr>
        <w:widowControl/>
        <w:spacing w:line="360" w:lineRule="auto"/>
        <w:ind w:firstLine="482" w:firstLineChars="200"/>
        <w:jc w:val="left"/>
        <w:rPr>
          <w:rFonts w:ascii="宋体" w:hAnsi="宋体"/>
          <w:color w:val="000000"/>
          <w:kern w:val="0"/>
          <w:sz w:val="24"/>
          <w:szCs w:val="24"/>
        </w:rPr>
      </w:pPr>
      <w:r>
        <w:rPr>
          <w:rFonts w:hint="eastAsia" w:ascii="宋体" w:hAnsi="宋体"/>
          <w:b/>
          <w:color w:val="000000"/>
          <w:kern w:val="0"/>
          <w:sz w:val="24"/>
          <w:szCs w:val="24"/>
        </w:rPr>
        <w:t>3、精准就业岗位推送。</w:t>
      </w:r>
      <w:r>
        <w:rPr>
          <w:rFonts w:hint="eastAsia" w:ascii="宋体" w:hAnsi="宋体"/>
          <w:color w:val="000000"/>
          <w:kern w:val="0"/>
          <w:sz w:val="24"/>
          <w:szCs w:val="24"/>
        </w:rPr>
        <w:t>充分利用社会资源，多方寻找就业单位，举办特殊困难群体毕业生就业专场招聘会、优先推荐、个别推荐等措施，积极为特殊困难群体毕业生提供就业机会。尤其是对双困生，建立了详细的就业档案，我院今年的建档立卡的毕业生全部顺利就业。</w:t>
      </w:r>
      <w:r>
        <w:rPr>
          <w:rFonts w:ascii="宋体" w:hAnsi="宋体"/>
          <w:color w:val="000000"/>
          <w:kern w:val="0"/>
          <w:sz w:val="24"/>
          <w:szCs w:val="24"/>
        </w:rPr>
        <w:t xml:space="preserve"> </w:t>
      </w:r>
    </w:p>
    <w:p>
      <w:pPr>
        <w:widowControl/>
        <w:spacing w:line="360" w:lineRule="auto"/>
        <w:ind w:firstLine="482" w:firstLineChars="200"/>
        <w:jc w:val="left"/>
        <w:rPr>
          <w:rFonts w:ascii="宋体" w:hAnsi="宋体"/>
          <w:color w:val="000000"/>
          <w:kern w:val="0"/>
          <w:sz w:val="24"/>
          <w:szCs w:val="24"/>
        </w:rPr>
      </w:pPr>
      <w:r>
        <w:rPr>
          <w:rFonts w:hint="eastAsia" w:ascii="宋体" w:hAnsi="宋体"/>
          <w:b/>
          <w:color w:val="000000"/>
          <w:kern w:val="0"/>
          <w:sz w:val="24"/>
          <w:szCs w:val="24"/>
        </w:rPr>
        <w:t>4、精准在校生求职创业补贴申报。</w:t>
      </w:r>
      <w:r>
        <w:rPr>
          <w:rFonts w:hint="eastAsia" w:ascii="宋体" w:hAnsi="宋体"/>
          <w:color w:val="000000"/>
          <w:kern w:val="0"/>
          <w:sz w:val="24"/>
          <w:szCs w:val="24"/>
        </w:rPr>
        <w:t>做好在校生求职创业补贴申报，按照国家有关政策要求，我院向困难的毕业生发放资助金，作为求职过程中的交通费补贴。同时积极鼓励就业困难毕业生到基层或外省市就业，在离校前落实就业岗位的，给予一定的经费用于交通和生活补助。</w:t>
      </w:r>
    </w:p>
    <w:p>
      <w:pPr>
        <w:widowControl/>
        <w:spacing w:line="360" w:lineRule="auto"/>
        <w:ind w:firstLine="482" w:firstLineChars="200"/>
        <w:jc w:val="left"/>
        <w:rPr>
          <w:rFonts w:ascii="宋体" w:hAnsi="宋体"/>
          <w:color w:val="000000"/>
          <w:kern w:val="0"/>
          <w:sz w:val="24"/>
          <w:szCs w:val="24"/>
        </w:rPr>
      </w:pPr>
      <w:r>
        <w:rPr>
          <w:rFonts w:hint="eastAsia" w:ascii="宋体" w:hAnsi="宋体"/>
          <w:b/>
          <w:color w:val="000000"/>
          <w:kern w:val="0"/>
          <w:sz w:val="24"/>
          <w:szCs w:val="24"/>
        </w:rPr>
        <w:t>5、精准特殊困难群体毕业生离校前后的工作衔接。</w:t>
      </w:r>
      <w:r>
        <w:rPr>
          <w:rFonts w:hint="eastAsia" w:ascii="宋体" w:hAnsi="宋体"/>
          <w:color w:val="000000"/>
          <w:kern w:val="0"/>
          <w:sz w:val="24"/>
          <w:szCs w:val="24"/>
        </w:rPr>
        <w:t>严格执行国家和地方的有关政策规定，及时做好毕业生尤其是特殊困难群体毕业生的就业手续办理工作。对离校未就业的特殊困难群体毕业生，主动配合做好有关衔接工作，使他们离校后能享受到国家和地方的有关优惠政策。</w:t>
      </w:r>
    </w:p>
    <w:p>
      <w:pPr>
        <w:spacing w:line="360" w:lineRule="auto"/>
        <w:ind w:firstLine="482" w:firstLineChars="200"/>
        <w:jc w:val="center"/>
        <w:rPr>
          <w:rFonts w:ascii="宋体" w:hAnsi="宋体"/>
          <w:b/>
          <w:bCs/>
          <w:sz w:val="24"/>
          <w:szCs w:val="24"/>
        </w:rPr>
      </w:pPr>
    </w:p>
    <w:p>
      <w:pPr>
        <w:spacing w:line="360" w:lineRule="auto"/>
        <w:ind w:firstLine="482" w:firstLineChars="200"/>
        <w:jc w:val="center"/>
        <w:rPr>
          <w:rFonts w:ascii="宋体" w:hAnsi="宋体"/>
          <w:b/>
          <w:bCs/>
          <w:sz w:val="24"/>
          <w:szCs w:val="24"/>
        </w:rPr>
      </w:pPr>
      <w:r>
        <w:rPr>
          <w:rFonts w:hint="eastAsia" w:ascii="宋体" w:hAnsi="宋体"/>
          <w:b/>
          <w:bCs/>
          <w:sz w:val="24"/>
          <w:szCs w:val="24"/>
        </w:rPr>
        <w:t>第六部分  教育学院各专业毕业生跟踪调查情况</w:t>
      </w:r>
    </w:p>
    <w:p>
      <w:pPr>
        <w:spacing w:line="360" w:lineRule="auto"/>
        <w:ind w:firstLine="480" w:firstLineChars="200"/>
        <w:jc w:val="left"/>
        <w:rPr>
          <w:color w:val="000000"/>
          <w:sz w:val="24"/>
          <w:szCs w:val="24"/>
        </w:rPr>
      </w:pPr>
      <w:r>
        <w:rPr>
          <w:rFonts w:hint="eastAsia"/>
          <w:color w:val="000000"/>
          <w:sz w:val="24"/>
          <w:szCs w:val="24"/>
        </w:rPr>
        <w:t>为进一步拓宽毕业生就业市场，加强与用人单位的联系与深入合作，全面了解毕业生就业后的工作情况，我院针对毕业生开展跟踪调查情况。</w:t>
      </w:r>
    </w:p>
    <w:p>
      <w:pPr>
        <w:pStyle w:val="11"/>
        <w:spacing w:before="0" w:beforeAutospacing="0" w:after="0" w:afterAutospacing="0" w:line="360" w:lineRule="auto"/>
        <w:ind w:firstLine="482" w:firstLineChars="200"/>
        <w:rPr>
          <w:b/>
          <w:color w:val="000000"/>
        </w:rPr>
      </w:pPr>
      <w:r>
        <w:rPr>
          <w:rFonts w:hint="eastAsia"/>
          <w:b/>
          <w:color w:val="000000"/>
        </w:rPr>
        <w:t>1、开展用人单位满意度调查</w:t>
      </w:r>
    </w:p>
    <w:p>
      <w:pPr>
        <w:pStyle w:val="11"/>
        <w:spacing w:before="0" w:beforeAutospacing="0" w:after="0" w:afterAutospacing="0" w:line="360" w:lineRule="auto"/>
        <w:ind w:firstLine="480" w:firstLineChars="200"/>
        <w:rPr>
          <w:color w:val="000000"/>
        </w:rPr>
      </w:pPr>
      <w:r>
        <w:rPr>
          <w:rFonts w:hint="eastAsia"/>
          <w:color w:val="000000"/>
        </w:rPr>
        <w:t>2</w:t>
      </w:r>
      <w:r>
        <w:rPr>
          <w:color w:val="000000"/>
        </w:rPr>
        <w:t>022</w:t>
      </w:r>
      <w:r>
        <w:rPr>
          <w:rFonts w:hint="eastAsia"/>
          <w:color w:val="000000"/>
        </w:rPr>
        <w:t>年，我院对29家用人单位开展了满意度调查。调查显示，用人单位对我院毕业生的总体评价较好以上为90%，其中，认为我院毕业生敬业精神好的占95.45%，动手能力较好以上的占95.5%，职业能力较好以上的占95.5%，掌握专业知识较好以上的占94.5%，具有良好事业心的占97%，具有良好创新精神的占93%，具有良好团队协作能力的占96%。今年，我们同样对25家用人单位开展了满意度电话回访，其中新东方、学而思等教育培训机构对教育学院毕业生的整体评价较高，其中在敬业精神、动手能力、职业能力、掌握专业指导等方面满意度在92%左右，习友小学、师范附小四小等学校的满意度也较高，认为我院毕业生专业基础扎实、实践能力较强，综合素质较高。</w:t>
      </w:r>
    </w:p>
    <w:p>
      <w:pPr>
        <w:pStyle w:val="11"/>
        <w:spacing w:before="0" w:beforeAutospacing="0" w:after="0" w:afterAutospacing="0" w:line="360" w:lineRule="auto"/>
        <w:ind w:firstLine="480" w:firstLineChars="200"/>
        <w:jc w:val="center"/>
        <w:rPr>
          <w:color w:val="000000"/>
        </w:rPr>
      </w:pPr>
      <w:r>
        <w:rPr>
          <w:rFonts w:hint="eastAsia"/>
          <w:color w:val="000000"/>
        </w:rPr>
        <w:drawing>
          <wp:inline distT="0" distB="0" distL="114300" distR="114300">
            <wp:extent cx="2879725" cy="3572510"/>
            <wp:effectExtent l="0" t="0" r="6350" b="8890"/>
            <wp:docPr id="46" name="图片 46" descr="王慧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王慧芳"/>
                    <pic:cNvPicPr>
                      <a:picLocks noChangeAspect="1"/>
                    </pic:cNvPicPr>
                  </pic:nvPicPr>
                  <pic:blipFill>
                    <a:blip r:embed="rId104"/>
                    <a:srcRect b="8841"/>
                    <a:stretch>
                      <a:fillRect/>
                    </a:stretch>
                  </pic:blipFill>
                  <pic:spPr>
                    <a:xfrm>
                      <a:off x="0" y="0"/>
                      <a:ext cx="2891305" cy="3586373"/>
                    </a:xfrm>
                    <a:prstGeom prst="rect">
                      <a:avLst/>
                    </a:prstGeom>
                  </pic:spPr>
                </pic:pic>
              </a:graphicData>
            </a:graphic>
          </wp:inline>
        </w:drawing>
      </w:r>
    </w:p>
    <w:p>
      <w:pPr>
        <w:pStyle w:val="11"/>
        <w:spacing w:before="0" w:beforeAutospacing="0" w:after="0" w:afterAutospacing="0" w:line="360" w:lineRule="auto"/>
        <w:ind w:firstLine="482" w:firstLineChars="200"/>
        <w:rPr>
          <w:b/>
        </w:rPr>
      </w:pPr>
      <w:r>
        <w:rPr>
          <w:rFonts w:hint="eastAsia"/>
          <w:b/>
          <w:color w:val="000000"/>
        </w:rPr>
        <w:t>2、开展历届小学教育专业毕业生就业情况的调查</w:t>
      </w:r>
    </w:p>
    <w:p>
      <w:pPr>
        <w:pStyle w:val="4"/>
        <w:autoSpaceDE w:val="0"/>
        <w:autoSpaceDN w:val="0"/>
        <w:spacing w:line="360" w:lineRule="auto"/>
        <w:ind w:left="0" w:firstLine="480" w:firstLineChars="200"/>
        <w:rPr>
          <w:spacing w:val="-7"/>
          <w:lang w:val="en-US"/>
        </w:rPr>
      </w:pPr>
      <w:r>
        <w:rPr>
          <w:rFonts w:hint="eastAsia"/>
        </w:rPr>
        <w:t>20</w:t>
      </w:r>
      <w:r>
        <w:rPr>
          <w:rFonts w:hint="eastAsia"/>
          <w:lang w:val="en-US"/>
        </w:rPr>
        <w:t>2</w:t>
      </w:r>
      <w:r>
        <w:rPr>
          <w:lang w:val="en-US"/>
        </w:rPr>
        <w:t>2</w:t>
      </w:r>
      <w:r>
        <w:rPr>
          <w:rFonts w:hint="eastAsia"/>
        </w:rPr>
        <w:t>年，我院对近三年的小学教育专业毕业生进行了问卷调查。</w:t>
      </w:r>
      <w:r>
        <w:rPr>
          <w:rFonts w:hint="eastAsia"/>
          <w:spacing w:val="-7"/>
          <w:lang w:val="en-US"/>
        </w:rPr>
        <w:t>近三年毕业生的就业相关数据表明，本专业毕业生毕业率、获得学位率均为100%，获得教师资格证书平均比例为92.7%，一次性就业率平均为 95%。其中2018届毕业生在公立学校工作读书38人，私立学校工作9人，毕业生从事教育行业占比85.45%；2019届毕业生在公立学校工作读书34人，私立学校工作12人，毕业生从事教育行业占比90.2%；今年，我院小教专业毕业生共55人，其中6人成功升学，从事教育行业占比74.54%，虽然比例有所下降，当时毕业生从事教师职业的还是占绝大多数，且多为从事一线教育教学工作，较好地体现了本专业的学生培养质量，也反映了毕业生对专业的认可度也较高。</w:t>
      </w:r>
    </w:p>
    <w:p>
      <w:pPr>
        <w:pStyle w:val="4"/>
        <w:autoSpaceDE w:val="0"/>
        <w:autoSpaceDN w:val="0"/>
        <w:spacing w:line="360" w:lineRule="auto"/>
        <w:ind w:left="0" w:firstLine="452" w:firstLineChars="200"/>
        <w:rPr>
          <w:spacing w:val="-7"/>
          <w:lang w:val="en-US"/>
        </w:rPr>
      </w:pPr>
      <w:r>
        <w:rPr>
          <w:rFonts w:hint="eastAsia"/>
          <w:spacing w:val="-7"/>
          <w:lang w:val="en-US"/>
        </w:rPr>
        <w:t>毕业生当年基层就业（西部计划、三支一扶、特岗教师、选调、选聘等）情况和案例，包括图片、文字说明</w:t>
      </w:r>
    </w:p>
    <w:p>
      <w:pPr>
        <w:pStyle w:val="4"/>
        <w:autoSpaceDE w:val="0"/>
        <w:autoSpaceDN w:val="0"/>
        <w:spacing w:line="360" w:lineRule="auto"/>
        <w:ind w:left="0"/>
        <w:jc w:val="center"/>
        <w:rPr>
          <w:b/>
          <w:bCs/>
        </w:rPr>
      </w:pPr>
    </w:p>
    <w:p>
      <w:pPr>
        <w:pStyle w:val="4"/>
        <w:autoSpaceDE w:val="0"/>
        <w:autoSpaceDN w:val="0"/>
        <w:spacing w:line="360" w:lineRule="auto"/>
        <w:ind w:left="0"/>
        <w:jc w:val="center"/>
        <w:rPr>
          <w:b/>
          <w:bCs/>
        </w:rPr>
      </w:pPr>
      <w:r>
        <w:rPr>
          <w:rFonts w:hint="eastAsia"/>
          <w:b/>
          <w:bCs/>
        </w:rPr>
        <w:t>第七部分  教育学院毕业生基层就业情况</w:t>
      </w:r>
    </w:p>
    <w:p>
      <w:pPr>
        <w:pStyle w:val="4"/>
        <w:autoSpaceDE w:val="0"/>
        <w:autoSpaceDN w:val="0"/>
        <w:spacing w:line="360" w:lineRule="auto"/>
        <w:ind w:left="0" w:firstLine="480" w:firstLineChars="200"/>
        <w:jc w:val="left"/>
      </w:pPr>
      <w:r>
        <w:rPr>
          <w:rFonts w:hint="eastAsia"/>
        </w:rPr>
        <w:t>积极引导鼓励毕业生扎根基层、到祖国最需要的地方建功立业，2</w:t>
      </w:r>
      <w:r>
        <w:t>022</w:t>
      </w:r>
      <w:r>
        <w:rPr>
          <w:rFonts w:hint="eastAsia"/>
        </w:rPr>
        <w:t>届毕业生中，我院共有1名学生考取安徽省选调生，1名学生报考大学生科技特派员岗，1名学生报考西部计划，最终有2名被录用。</w:t>
      </w:r>
    </w:p>
    <w:p>
      <w:pPr>
        <w:pStyle w:val="4"/>
        <w:autoSpaceDE w:val="0"/>
        <w:autoSpaceDN w:val="0"/>
        <w:spacing w:line="360" w:lineRule="auto"/>
        <w:ind w:left="0" w:firstLine="482" w:firstLineChars="200"/>
        <w:jc w:val="center"/>
      </w:pPr>
      <w:r>
        <w:rPr>
          <w:rFonts w:hint="eastAsia"/>
          <w:b/>
          <w:color w:val="000000"/>
          <w:kern w:val="0"/>
          <w:szCs w:val="21"/>
        </w:rPr>
        <w:t>表</w:t>
      </w:r>
      <w:r>
        <w:rPr>
          <w:b/>
          <w:color w:val="000000"/>
          <w:kern w:val="0"/>
          <w:szCs w:val="21"/>
        </w:rPr>
        <w:t>11</w:t>
      </w:r>
      <w:r>
        <w:rPr>
          <w:rFonts w:hint="eastAsia"/>
          <w:b/>
          <w:color w:val="000000"/>
          <w:kern w:val="0"/>
          <w:szCs w:val="21"/>
        </w:rPr>
        <w:t>：基层就业情况</w:t>
      </w:r>
    </w:p>
    <w:tbl>
      <w:tblPr>
        <w:tblStyle w:val="14"/>
        <w:tblW w:w="8914"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834"/>
        <w:gridCol w:w="993"/>
        <w:gridCol w:w="1559"/>
        <w:gridCol w:w="2163"/>
        <w:gridCol w:w="336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834" w:type="dxa"/>
            <w:vAlign w:val="center"/>
          </w:tcPr>
          <w:p>
            <w:pPr>
              <w:pStyle w:val="4"/>
              <w:autoSpaceDE w:val="0"/>
              <w:autoSpaceDN w:val="0"/>
              <w:spacing w:line="360" w:lineRule="auto"/>
              <w:ind w:left="0"/>
              <w:jc w:val="center"/>
            </w:pPr>
            <w:r>
              <w:rPr>
                <w:rFonts w:hint="eastAsia"/>
                <w:color w:val="000000"/>
                <w:kern w:val="0"/>
              </w:rPr>
              <w:t>序号</w:t>
            </w:r>
          </w:p>
        </w:tc>
        <w:tc>
          <w:tcPr>
            <w:tcW w:w="993" w:type="dxa"/>
            <w:vAlign w:val="center"/>
          </w:tcPr>
          <w:p>
            <w:pPr>
              <w:pStyle w:val="4"/>
              <w:autoSpaceDE w:val="0"/>
              <w:autoSpaceDN w:val="0"/>
              <w:spacing w:line="360" w:lineRule="auto"/>
              <w:ind w:left="0"/>
              <w:jc w:val="center"/>
            </w:pPr>
            <w:r>
              <w:rPr>
                <w:rFonts w:hint="eastAsia"/>
                <w:color w:val="000000"/>
                <w:kern w:val="0"/>
              </w:rPr>
              <w:t>姓名</w:t>
            </w:r>
          </w:p>
        </w:tc>
        <w:tc>
          <w:tcPr>
            <w:tcW w:w="1559" w:type="dxa"/>
            <w:vAlign w:val="center"/>
          </w:tcPr>
          <w:p>
            <w:pPr>
              <w:pStyle w:val="4"/>
              <w:autoSpaceDE w:val="0"/>
              <w:autoSpaceDN w:val="0"/>
              <w:spacing w:line="360" w:lineRule="auto"/>
              <w:ind w:left="0"/>
              <w:jc w:val="center"/>
            </w:pPr>
            <w:r>
              <w:rPr>
                <w:rFonts w:hint="eastAsia"/>
                <w:color w:val="000000"/>
                <w:kern w:val="0"/>
              </w:rPr>
              <w:t>专业</w:t>
            </w:r>
          </w:p>
        </w:tc>
        <w:tc>
          <w:tcPr>
            <w:tcW w:w="2163" w:type="dxa"/>
            <w:vAlign w:val="center"/>
          </w:tcPr>
          <w:p>
            <w:pPr>
              <w:pStyle w:val="4"/>
              <w:autoSpaceDE w:val="0"/>
              <w:autoSpaceDN w:val="0"/>
              <w:spacing w:line="360" w:lineRule="auto"/>
              <w:ind w:left="0"/>
              <w:jc w:val="center"/>
            </w:pPr>
            <w:r>
              <w:rPr>
                <w:rFonts w:hint="eastAsia"/>
                <w:color w:val="000000"/>
                <w:kern w:val="0"/>
              </w:rPr>
              <w:t>工作性质</w:t>
            </w:r>
          </w:p>
        </w:tc>
        <w:tc>
          <w:tcPr>
            <w:tcW w:w="3365" w:type="dxa"/>
            <w:vAlign w:val="center"/>
          </w:tcPr>
          <w:p>
            <w:pPr>
              <w:pStyle w:val="4"/>
              <w:autoSpaceDE w:val="0"/>
              <w:autoSpaceDN w:val="0"/>
              <w:spacing w:line="360" w:lineRule="auto"/>
              <w:ind w:left="0"/>
              <w:jc w:val="center"/>
            </w:pPr>
            <w:r>
              <w:rPr>
                <w:rFonts w:hint="eastAsia"/>
                <w:color w:val="000000"/>
                <w:kern w:val="0"/>
              </w:rPr>
              <w:t>工作地点</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834" w:type="dxa"/>
            <w:vAlign w:val="center"/>
          </w:tcPr>
          <w:p>
            <w:pPr>
              <w:pStyle w:val="4"/>
              <w:autoSpaceDE w:val="0"/>
              <w:autoSpaceDN w:val="0"/>
              <w:spacing w:line="360" w:lineRule="auto"/>
              <w:ind w:left="0"/>
              <w:jc w:val="center"/>
            </w:pPr>
            <w:r>
              <w:rPr>
                <w:rFonts w:hint="eastAsia"/>
              </w:rPr>
              <w:t>1</w:t>
            </w:r>
          </w:p>
        </w:tc>
        <w:tc>
          <w:tcPr>
            <w:tcW w:w="993" w:type="dxa"/>
            <w:vAlign w:val="center"/>
          </w:tcPr>
          <w:p>
            <w:pPr>
              <w:pStyle w:val="4"/>
              <w:autoSpaceDE w:val="0"/>
              <w:autoSpaceDN w:val="0"/>
              <w:spacing w:line="360" w:lineRule="auto"/>
              <w:ind w:left="0"/>
              <w:jc w:val="center"/>
            </w:pPr>
            <w:r>
              <w:rPr>
                <w:rFonts w:hint="eastAsia"/>
              </w:rPr>
              <w:t>王晶</w:t>
            </w:r>
          </w:p>
        </w:tc>
        <w:tc>
          <w:tcPr>
            <w:tcW w:w="1559" w:type="dxa"/>
            <w:vAlign w:val="center"/>
          </w:tcPr>
          <w:p>
            <w:pPr>
              <w:pStyle w:val="4"/>
              <w:autoSpaceDE w:val="0"/>
              <w:autoSpaceDN w:val="0"/>
              <w:spacing w:line="360" w:lineRule="auto"/>
              <w:ind w:left="0"/>
              <w:jc w:val="center"/>
            </w:pPr>
            <w:r>
              <w:rPr>
                <w:rFonts w:hint="eastAsia"/>
              </w:rPr>
              <w:t>应用心理学</w:t>
            </w:r>
          </w:p>
        </w:tc>
        <w:tc>
          <w:tcPr>
            <w:tcW w:w="2163" w:type="dxa"/>
            <w:vAlign w:val="center"/>
          </w:tcPr>
          <w:p>
            <w:pPr>
              <w:pStyle w:val="4"/>
              <w:autoSpaceDE w:val="0"/>
              <w:autoSpaceDN w:val="0"/>
              <w:spacing w:line="360" w:lineRule="auto"/>
              <w:ind w:left="0"/>
              <w:jc w:val="center"/>
            </w:pPr>
            <w:r>
              <w:rPr>
                <w:rFonts w:hint="eastAsia"/>
              </w:rPr>
              <w:t>安徽省选调生</w:t>
            </w:r>
          </w:p>
        </w:tc>
        <w:tc>
          <w:tcPr>
            <w:tcW w:w="3365" w:type="dxa"/>
            <w:vAlign w:val="center"/>
          </w:tcPr>
          <w:p>
            <w:pPr>
              <w:pStyle w:val="4"/>
              <w:autoSpaceDE w:val="0"/>
              <w:autoSpaceDN w:val="0"/>
              <w:spacing w:line="360" w:lineRule="auto"/>
              <w:ind w:left="0"/>
              <w:jc w:val="center"/>
            </w:pPr>
            <w:r>
              <w:rPr>
                <w:rFonts w:hint="eastAsia"/>
                <w:kern w:val="0"/>
              </w:rPr>
              <w:t>安徽宣城泾县镇琴溪人民政府</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834" w:type="dxa"/>
            <w:vAlign w:val="center"/>
          </w:tcPr>
          <w:p>
            <w:pPr>
              <w:pStyle w:val="4"/>
              <w:autoSpaceDE w:val="0"/>
              <w:autoSpaceDN w:val="0"/>
              <w:spacing w:line="360" w:lineRule="auto"/>
              <w:ind w:left="0"/>
              <w:jc w:val="center"/>
            </w:pPr>
            <w:r>
              <w:rPr>
                <w:rFonts w:hint="eastAsia"/>
              </w:rPr>
              <w:t>2</w:t>
            </w:r>
          </w:p>
        </w:tc>
        <w:tc>
          <w:tcPr>
            <w:tcW w:w="993" w:type="dxa"/>
            <w:vAlign w:val="center"/>
          </w:tcPr>
          <w:p>
            <w:pPr>
              <w:pStyle w:val="4"/>
              <w:autoSpaceDE w:val="0"/>
              <w:autoSpaceDN w:val="0"/>
              <w:spacing w:line="360" w:lineRule="auto"/>
              <w:ind w:left="0"/>
              <w:jc w:val="center"/>
            </w:pPr>
            <w:r>
              <w:rPr>
                <w:rFonts w:hint="eastAsia"/>
              </w:rPr>
              <w:t>茆雅婷</w:t>
            </w:r>
          </w:p>
        </w:tc>
        <w:tc>
          <w:tcPr>
            <w:tcW w:w="1559" w:type="dxa"/>
            <w:vAlign w:val="center"/>
          </w:tcPr>
          <w:p>
            <w:pPr>
              <w:pStyle w:val="4"/>
              <w:autoSpaceDE w:val="0"/>
              <w:autoSpaceDN w:val="0"/>
              <w:spacing w:line="360" w:lineRule="auto"/>
              <w:ind w:left="0"/>
              <w:jc w:val="center"/>
            </w:pPr>
            <w:r>
              <w:rPr>
                <w:rFonts w:hint="eastAsia"/>
              </w:rPr>
              <w:t>小学教育</w:t>
            </w:r>
          </w:p>
        </w:tc>
        <w:tc>
          <w:tcPr>
            <w:tcW w:w="2163" w:type="dxa"/>
            <w:vAlign w:val="center"/>
          </w:tcPr>
          <w:p>
            <w:pPr>
              <w:pStyle w:val="4"/>
              <w:autoSpaceDE w:val="0"/>
              <w:autoSpaceDN w:val="0"/>
              <w:spacing w:line="360" w:lineRule="auto"/>
              <w:ind w:left="0"/>
              <w:jc w:val="center"/>
            </w:pPr>
            <w:r>
              <w:rPr>
                <w:rFonts w:hint="eastAsia"/>
                <w:kern w:val="0"/>
              </w:rPr>
              <w:t>大学生科技特派员</w:t>
            </w:r>
          </w:p>
        </w:tc>
        <w:tc>
          <w:tcPr>
            <w:tcW w:w="3365" w:type="dxa"/>
            <w:vAlign w:val="center"/>
          </w:tcPr>
          <w:p>
            <w:pPr>
              <w:pStyle w:val="4"/>
              <w:autoSpaceDE w:val="0"/>
              <w:autoSpaceDN w:val="0"/>
              <w:spacing w:line="360" w:lineRule="auto"/>
              <w:ind w:left="0"/>
              <w:jc w:val="center"/>
            </w:pPr>
            <w:r>
              <w:rPr>
                <w:rFonts w:hint="eastAsia"/>
                <w:kern w:val="0"/>
              </w:rPr>
              <w:t>安徽宣城文昌镇人民政府</w:t>
            </w:r>
          </w:p>
        </w:tc>
      </w:tr>
    </w:tbl>
    <w:p>
      <w:pPr>
        <w:pStyle w:val="4"/>
        <w:autoSpaceDE w:val="0"/>
        <w:autoSpaceDN w:val="0"/>
        <w:spacing w:line="360" w:lineRule="auto"/>
        <w:ind w:left="0" w:firstLine="480" w:firstLineChars="200"/>
        <w:jc w:val="left"/>
      </w:pPr>
      <w:r>
        <w:rPr>
          <w:rFonts w:hint="eastAsia"/>
        </w:rPr>
        <w:t>同时，我院虽然男生少，2</w:t>
      </w:r>
      <w:r>
        <w:t>022</w:t>
      </w:r>
      <w:r>
        <w:rPr>
          <w:rFonts w:hint="eastAsia"/>
        </w:rPr>
        <w:t>届毕业生中只有1</w:t>
      </w:r>
      <w:r>
        <w:t>8</w:t>
      </w:r>
      <w:r>
        <w:rPr>
          <w:rFonts w:hint="eastAsia"/>
        </w:rPr>
        <w:t>名男生，但是学院高度重视大学生入伍工作，配合校武装部按时做好征兵的宣传动员等系列工作，面向全体男生召开征兵座谈会，邀请校保卫处副处长田野向毕业生宣讲大学生应征入伍政策，积极动员有志青年参军入伍，宣传“入伍是高质量就业”的思想。</w:t>
      </w:r>
    </w:p>
    <w:p>
      <w:pPr>
        <w:spacing w:line="360" w:lineRule="auto"/>
        <w:jc w:val="center"/>
        <w:rPr>
          <w:rFonts w:ascii="宋体" w:hAnsi="宋体"/>
          <w:b/>
          <w:bCs/>
          <w:sz w:val="24"/>
          <w:szCs w:val="24"/>
        </w:rPr>
      </w:pPr>
      <w:r>
        <w:rPr>
          <w:rFonts w:hint="eastAsia" w:ascii="宋体" w:hAnsi="宋体"/>
          <w:color w:val="000000"/>
          <w:sz w:val="24"/>
          <w:szCs w:val="28"/>
        </w:rPr>
        <w:drawing>
          <wp:inline distT="0" distB="0" distL="0" distR="0">
            <wp:extent cx="4972050" cy="2849880"/>
            <wp:effectExtent l="0" t="0" r="0" b="7620"/>
            <wp:docPr id="47" name="图片 47" descr="%CYE4_9_D(8H$H5RYSTCFJ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CYE4_9_D(8H$H5RYSTCFJV"/>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a:xfrm>
                      <a:off x="0" y="0"/>
                      <a:ext cx="4984266" cy="2857165"/>
                    </a:xfrm>
                    <a:prstGeom prst="rect">
                      <a:avLst/>
                    </a:prstGeom>
                    <a:noFill/>
                    <a:ln>
                      <a:noFill/>
                    </a:ln>
                  </pic:spPr>
                </pic:pic>
              </a:graphicData>
            </a:graphic>
          </wp:inline>
        </w:drawing>
      </w:r>
    </w:p>
    <w:p>
      <w:pPr>
        <w:spacing w:line="360" w:lineRule="auto"/>
        <w:jc w:val="center"/>
        <w:rPr>
          <w:rFonts w:ascii="宋体" w:hAnsi="宋体"/>
          <w:b/>
          <w:bCs/>
          <w:sz w:val="24"/>
          <w:szCs w:val="24"/>
        </w:rPr>
      </w:pPr>
      <w:r>
        <w:rPr>
          <w:rFonts w:hint="eastAsia" w:ascii="宋体" w:hAnsi="宋体"/>
          <w:b/>
          <w:bCs/>
          <w:sz w:val="24"/>
          <w:szCs w:val="24"/>
        </w:rPr>
        <w:t>第八部分   教育学院毕业生创业情况</w:t>
      </w:r>
    </w:p>
    <w:p>
      <w:pPr>
        <w:spacing w:line="360" w:lineRule="auto"/>
        <w:ind w:firstLine="452" w:firstLineChars="200"/>
        <w:jc w:val="left"/>
        <w:rPr>
          <w:rFonts w:ascii="宋体" w:hAnsi="宋体"/>
          <w:b/>
          <w:color w:val="000000"/>
          <w:sz w:val="24"/>
          <w:szCs w:val="24"/>
        </w:rPr>
      </w:pPr>
      <w:r>
        <w:rPr>
          <w:rFonts w:hint="eastAsia" w:ascii="宋体" w:hAnsi="宋体"/>
          <w:spacing w:val="-7"/>
          <w:sz w:val="24"/>
          <w:szCs w:val="24"/>
          <w:lang w:bidi="zh-CN"/>
        </w:rPr>
        <w:t>我院积极开展创业教育，引导202</w:t>
      </w:r>
      <w:r>
        <w:rPr>
          <w:rFonts w:ascii="宋体" w:hAnsi="宋体"/>
          <w:spacing w:val="-7"/>
          <w:sz w:val="24"/>
          <w:szCs w:val="24"/>
          <w:lang w:bidi="zh-CN"/>
        </w:rPr>
        <w:t>2</w:t>
      </w:r>
      <w:r>
        <w:rPr>
          <w:rFonts w:hint="eastAsia" w:ascii="宋体" w:hAnsi="宋体"/>
          <w:spacing w:val="-7"/>
          <w:sz w:val="24"/>
          <w:szCs w:val="24"/>
          <w:lang w:bidi="zh-CN"/>
        </w:rPr>
        <w:t>届毕业生自主创业，开展多次就创业讲座。然而，目前我院202</w:t>
      </w:r>
      <w:r>
        <w:rPr>
          <w:rFonts w:ascii="宋体" w:hAnsi="宋体"/>
          <w:spacing w:val="-7"/>
          <w:sz w:val="24"/>
          <w:szCs w:val="24"/>
          <w:lang w:bidi="zh-CN"/>
        </w:rPr>
        <w:t>2</w:t>
      </w:r>
      <w:r>
        <w:rPr>
          <w:rFonts w:hint="eastAsia" w:ascii="宋体" w:hAnsi="宋体"/>
          <w:spacing w:val="-7"/>
          <w:sz w:val="24"/>
          <w:szCs w:val="24"/>
          <w:lang w:bidi="zh-CN"/>
        </w:rPr>
        <w:t>届毕业生没有真正走上创业之路。但值得注意的是，学生的创业意向较高，把创业作为今后职业发展的方向。</w:t>
      </w:r>
    </w:p>
    <w:p>
      <w:pPr>
        <w:spacing w:line="360" w:lineRule="auto"/>
        <w:ind w:firstLine="480" w:firstLineChars="200"/>
        <w:rPr>
          <w:rFonts w:ascii="宋体" w:hAnsi="宋体"/>
          <w:sz w:val="24"/>
          <w:szCs w:val="24"/>
        </w:rPr>
      </w:pPr>
    </w:p>
    <w:p>
      <w:pPr>
        <w:adjustRightInd w:val="0"/>
        <w:snapToGrid w:val="0"/>
        <w:spacing w:line="360" w:lineRule="auto"/>
        <w:jc w:val="center"/>
        <w:rPr>
          <w:rFonts w:hint="eastAsia" w:ascii="宋体" w:hAnsi="宋体" w:cs="宋体"/>
          <w:b/>
          <w:color w:val="000000"/>
          <w:sz w:val="32"/>
          <w:szCs w:val="32"/>
        </w:rPr>
      </w:pPr>
    </w:p>
    <w:p>
      <w:pPr>
        <w:pStyle w:val="2"/>
        <w:rPr>
          <w:rFonts w:hint="eastAsia"/>
        </w:rPr>
      </w:pPr>
    </w:p>
    <w:p>
      <w:pPr>
        <w:adjustRightInd w:val="0"/>
        <w:snapToGrid w:val="0"/>
        <w:spacing w:line="360" w:lineRule="auto"/>
        <w:jc w:val="center"/>
        <w:rPr>
          <w:rFonts w:hint="eastAsia" w:ascii="宋体" w:hAnsi="宋体" w:cs="宋体"/>
          <w:b/>
          <w:color w:val="000000"/>
          <w:sz w:val="32"/>
          <w:szCs w:val="32"/>
        </w:rPr>
      </w:pPr>
    </w:p>
    <w:p>
      <w:pPr>
        <w:adjustRightInd w:val="0"/>
        <w:snapToGrid w:val="0"/>
        <w:spacing w:line="360" w:lineRule="auto"/>
        <w:jc w:val="center"/>
        <w:rPr>
          <w:rFonts w:hint="eastAsia" w:ascii="宋体" w:hAnsi="宋体" w:cs="宋体"/>
          <w:b/>
          <w:bCs/>
          <w:color w:val="000000"/>
          <w:kern w:val="0"/>
          <w:sz w:val="32"/>
          <w:szCs w:val="32"/>
          <w:lang w:bidi="ar"/>
        </w:rPr>
      </w:pPr>
      <w:bookmarkStart w:id="5" w:name="_GoBack"/>
      <w:bookmarkEnd w:id="5"/>
      <w:r>
        <w:rPr>
          <w:rFonts w:hint="eastAsia" w:ascii="宋体" w:hAnsi="宋体" w:cs="宋体"/>
          <w:b/>
          <w:color w:val="000000"/>
          <w:sz w:val="32"/>
          <w:szCs w:val="32"/>
        </w:rPr>
        <w:t>合肥学院</w:t>
      </w:r>
      <w:r>
        <w:rPr>
          <w:rFonts w:hint="eastAsia" w:ascii="宋体" w:hAnsi="宋体" w:cs="宋体"/>
          <w:b/>
          <w:bCs/>
          <w:color w:val="000000"/>
          <w:kern w:val="0"/>
          <w:sz w:val="32"/>
          <w:szCs w:val="32"/>
          <w:lang w:eastAsia="zh-CN" w:bidi="ar"/>
        </w:rPr>
        <w:t>外国语学院</w:t>
      </w:r>
      <w:r>
        <w:rPr>
          <w:rFonts w:hint="eastAsia" w:ascii="宋体" w:hAnsi="宋体" w:cs="宋体"/>
          <w:b/>
          <w:bCs/>
          <w:color w:val="000000"/>
          <w:kern w:val="0"/>
          <w:sz w:val="32"/>
          <w:szCs w:val="32"/>
          <w:lang w:bidi="ar"/>
        </w:rPr>
        <w:t>20</w:t>
      </w:r>
      <w:r>
        <w:rPr>
          <w:rFonts w:hint="eastAsia" w:ascii="宋体" w:hAnsi="宋体" w:cs="宋体"/>
          <w:b/>
          <w:bCs/>
          <w:color w:val="000000"/>
          <w:kern w:val="0"/>
          <w:sz w:val="32"/>
          <w:szCs w:val="32"/>
          <w:lang w:val="en-US" w:eastAsia="zh-CN" w:bidi="ar"/>
        </w:rPr>
        <w:t>22</w:t>
      </w:r>
      <w:r>
        <w:rPr>
          <w:rFonts w:hint="eastAsia" w:ascii="宋体" w:hAnsi="宋体" w:cs="宋体"/>
          <w:b/>
          <w:bCs/>
          <w:color w:val="000000"/>
          <w:kern w:val="0"/>
          <w:sz w:val="32"/>
          <w:szCs w:val="32"/>
          <w:lang w:bidi="ar"/>
        </w:rPr>
        <w:t>年就业评估自查报告</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cs="宋体"/>
          <w:sz w:val="24"/>
          <w:szCs w:val="24"/>
          <w:lang w:val="en-US" w:eastAsia="zh-CN"/>
        </w:rPr>
      </w:pPr>
      <w:r>
        <w:rPr>
          <w:rFonts w:hint="eastAsia" w:ascii="宋体" w:hAnsi="宋体" w:eastAsia="宋体" w:cs="Times New Roman"/>
          <w:color w:val="000000"/>
          <w:sz w:val="24"/>
        </w:rPr>
        <w:t>就业是最大的民生，大国就业是大民生。党和政府历来高度重视就业工作，将就业摆在“六稳”工作、“六保”任务之首。党的二十大报告明确提出，实施就业优先战略，强化就业优先政策，健全就业公共服务体系，加强困难群体就业兜底帮扶，消除影响平等就业的不合理限制和就业歧视，使人人都有通过勤奋劳动实现自身发展的机会。</w:t>
      </w:r>
      <w:r>
        <w:rPr>
          <w:rFonts w:hint="eastAsia" w:ascii="宋体" w:hAnsi="宋体" w:cs="宋体"/>
          <w:sz w:val="24"/>
          <w:szCs w:val="24"/>
          <w:lang w:eastAsia="zh-CN"/>
        </w:rPr>
        <w:t>外国语学院高度重视毕业生就业工作，在</w:t>
      </w:r>
      <w:r>
        <w:rPr>
          <w:rFonts w:hint="eastAsia" w:ascii="宋体" w:hAnsi="宋体" w:cs="宋体"/>
          <w:sz w:val="24"/>
          <w:szCs w:val="24"/>
          <w:lang w:val="en-US" w:eastAsia="zh-CN"/>
        </w:rPr>
        <w:t>学校</w:t>
      </w:r>
      <w:r>
        <w:rPr>
          <w:rFonts w:hint="eastAsia" w:ascii="宋体" w:hAnsi="宋体" w:cs="宋体"/>
          <w:sz w:val="24"/>
          <w:szCs w:val="24"/>
          <w:lang w:eastAsia="zh-CN"/>
        </w:rPr>
        <w:t>领导的大力支持</w:t>
      </w:r>
      <w:r>
        <w:rPr>
          <w:rFonts w:hint="eastAsia" w:ascii="宋体" w:hAnsi="宋体" w:cs="宋体"/>
          <w:sz w:val="24"/>
          <w:szCs w:val="24"/>
          <w:lang w:val="en-US" w:eastAsia="zh-CN"/>
        </w:rPr>
        <w:t>和帮扶</w:t>
      </w:r>
      <w:r>
        <w:rPr>
          <w:rFonts w:hint="eastAsia" w:ascii="宋体" w:hAnsi="宋体" w:cs="宋体"/>
          <w:sz w:val="24"/>
          <w:szCs w:val="24"/>
          <w:lang w:eastAsia="zh-CN"/>
        </w:rPr>
        <w:t>下，学院就业工作机制不断完善，就业工作开展</w:t>
      </w:r>
      <w:r>
        <w:rPr>
          <w:rFonts w:hint="eastAsia" w:ascii="宋体" w:hAnsi="宋体" w:cs="宋体"/>
          <w:sz w:val="24"/>
          <w:szCs w:val="24"/>
          <w:lang w:val="en-US" w:eastAsia="zh-CN"/>
        </w:rPr>
        <w:t>有序</w:t>
      </w:r>
      <w:r>
        <w:rPr>
          <w:rFonts w:hint="eastAsia" w:ascii="宋体" w:hAnsi="宋体" w:cs="宋体"/>
          <w:sz w:val="24"/>
          <w:szCs w:val="24"/>
          <w:lang w:eastAsia="zh-CN"/>
        </w:rPr>
        <w:t>，取得了良好的成效。</w:t>
      </w:r>
      <w:r>
        <w:rPr>
          <w:rFonts w:hint="eastAsia" w:ascii="宋体" w:hAnsi="宋体" w:cs="宋体"/>
          <w:sz w:val="24"/>
          <w:szCs w:val="24"/>
          <w:lang w:val="en-US" w:eastAsia="zh-CN"/>
        </w:rPr>
        <w:t>2022年，面对严峻的就业形势，外国语学院稳扎稳打，充分发挥全员力量，采取全方位的就业举措，确保对毕业生做到全程跟踪，就业率稳步上升，达到了预期的就业目标，</w:t>
      </w:r>
      <w:r>
        <w:rPr>
          <w:rFonts w:hint="eastAsia" w:ascii="宋体" w:hAnsi="宋体"/>
          <w:color w:val="000000"/>
          <w:sz w:val="24"/>
        </w:rPr>
        <w:t>较好地解决了</w:t>
      </w:r>
      <w:r>
        <w:rPr>
          <w:rFonts w:hint="eastAsia" w:ascii="宋体" w:hAnsi="宋体"/>
          <w:color w:val="000000"/>
          <w:sz w:val="24"/>
          <w:lang w:val="en-US" w:eastAsia="zh-CN"/>
        </w:rPr>
        <w:t>我院</w:t>
      </w:r>
      <w:r>
        <w:rPr>
          <w:rFonts w:hint="eastAsia" w:ascii="宋体" w:hAnsi="宋体"/>
          <w:sz w:val="24"/>
          <w:lang w:val="en-US" w:eastAsia="zh-CN"/>
        </w:rPr>
        <w:t>4</w:t>
      </w:r>
      <w:r>
        <w:rPr>
          <w:rFonts w:hint="eastAsia" w:ascii="宋体" w:hAnsi="宋体"/>
          <w:sz w:val="24"/>
        </w:rPr>
        <w:t>个专业</w:t>
      </w:r>
      <w:r>
        <w:rPr>
          <w:rFonts w:hint="eastAsia" w:ascii="宋体" w:hAnsi="宋体"/>
          <w:sz w:val="24"/>
          <w:lang w:val="en-US" w:eastAsia="zh-CN"/>
        </w:rPr>
        <w:t>6</w:t>
      </w:r>
      <w:r>
        <w:rPr>
          <w:rFonts w:hint="eastAsia" w:ascii="宋体" w:hAnsi="宋体"/>
          <w:sz w:val="24"/>
        </w:rPr>
        <w:t>个班级共计</w:t>
      </w:r>
      <w:r>
        <w:rPr>
          <w:rFonts w:hint="eastAsia" w:ascii="宋体" w:hAnsi="宋体"/>
          <w:color w:val="000000"/>
          <w:sz w:val="24"/>
          <w:lang w:val="en-US" w:eastAsia="zh-CN"/>
        </w:rPr>
        <w:t>184</w:t>
      </w:r>
      <w:r>
        <w:rPr>
          <w:rFonts w:hint="eastAsia" w:ascii="宋体" w:hAnsi="宋体"/>
          <w:color w:val="000000"/>
          <w:sz w:val="24"/>
        </w:rPr>
        <w:t>名毕业生的就业问题</w:t>
      </w:r>
      <w:r>
        <w:rPr>
          <w:rFonts w:hint="eastAsia" w:ascii="宋体" w:hAnsi="宋体" w:cs="宋体"/>
          <w:sz w:val="24"/>
          <w:szCs w:val="24"/>
          <w:lang w:val="en-US" w:eastAsia="zh-CN"/>
        </w:rPr>
        <w:t>。现就我院2021-2022年度毕业生就业工作自评如下。</w:t>
      </w:r>
    </w:p>
    <w:p>
      <w:pPr>
        <w:adjustRightInd w:val="0"/>
        <w:snapToGrid w:val="0"/>
        <w:spacing w:line="360" w:lineRule="auto"/>
        <w:ind w:firstLine="482" w:firstLineChars="200"/>
        <w:rPr>
          <w:rFonts w:hint="eastAsia" w:ascii="宋体" w:hAnsi="宋体"/>
          <w:b/>
          <w:bCs/>
          <w:color w:val="000000"/>
          <w:sz w:val="24"/>
        </w:rPr>
      </w:pPr>
      <w:r>
        <w:rPr>
          <w:rFonts w:hint="eastAsia" w:ascii="宋体" w:hAnsi="宋体"/>
          <w:b/>
          <w:bCs/>
          <w:color w:val="000000"/>
          <w:sz w:val="24"/>
        </w:rPr>
        <w:t>第一部分：</w:t>
      </w:r>
      <w:r>
        <w:rPr>
          <w:rFonts w:hint="eastAsia" w:ascii="宋体" w:hAnsi="宋体"/>
          <w:b/>
          <w:bCs/>
          <w:color w:val="000000"/>
          <w:sz w:val="24"/>
          <w:lang w:val="en-US" w:eastAsia="zh-CN"/>
        </w:rPr>
        <w:t>外国语学院</w:t>
      </w:r>
      <w:r>
        <w:rPr>
          <w:rFonts w:hint="eastAsia" w:ascii="宋体" w:hAnsi="宋体"/>
          <w:b/>
          <w:bCs/>
          <w:color w:val="000000"/>
          <w:sz w:val="24"/>
        </w:rPr>
        <w:t>就业基本情况</w:t>
      </w:r>
    </w:p>
    <w:p>
      <w:pPr>
        <w:adjustRightInd w:val="0"/>
        <w:snapToGrid w:val="0"/>
        <w:spacing w:line="360" w:lineRule="auto"/>
        <w:ind w:firstLine="480" w:firstLineChars="200"/>
        <w:rPr>
          <w:rFonts w:hint="eastAsia" w:ascii="宋体" w:hAnsi="宋体" w:eastAsia="宋体" w:cs="宋体"/>
          <w:sz w:val="24"/>
          <w:szCs w:val="24"/>
          <w:lang w:val="en-US" w:eastAsia="zh-CN"/>
        </w:rPr>
      </w:pPr>
      <w:r>
        <w:rPr>
          <w:rFonts w:hint="eastAsia" w:ascii="宋体" w:hAnsi="宋体"/>
          <w:color w:val="000000"/>
          <w:sz w:val="24"/>
        </w:rPr>
        <w:t>20</w:t>
      </w:r>
      <w:r>
        <w:rPr>
          <w:rFonts w:hint="eastAsia" w:ascii="宋体" w:hAnsi="宋体"/>
          <w:color w:val="000000"/>
          <w:sz w:val="24"/>
          <w:lang w:val="en-US" w:eastAsia="zh-CN"/>
        </w:rPr>
        <w:t>22</w:t>
      </w:r>
      <w:r>
        <w:rPr>
          <w:rFonts w:hint="eastAsia" w:ascii="宋体" w:hAnsi="宋体"/>
          <w:color w:val="000000"/>
          <w:sz w:val="24"/>
        </w:rPr>
        <w:t>届毕业生人数</w:t>
      </w:r>
      <w:r>
        <w:rPr>
          <w:rFonts w:hint="eastAsia" w:ascii="宋体" w:hAnsi="宋体"/>
          <w:color w:val="000000"/>
          <w:sz w:val="24"/>
          <w:lang w:val="en-US" w:eastAsia="zh-CN"/>
        </w:rPr>
        <w:t>184</w:t>
      </w:r>
      <w:r>
        <w:rPr>
          <w:rFonts w:hint="eastAsia" w:ascii="宋体" w:hAnsi="宋体"/>
          <w:color w:val="000000"/>
          <w:sz w:val="24"/>
        </w:rPr>
        <w:t>名，截止到201</w:t>
      </w:r>
      <w:r>
        <w:rPr>
          <w:rFonts w:ascii="宋体" w:hAnsi="宋体"/>
          <w:color w:val="000000"/>
          <w:sz w:val="24"/>
        </w:rPr>
        <w:t>8</w:t>
      </w:r>
      <w:r>
        <w:rPr>
          <w:rFonts w:hint="eastAsia" w:ascii="宋体" w:hAnsi="宋体"/>
          <w:color w:val="000000"/>
          <w:sz w:val="24"/>
        </w:rPr>
        <w:t>年</w:t>
      </w:r>
      <w:r>
        <w:rPr>
          <w:rFonts w:ascii="宋体" w:hAnsi="宋体"/>
          <w:color w:val="000000"/>
          <w:sz w:val="24"/>
        </w:rPr>
        <w:t>8</w:t>
      </w:r>
      <w:r>
        <w:rPr>
          <w:rFonts w:hint="eastAsia" w:ascii="宋体" w:hAnsi="宋体"/>
          <w:color w:val="000000"/>
          <w:sz w:val="24"/>
        </w:rPr>
        <w:t>月31日，</w:t>
      </w:r>
      <w:r>
        <w:rPr>
          <w:rFonts w:hint="eastAsia" w:ascii="宋体" w:hAnsi="宋体"/>
          <w:color w:val="000000"/>
          <w:sz w:val="24"/>
          <w:lang w:val="en-US" w:eastAsia="zh-CN"/>
        </w:rPr>
        <w:t>初次</w:t>
      </w:r>
      <w:r>
        <w:rPr>
          <w:rFonts w:hint="eastAsia" w:ascii="宋体" w:hAnsi="宋体"/>
          <w:color w:val="000000"/>
          <w:sz w:val="24"/>
        </w:rPr>
        <w:t>就业率</w:t>
      </w:r>
      <w:r>
        <w:rPr>
          <w:rFonts w:hint="eastAsia" w:ascii="宋体" w:hAnsi="宋体"/>
          <w:color w:val="000000"/>
          <w:sz w:val="24"/>
          <w:lang w:eastAsia="zh-CN"/>
        </w:rPr>
        <w:t>已</w:t>
      </w:r>
      <w:r>
        <w:rPr>
          <w:rFonts w:hint="eastAsia" w:ascii="宋体" w:hAnsi="宋体"/>
          <w:color w:val="000000"/>
          <w:sz w:val="24"/>
        </w:rPr>
        <w:t>达到</w:t>
      </w:r>
      <w:r>
        <w:rPr>
          <w:rFonts w:hint="eastAsia" w:ascii="宋体" w:hAnsi="宋体"/>
          <w:color w:val="000000"/>
          <w:sz w:val="24"/>
          <w:lang w:val="en-US" w:eastAsia="zh-CN"/>
        </w:rPr>
        <w:t>93.48</w:t>
      </w:r>
      <w:r>
        <w:rPr>
          <w:rFonts w:hint="eastAsia" w:ascii="宋体" w:hAnsi="宋体"/>
          <w:color w:val="000000"/>
          <w:sz w:val="24"/>
        </w:rPr>
        <w:t>%。其中考上研究生的是</w:t>
      </w:r>
      <w:r>
        <w:rPr>
          <w:rFonts w:hint="eastAsia" w:ascii="宋体" w:hAnsi="宋体"/>
          <w:color w:val="000000"/>
          <w:sz w:val="24"/>
          <w:lang w:val="en-US" w:eastAsia="zh-CN"/>
        </w:rPr>
        <w:t>13</w:t>
      </w:r>
      <w:r>
        <w:rPr>
          <w:rFonts w:hint="eastAsia" w:ascii="宋体" w:hAnsi="宋体"/>
          <w:color w:val="000000"/>
          <w:sz w:val="24"/>
        </w:rPr>
        <w:t>名同学，占总数的</w:t>
      </w:r>
      <w:r>
        <w:rPr>
          <w:rFonts w:hint="eastAsia" w:ascii="宋体" w:hAnsi="宋体"/>
          <w:color w:val="000000"/>
          <w:sz w:val="24"/>
          <w:lang w:val="en-US" w:eastAsia="zh-CN"/>
        </w:rPr>
        <w:t>7.06</w:t>
      </w:r>
      <w:r>
        <w:rPr>
          <w:rFonts w:hint="eastAsia" w:ascii="宋体" w:hAnsi="宋体"/>
          <w:color w:val="000000"/>
          <w:sz w:val="24"/>
        </w:rPr>
        <w:t>%；</w:t>
      </w:r>
      <w:r>
        <w:rPr>
          <w:rFonts w:hint="eastAsia" w:ascii="宋体" w:hAnsi="宋体" w:eastAsia="宋体" w:cs="Arial"/>
          <w:kern w:val="0"/>
          <w:sz w:val="24"/>
          <w:szCs w:val="24"/>
          <w:lang w:val="en-US" w:eastAsia="zh-CN" w:bidi="ar-SA"/>
        </w:rPr>
        <w:t>10名学生出国深造，1名18英语（2）武昱龙应征入伍</w:t>
      </w:r>
      <w:r>
        <w:rPr>
          <w:rFonts w:hint="eastAsia" w:ascii="宋体" w:hAnsi="宋体" w:eastAsia="宋体" w:cs="宋体"/>
          <w:sz w:val="24"/>
          <w:szCs w:val="24"/>
          <w:lang w:val="en-US" w:eastAsia="zh-CN"/>
        </w:rPr>
        <w:t>，1名18朝鲜语（2+2）周琪同学考上北京海关公务员，1名18日语许慧同学考上海市体育局事业单位，1名18英语（2）陶小龙参加新疆阿拉尔的西部计划，毕业生留皖率72.55%，留肥率50.98%，截止到2022年12月12日我们就业率是96.73%。在2022届毕业生中，我院有6名同学由于学业问题成为编下学生。184名毕业生全部文明离校，未发生任何违纪事件。</w:t>
      </w:r>
    </w:p>
    <w:p>
      <w:pPr>
        <w:adjustRightInd w:val="0"/>
        <w:snapToGrid w:val="0"/>
        <w:spacing w:line="360" w:lineRule="auto"/>
        <w:ind w:firstLine="480" w:firstLineChars="200"/>
        <w:rPr>
          <w:rFonts w:hint="default" w:ascii="宋体" w:hAnsi="宋体"/>
          <w:color w:val="000000"/>
          <w:sz w:val="24"/>
          <w:lang w:val="en-US" w:eastAsia="zh-CN"/>
        </w:rPr>
      </w:pPr>
      <w:r>
        <w:rPr>
          <w:rFonts w:hint="eastAsia" w:ascii="宋体" w:hAnsi="宋体" w:eastAsia="宋体" w:cs="宋体"/>
          <w:sz w:val="24"/>
          <w:szCs w:val="24"/>
          <w:lang w:val="en-US" w:eastAsia="zh-CN"/>
        </w:rPr>
        <w:t>英语：</w:t>
      </w:r>
      <w:r>
        <w:rPr>
          <w:rFonts w:hint="eastAsia" w:ascii="宋体" w:hAnsi="宋体"/>
          <w:color w:val="000000"/>
          <w:sz w:val="24"/>
        </w:rPr>
        <w:t>该专业有</w:t>
      </w:r>
      <w:r>
        <w:rPr>
          <w:rFonts w:hint="eastAsia" w:ascii="宋体" w:hAnsi="宋体"/>
          <w:color w:val="000000"/>
          <w:sz w:val="24"/>
          <w:lang w:val="en-US" w:eastAsia="zh-CN"/>
        </w:rPr>
        <w:t>2</w:t>
      </w:r>
      <w:r>
        <w:rPr>
          <w:rFonts w:hint="eastAsia" w:ascii="宋体" w:hAnsi="宋体"/>
          <w:color w:val="000000"/>
          <w:sz w:val="24"/>
        </w:rPr>
        <w:t>个班级，人数总计</w:t>
      </w:r>
      <w:r>
        <w:rPr>
          <w:rFonts w:hint="eastAsia" w:ascii="宋体" w:hAnsi="宋体"/>
          <w:color w:val="000000"/>
          <w:sz w:val="24"/>
          <w:lang w:val="en-US" w:eastAsia="zh-CN"/>
        </w:rPr>
        <w:t>66</w:t>
      </w:r>
      <w:r>
        <w:rPr>
          <w:rFonts w:hint="eastAsia" w:ascii="宋体" w:hAnsi="宋体"/>
          <w:color w:val="000000"/>
          <w:sz w:val="24"/>
        </w:rPr>
        <w:t>名，顺利毕业</w:t>
      </w:r>
      <w:r>
        <w:rPr>
          <w:rFonts w:hint="eastAsia" w:ascii="宋体" w:hAnsi="宋体"/>
          <w:color w:val="000000"/>
          <w:sz w:val="24"/>
          <w:lang w:val="en-US" w:eastAsia="zh-CN"/>
        </w:rPr>
        <w:t>62</w:t>
      </w:r>
      <w:r>
        <w:rPr>
          <w:rFonts w:hint="eastAsia" w:ascii="宋体" w:hAnsi="宋体"/>
          <w:color w:val="000000"/>
          <w:sz w:val="24"/>
        </w:rPr>
        <w:t>名</w:t>
      </w:r>
      <w:r>
        <w:rPr>
          <w:rFonts w:hint="eastAsia" w:ascii="宋体" w:hAnsi="宋体"/>
          <w:color w:val="000000"/>
          <w:sz w:val="24"/>
          <w:lang w:eastAsia="zh-CN"/>
        </w:rPr>
        <w:t>，</w:t>
      </w:r>
      <w:r>
        <w:rPr>
          <w:rFonts w:hint="eastAsia" w:ascii="宋体" w:hAnsi="宋体"/>
          <w:color w:val="000000"/>
          <w:sz w:val="24"/>
          <w:lang w:val="en-US" w:eastAsia="zh-CN"/>
        </w:rPr>
        <w:t>4名同学因为专业课程或公共课程没有按期毕业，英语专业总体就业率截止2022年12月15日是92.95%</w:t>
      </w:r>
      <w:r>
        <w:rPr>
          <w:rFonts w:hint="eastAsia" w:ascii="宋体" w:hAnsi="宋体"/>
          <w:color w:val="000000"/>
          <w:sz w:val="24"/>
        </w:rPr>
        <w:t>。在这</w:t>
      </w:r>
      <w:r>
        <w:rPr>
          <w:rFonts w:hint="eastAsia" w:ascii="宋体" w:hAnsi="宋体"/>
          <w:color w:val="000000"/>
          <w:sz w:val="24"/>
          <w:lang w:val="en-US" w:eastAsia="zh-CN"/>
        </w:rPr>
        <w:t>62</w:t>
      </w:r>
      <w:r>
        <w:rPr>
          <w:rFonts w:hint="eastAsia" w:ascii="宋体" w:hAnsi="宋体"/>
          <w:color w:val="000000"/>
          <w:sz w:val="24"/>
        </w:rPr>
        <w:t>名毕业生中，考上研究生</w:t>
      </w:r>
      <w:r>
        <w:rPr>
          <w:rFonts w:hint="eastAsia" w:ascii="宋体" w:hAnsi="宋体"/>
          <w:color w:val="000000"/>
          <w:sz w:val="24"/>
          <w:lang w:val="en-US" w:eastAsia="zh-CN"/>
        </w:rPr>
        <w:t>6</w:t>
      </w:r>
      <w:r>
        <w:rPr>
          <w:rFonts w:hint="eastAsia" w:ascii="宋体" w:hAnsi="宋体"/>
          <w:color w:val="000000"/>
          <w:sz w:val="24"/>
        </w:rPr>
        <w:t>名，</w:t>
      </w:r>
      <w:r>
        <w:rPr>
          <w:rFonts w:hint="eastAsia" w:ascii="宋体" w:hAnsi="宋体"/>
          <w:color w:val="000000"/>
          <w:sz w:val="24"/>
          <w:lang w:val="en-US" w:eastAsia="zh-CN"/>
        </w:rPr>
        <w:t>考研率9.7%</w:t>
      </w:r>
      <w:r>
        <w:rPr>
          <w:rFonts w:hint="eastAsia" w:ascii="宋体" w:hAnsi="宋体"/>
          <w:color w:val="000000"/>
          <w:sz w:val="24"/>
        </w:rPr>
        <w:t>，是2</w:t>
      </w:r>
      <w:r>
        <w:rPr>
          <w:rFonts w:ascii="宋体" w:hAnsi="宋体"/>
          <w:color w:val="000000"/>
          <w:sz w:val="24"/>
        </w:rPr>
        <w:t>0</w:t>
      </w:r>
      <w:r>
        <w:rPr>
          <w:rFonts w:hint="eastAsia" w:ascii="宋体" w:hAnsi="宋体"/>
          <w:color w:val="000000"/>
          <w:sz w:val="24"/>
          <w:lang w:val="en-US" w:eastAsia="zh-CN"/>
        </w:rPr>
        <w:t>22</w:t>
      </w:r>
      <w:r>
        <w:rPr>
          <w:rFonts w:hint="eastAsia" w:ascii="宋体" w:hAnsi="宋体"/>
          <w:color w:val="000000"/>
          <w:sz w:val="24"/>
        </w:rPr>
        <w:t>年</w:t>
      </w:r>
      <w:r>
        <w:rPr>
          <w:rFonts w:hint="eastAsia" w:ascii="宋体" w:hAnsi="宋体"/>
          <w:color w:val="000000"/>
          <w:sz w:val="24"/>
          <w:lang w:val="en-US" w:eastAsia="zh-CN"/>
        </w:rPr>
        <w:t>英语专业</w:t>
      </w:r>
      <w:r>
        <w:rPr>
          <w:rFonts w:hint="eastAsia" w:ascii="宋体" w:hAnsi="宋体"/>
          <w:color w:val="000000"/>
          <w:sz w:val="24"/>
        </w:rPr>
        <w:t>考取</w:t>
      </w:r>
      <w:r>
        <w:rPr>
          <w:rFonts w:hint="eastAsia" w:ascii="宋体" w:hAnsi="宋体"/>
          <w:color w:val="000000"/>
          <w:sz w:val="24"/>
          <w:lang w:val="en-US" w:eastAsia="zh-CN"/>
        </w:rPr>
        <w:t>研究生较好的态势</w:t>
      </w:r>
      <w:r>
        <w:rPr>
          <w:rFonts w:hint="eastAsia" w:ascii="宋体" w:hAnsi="宋体"/>
          <w:color w:val="000000"/>
          <w:sz w:val="24"/>
        </w:rPr>
        <w:t>。有</w:t>
      </w:r>
      <w:r>
        <w:rPr>
          <w:rFonts w:hint="eastAsia" w:ascii="宋体" w:hAnsi="宋体"/>
          <w:color w:val="000000"/>
          <w:sz w:val="24"/>
          <w:lang w:val="en-US" w:eastAsia="zh-CN"/>
        </w:rPr>
        <w:t>1</w:t>
      </w:r>
      <w:r>
        <w:rPr>
          <w:rFonts w:hint="eastAsia" w:ascii="宋体" w:hAnsi="宋体"/>
          <w:color w:val="000000"/>
          <w:sz w:val="24"/>
        </w:rPr>
        <w:t>名同学到合肥创趣电子科技有限公司</w:t>
      </w:r>
      <w:r>
        <w:rPr>
          <w:rFonts w:hint="eastAsia" w:ascii="宋体" w:hAnsi="宋体"/>
          <w:color w:val="000000"/>
          <w:sz w:val="24"/>
          <w:lang w:val="en-US" w:eastAsia="zh-CN"/>
        </w:rPr>
        <w:t>工作</w:t>
      </w:r>
      <w:r>
        <w:rPr>
          <w:rFonts w:hint="eastAsia" w:ascii="宋体" w:hAnsi="宋体"/>
          <w:color w:val="000000"/>
          <w:sz w:val="24"/>
        </w:rPr>
        <w:t>，</w:t>
      </w:r>
      <w:r>
        <w:rPr>
          <w:rFonts w:hint="eastAsia" w:ascii="宋体" w:hAnsi="宋体"/>
          <w:color w:val="000000"/>
          <w:sz w:val="24"/>
          <w:lang w:val="en-US" w:eastAsia="zh-CN"/>
        </w:rPr>
        <w:t>该单位是外国语学院校友企业。18英语（2）班武昱龙同学体检、政审双合格，从户籍所在地应征入伍，还有</w:t>
      </w:r>
      <w:r>
        <w:rPr>
          <w:rFonts w:hint="eastAsia" w:ascii="宋体" w:hAnsi="宋体" w:eastAsia="宋体" w:cs="宋体"/>
          <w:sz w:val="24"/>
          <w:szCs w:val="24"/>
          <w:lang w:val="en-US" w:eastAsia="zh-CN"/>
        </w:rPr>
        <w:t>1名18英语（2）陶小龙参加新疆阿拉尔的西部计划</w:t>
      </w:r>
      <w:r>
        <w:rPr>
          <w:rFonts w:hint="eastAsia" w:ascii="宋体" w:hAnsi="宋体"/>
          <w:color w:val="000000"/>
          <w:sz w:val="24"/>
          <w:lang w:val="en-US" w:eastAsia="zh-CN"/>
        </w:rPr>
        <w:t>。英语专业在中科美菱低温科技股份有限公司上班有3名学生，该单位招聘岗位是海外营业部，从事外语翻译和推广工作，与学生所学专业契合度较高。</w:t>
      </w:r>
    </w:p>
    <w:p>
      <w:pPr>
        <w:adjustRightInd w:val="0"/>
        <w:snapToGrid w:val="0"/>
        <w:spacing w:line="360" w:lineRule="auto"/>
        <w:ind w:firstLine="480" w:firstLineChars="200"/>
        <w:rPr>
          <w:rFonts w:ascii="宋体" w:hAnsi="宋体"/>
          <w:color w:val="000000"/>
          <w:sz w:val="24"/>
        </w:rPr>
      </w:pPr>
      <w:r>
        <w:rPr>
          <w:rFonts w:hint="eastAsia" w:ascii="宋体" w:hAnsi="宋体"/>
          <w:color w:val="000000"/>
          <w:sz w:val="24"/>
          <w:lang w:val="en-US" w:eastAsia="zh-CN"/>
        </w:rPr>
        <w:t>德语</w:t>
      </w:r>
      <w:r>
        <w:rPr>
          <w:rFonts w:hint="eastAsia" w:ascii="宋体" w:hAnsi="宋体"/>
          <w:color w:val="000000"/>
          <w:sz w:val="24"/>
        </w:rPr>
        <w:t>：共</w:t>
      </w:r>
      <w:r>
        <w:rPr>
          <w:rFonts w:hint="eastAsia" w:ascii="宋体" w:hAnsi="宋体"/>
          <w:color w:val="000000"/>
          <w:sz w:val="24"/>
          <w:lang w:val="en-US" w:eastAsia="zh-CN"/>
        </w:rPr>
        <w:t>28</w:t>
      </w:r>
      <w:r>
        <w:rPr>
          <w:rFonts w:hint="eastAsia" w:ascii="宋体" w:hAnsi="宋体"/>
          <w:color w:val="000000"/>
          <w:sz w:val="24"/>
        </w:rPr>
        <w:t>名学生，顺利毕业</w:t>
      </w:r>
      <w:r>
        <w:rPr>
          <w:rFonts w:hint="eastAsia" w:ascii="宋体" w:hAnsi="宋体"/>
          <w:color w:val="000000"/>
          <w:sz w:val="24"/>
          <w:lang w:val="en-US" w:eastAsia="zh-CN"/>
        </w:rPr>
        <w:t>27</w:t>
      </w:r>
      <w:r>
        <w:rPr>
          <w:rFonts w:hint="eastAsia" w:ascii="宋体" w:hAnsi="宋体"/>
          <w:color w:val="000000"/>
          <w:sz w:val="24"/>
        </w:rPr>
        <w:t>名</w:t>
      </w:r>
      <w:r>
        <w:rPr>
          <w:rFonts w:hint="eastAsia" w:ascii="宋体" w:hAnsi="宋体"/>
          <w:color w:val="000000"/>
          <w:sz w:val="24"/>
          <w:lang w:eastAsia="zh-CN"/>
        </w:rPr>
        <w:t>，</w:t>
      </w:r>
      <w:r>
        <w:rPr>
          <w:rFonts w:hint="eastAsia" w:ascii="宋体" w:hAnsi="宋体"/>
          <w:color w:val="000000"/>
          <w:sz w:val="24"/>
          <w:lang w:val="en-US" w:eastAsia="zh-CN"/>
        </w:rPr>
        <w:t>1名学生编下</w:t>
      </w:r>
      <w:r>
        <w:rPr>
          <w:rFonts w:hint="eastAsia" w:ascii="宋体" w:hAnsi="宋体"/>
          <w:color w:val="000000"/>
          <w:sz w:val="24"/>
        </w:rPr>
        <w:t>。考取研究生</w:t>
      </w:r>
      <w:r>
        <w:rPr>
          <w:rFonts w:ascii="宋体" w:hAnsi="宋体"/>
          <w:color w:val="000000"/>
          <w:sz w:val="24"/>
        </w:rPr>
        <w:t>4</w:t>
      </w:r>
      <w:r>
        <w:rPr>
          <w:rFonts w:hint="eastAsia" w:ascii="宋体" w:hAnsi="宋体"/>
          <w:color w:val="000000"/>
          <w:sz w:val="24"/>
        </w:rPr>
        <w:t>名，</w:t>
      </w:r>
      <w:r>
        <w:rPr>
          <w:rFonts w:hint="eastAsia" w:ascii="宋体" w:hAnsi="宋体"/>
          <w:color w:val="000000"/>
          <w:sz w:val="24"/>
          <w:lang w:val="en-US" w:eastAsia="zh-CN"/>
        </w:rPr>
        <w:t>考研率是14.29%，是外国语学院专业考研最好的。</w:t>
      </w:r>
      <w:r>
        <w:rPr>
          <w:rFonts w:ascii="宋体" w:hAnsi="宋体"/>
          <w:color w:val="000000"/>
          <w:sz w:val="24"/>
        </w:rPr>
        <w:t>1</w:t>
      </w:r>
      <w:r>
        <w:rPr>
          <w:rFonts w:hint="eastAsia" w:ascii="宋体" w:hAnsi="宋体"/>
          <w:color w:val="000000"/>
          <w:sz w:val="24"/>
        </w:rPr>
        <w:t>名同学</w:t>
      </w:r>
      <w:r>
        <w:rPr>
          <w:rFonts w:hint="eastAsia" w:ascii="宋体" w:hAnsi="宋体"/>
          <w:color w:val="000000"/>
          <w:sz w:val="24"/>
          <w:lang w:val="en-US" w:eastAsia="zh-CN"/>
        </w:rPr>
        <w:t>打算在2023年出国深造</w:t>
      </w:r>
      <w:r>
        <w:rPr>
          <w:rFonts w:hint="eastAsia" w:ascii="宋体" w:hAnsi="宋体"/>
          <w:color w:val="000000"/>
          <w:sz w:val="24"/>
        </w:rPr>
        <w:t>，</w:t>
      </w:r>
      <w:r>
        <w:rPr>
          <w:rFonts w:hint="eastAsia" w:ascii="宋体" w:hAnsi="宋体"/>
          <w:color w:val="000000"/>
          <w:sz w:val="24"/>
          <w:lang w:eastAsia="zh-CN"/>
        </w:rPr>
        <w:t>截至目前</w:t>
      </w:r>
      <w:r>
        <w:rPr>
          <w:rFonts w:hint="eastAsia" w:ascii="宋体" w:hAnsi="宋体"/>
          <w:color w:val="000000"/>
          <w:sz w:val="24"/>
        </w:rPr>
        <w:t>本专业就业率</w:t>
      </w:r>
      <w:r>
        <w:rPr>
          <w:rFonts w:hint="eastAsia" w:ascii="宋体" w:hAnsi="宋体"/>
          <w:color w:val="000000"/>
          <w:sz w:val="24"/>
          <w:lang w:val="en-US" w:eastAsia="zh-CN"/>
        </w:rPr>
        <w:t>100</w:t>
      </w:r>
      <w:r>
        <w:rPr>
          <w:rFonts w:hint="eastAsia" w:ascii="宋体" w:hAnsi="宋体"/>
          <w:color w:val="000000"/>
          <w:sz w:val="24"/>
        </w:rPr>
        <w:t>%。</w:t>
      </w:r>
      <w:r>
        <w:rPr>
          <w:rFonts w:hint="eastAsia" w:ascii="宋体" w:hAnsi="宋体"/>
          <w:color w:val="000000"/>
          <w:sz w:val="24"/>
          <w:lang w:val="en-US" w:eastAsia="zh-CN"/>
        </w:rPr>
        <w:t>德语</w:t>
      </w:r>
      <w:r>
        <w:rPr>
          <w:rFonts w:hint="eastAsia" w:ascii="宋体" w:hAnsi="宋体"/>
          <w:color w:val="000000"/>
          <w:sz w:val="24"/>
        </w:rPr>
        <w:t>专业就业方向比较</w:t>
      </w:r>
      <w:r>
        <w:rPr>
          <w:rFonts w:hint="eastAsia" w:ascii="宋体" w:hAnsi="宋体"/>
          <w:color w:val="000000"/>
          <w:sz w:val="24"/>
          <w:lang w:val="en-US" w:eastAsia="zh-CN"/>
        </w:rPr>
        <w:t>宽泛</w:t>
      </w:r>
      <w:r>
        <w:rPr>
          <w:rFonts w:hint="eastAsia" w:ascii="宋体" w:hAnsi="宋体"/>
          <w:color w:val="000000"/>
          <w:sz w:val="24"/>
        </w:rPr>
        <w:t>，</w:t>
      </w:r>
      <w:r>
        <w:rPr>
          <w:rFonts w:hint="eastAsia" w:ascii="宋体" w:hAnsi="宋体"/>
          <w:color w:val="000000"/>
          <w:sz w:val="24"/>
          <w:lang w:val="en-US" w:eastAsia="zh-CN"/>
        </w:rPr>
        <w:t>学生基本去</w:t>
      </w:r>
      <w:r>
        <w:rPr>
          <w:rFonts w:hint="eastAsia" w:ascii="宋体" w:hAnsi="宋体"/>
          <w:color w:val="000000"/>
          <w:sz w:val="24"/>
        </w:rPr>
        <w:t>需三资企业或小型民营公司</w:t>
      </w:r>
      <w:r>
        <w:rPr>
          <w:rFonts w:hint="eastAsia" w:ascii="宋体" w:hAnsi="宋体"/>
          <w:color w:val="000000"/>
          <w:sz w:val="24"/>
          <w:lang w:val="en-US" w:eastAsia="zh-CN"/>
        </w:rPr>
        <w:t>较多</w:t>
      </w:r>
      <w:r>
        <w:rPr>
          <w:rFonts w:hint="eastAsia" w:ascii="宋体" w:hAnsi="宋体"/>
          <w:color w:val="000000"/>
          <w:sz w:val="24"/>
        </w:rPr>
        <w:t>。同时</w:t>
      </w:r>
      <w:r>
        <w:rPr>
          <w:rFonts w:hint="eastAsia" w:ascii="宋体" w:hAnsi="宋体"/>
          <w:color w:val="000000"/>
          <w:sz w:val="24"/>
          <w:lang w:val="en-US" w:eastAsia="zh-CN"/>
        </w:rPr>
        <w:t>德语</w:t>
      </w:r>
      <w:r>
        <w:rPr>
          <w:rFonts w:hint="eastAsia" w:ascii="宋体" w:hAnsi="宋体"/>
          <w:color w:val="000000"/>
          <w:sz w:val="24"/>
        </w:rPr>
        <w:t>专业受行业结构调整变化的影响也较</w:t>
      </w:r>
      <w:r>
        <w:rPr>
          <w:rFonts w:hint="eastAsia" w:ascii="宋体" w:hAnsi="宋体"/>
          <w:color w:val="000000"/>
          <w:sz w:val="24"/>
          <w:lang w:val="en-US" w:eastAsia="zh-CN"/>
        </w:rPr>
        <w:t>大</w:t>
      </w:r>
      <w:r>
        <w:rPr>
          <w:rFonts w:hint="eastAsia" w:ascii="宋体" w:hAnsi="宋体"/>
          <w:color w:val="000000"/>
          <w:sz w:val="24"/>
        </w:rPr>
        <w:t>，</w:t>
      </w:r>
      <w:r>
        <w:rPr>
          <w:rFonts w:hint="eastAsia" w:ascii="宋体" w:hAnsi="宋体"/>
          <w:color w:val="000000"/>
          <w:sz w:val="24"/>
          <w:lang w:val="en-US" w:eastAsia="zh-CN"/>
        </w:rPr>
        <w:t>受到经济影响明显，进入中德合作的企业难度较大</w:t>
      </w:r>
      <w:r>
        <w:rPr>
          <w:rFonts w:hint="eastAsia" w:ascii="宋体" w:hAnsi="宋体"/>
          <w:color w:val="000000"/>
          <w:sz w:val="24"/>
        </w:rPr>
        <w:t>。</w:t>
      </w:r>
    </w:p>
    <w:p>
      <w:pPr>
        <w:adjustRightInd w:val="0"/>
        <w:snapToGrid w:val="0"/>
        <w:spacing w:line="360" w:lineRule="auto"/>
        <w:ind w:firstLine="480" w:firstLineChars="200"/>
        <w:rPr>
          <w:rFonts w:hint="eastAsia" w:ascii="宋体" w:hAnsi="宋体"/>
          <w:color w:val="000000"/>
          <w:sz w:val="24"/>
        </w:rPr>
      </w:pPr>
      <w:r>
        <w:rPr>
          <w:rFonts w:hint="eastAsia" w:ascii="宋体" w:hAnsi="宋体" w:eastAsia="宋体" w:cs="Times New Roman"/>
          <w:color w:val="000000"/>
          <w:sz w:val="24"/>
          <w:lang w:val="en-US" w:eastAsia="zh-CN"/>
        </w:rPr>
        <w:t>日语</w:t>
      </w:r>
      <w:r>
        <w:rPr>
          <w:rFonts w:hint="eastAsia" w:ascii="宋体" w:hAnsi="宋体" w:eastAsia="宋体" w:cs="Times New Roman"/>
          <w:color w:val="000000"/>
          <w:sz w:val="24"/>
          <w:lang w:eastAsia="zh-CN"/>
        </w:rPr>
        <w:t>：</w:t>
      </w:r>
      <w:r>
        <w:rPr>
          <w:rFonts w:hint="eastAsia" w:ascii="宋体" w:hAnsi="宋体" w:eastAsia="宋体" w:cs="Times New Roman"/>
          <w:color w:val="000000"/>
          <w:sz w:val="24"/>
          <w:lang w:val="en-US" w:eastAsia="zh-CN"/>
        </w:rPr>
        <w:t>本年度毕业</w:t>
      </w:r>
      <w:r>
        <w:rPr>
          <w:rFonts w:hint="eastAsia" w:ascii="宋体" w:hAnsi="宋体" w:eastAsia="宋体"/>
          <w:color w:val="000000"/>
          <w:sz w:val="24"/>
          <w:lang w:val="en-US" w:eastAsia="zh-CN"/>
        </w:rPr>
        <w:t>31</w:t>
      </w:r>
      <w:r>
        <w:rPr>
          <w:rFonts w:hint="eastAsia" w:ascii="宋体" w:hAnsi="宋体"/>
          <w:color w:val="000000"/>
          <w:sz w:val="24"/>
        </w:rPr>
        <w:t>名学生，且</w:t>
      </w:r>
      <w:r>
        <w:rPr>
          <w:rFonts w:hint="eastAsia" w:ascii="宋体" w:hAnsi="宋体"/>
          <w:color w:val="000000"/>
          <w:sz w:val="24"/>
          <w:lang w:val="en-US" w:eastAsia="zh-CN"/>
        </w:rPr>
        <w:t>31</w:t>
      </w:r>
      <w:r>
        <w:rPr>
          <w:rFonts w:hint="eastAsia" w:ascii="宋体" w:hAnsi="宋体"/>
          <w:color w:val="000000"/>
          <w:sz w:val="24"/>
        </w:rPr>
        <w:t>名全部顺利毕业。</w:t>
      </w:r>
      <w:r>
        <w:rPr>
          <w:rFonts w:hint="eastAsia" w:ascii="宋体" w:hAnsi="宋体"/>
          <w:color w:val="000000"/>
          <w:sz w:val="24"/>
          <w:lang w:val="en-US" w:eastAsia="zh-CN"/>
        </w:rPr>
        <w:t>1</w:t>
      </w:r>
      <w:r>
        <w:rPr>
          <w:rFonts w:hint="eastAsia" w:ascii="宋体" w:hAnsi="宋体"/>
          <w:color w:val="000000"/>
          <w:sz w:val="24"/>
        </w:rPr>
        <w:t>名考取研究生，</w:t>
      </w:r>
      <w:r>
        <w:rPr>
          <w:rFonts w:hint="eastAsia" w:ascii="宋体" w:hAnsi="宋体"/>
          <w:color w:val="000000"/>
          <w:sz w:val="24"/>
          <w:lang w:val="en-US" w:eastAsia="zh-CN"/>
        </w:rPr>
        <w:t>1</w:t>
      </w:r>
      <w:r>
        <w:rPr>
          <w:rFonts w:hint="eastAsia" w:ascii="宋体" w:hAnsi="宋体"/>
          <w:color w:val="000000"/>
          <w:sz w:val="24"/>
        </w:rPr>
        <w:t>人考取浙江农林大学</w:t>
      </w:r>
      <w:r>
        <w:rPr>
          <w:rFonts w:hint="eastAsia" w:ascii="宋体" w:hAnsi="宋体"/>
          <w:color w:val="000000"/>
          <w:sz w:val="24"/>
          <w:lang w:val="en-US" w:eastAsia="zh-CN"/>
        </w:rPr>
        <w:t>第二学位，1名考上上海市静安区体育局事业编制</w:t>
      </w:r>
      <w:r>
        <w:rPr>
          <w:rFonts w:hint="eastAsia" w:ascii="宋体" w:hAnsi="宋体"/>
          <w:color w:val="000000"/>
          <w:sz w:val="24"/>
        </w:rPr>
        <w:t>。随着时代的发展，</w:t>
      </w:r>
      <w:r>
        <w:rPr>
          <w:rFonts w:hint="eastAsia" w:ascii="宋体" w:hAnsi="宋体"/>
          <w:color w:val="000000"/>
          <w:sz w:val="24"/>
          <w:lang w:val="en-US" w:eastAsia="zh-CN"/>
        </w:rPr>
        <w:t>日语专业的人才需求</w:t>
      </w:r>
      <w:r>
        <w:rPr>
          <w:rFonts w:hint="eastAsia" w:ascii="宋体" w:hAnsi="宋体"/>
          <w:color w:val="000000"/>
          <w:sz w:val="24"/>
        </w:rPr>
        <w:t>欣欣向荣，</w:t>
      </w:r>
      <w:r>
        <w:rPr>
          <w:rFonts w:hint="eastAsia" w:ascii="宋体" w:hAnsi="宋体"/>
          <w:color w:val="000000"/>
          <w:sz w:val="24"/>
          <w:lang w:val="en-US" w:eastAsia="zh-CN"/>
        </w:rPr>
        <w:t>市场</w:t>
      </w:r>
      <w:r>
        <w:rPr>
          <w:rFonts w:hint="eastAsia" w:ascii="宋体" w:hAnsi="宋体"/>
          <w:color w:val="000000"/>
          <w:sz w:val="24"/>
        </w:rPr>
        <w:t>管理的人才也非常庞大，来</w:t>
      </w:r>
      <w:r>
        <w:rPr>
          <w:rFonts w:hint="eastAsia" w:ascii="宋体" w:hAnsi="宋体"/>
          <w:color w:val="000000"/>
          <w:sz w:val="24"/>
          <w:lang w:val="en-US" w:eastAsia="zh-CN"/>
        </w:rPr>
        <w:t>外国语学院</w:t>
      </w:r>
      <w:r>
        <w:rPr>
          <w:rFonts w:hint="eastAsia" w:ascii="宋体" w:hAnsi="宋体"/>
          <w:color w:val="000000"/>
          <w:sz w:val="24"/>
        </w:rPr>
        <w:t>开展宣讲会</w:t>
      </w:r>
      <w:r>
        <w:rPr>
          <w:rFonts w:hint="eastAsia" w:ascii="宋体" w:hAnsi="宋体"/>
          <w:color w:val="000000"/>
          <w:sz w:val="24"/>
          <w:lang w:val="en-US" w:eastAsia="zh-CN"/>
        </w:rPr>
        <w:t>日资</w:t>
      </w:r>
      <w:r>
        <w:rPr>
          <w:rFonts w:hint="eastAsia" w:ascii="宋体" w:hAnsi="宋体"/>
          <w:color w:val="000000"/>
          <w:sz w:val="24"/>
        </w:rPr>
        <w:t>企业都需要</w:t>
      </w:r>
      <w:r>
        <w:rPr>
          <w:rFonts w:hint="eastAsia" w:ascii="宋体" w:hAnsi="宋体"/>
          <w:color w:val="000000"/>
          <w:sz w:val="24"/>
          <w:lang w:val="en-US" w:eastAsia="zh-CN"/>
        </w:rPr>
        <w:t>本</w:t>
      </w:r>
      <w:r>
        <w:rPr>
          <w:rFonts w:hint="eastAsia" w:ascii="宋体" w:hAnsi="宋体"/>
          <w:color w:val="000000"/>
          <w:sz w:val="24"/>
        </w:rPr>
        <w:t>专业的学生，</w:t>
      </w:r>
      <w:r>
        <w:rPr>
          <w:rFonts w:hint="eastAsia" w:ascii="宋体" w:hAnsi="宋体"/>
          <w:color w:val="000000"/>
          <w:sz w:val="24"/>
          <w:lang w:val="en-US" w:eastAsia="zh-CN"/>
        </w:rPr>
        <w:t>到单位从事翻译或外贸工作，安徽来盛日语培训学校有限公司今年招聘日语专业4个学生，基本从事高中日语课程老师工作，</w:t>
      </w:r>
      <w:r>
        <w:rPr>
          <w:rFonts w:hint="eastAsia" w:ascii="宋体" w:hAnsi="宋体"/>
          <w:color w:val="000000"/>
          <w:sz w:val="24"/>
          <w:lang w:eastAsia="zh-CN"/>
        </w:rPr>
        <w:t>至目前</w:t>
      </w:r>
      <w:r>
        <w:rPr>
          <w:rFonts w:hint="eastAsia" w:ascii="宋体" w:hAnsi="宋体"/>
          <w:color w:val="000000"/>
          <w:sz w:val="24"/>
        </w:rPr>
        <w:t>就业率</w:t>
      </w:r>
      <w:r>
        <w:rPr>
          <w:rFonts w:hint="eastAsia" w:ascii="宋体" w:hAnsi="宋体"/>
          <w:color w:val="000000"/>
          <w:sz w:val="24"/>
          <w:lang w:val="en-US" w:eastAsia="zh-CN"/>
        </w:rPr>
        <w:t>100</w:t>
      </w:r>
      <w:r>
        <w:rPr>
          <w:rFonts w:hint="eastAsia" w:ascii="宋体" w:hAnsi="宋体"/>
          <w:color w:val="000000"/>
          <w:sz w:val="24"/>
        </w:rPr>
        <w:t>%。</w:t>
      </w:r>
    </w:p>
    <w:p>
      <w:pPr>
        <w:adjustRightInd w:val="0"/>
        <w:snapToGrid w:val="0"/>
        <w:spacing w:line="360" w:lineRule="auto"/>
        <w:ind w:firstLine="480" w:firstLineChars="200"/>
        <w:rPr>
          <w:rFonts w:hint="eastAsia" w:ascii="宋体" w:hAnsi="宋体"/>
          <w:color w:val="000000"/>
          <w:sz w:val="24"/>
        </w:rPr>
      </w:pPr>
      <w:r>
        <w:rPr>
          <w:rFonts w:hint="eastAsia" w:ascii="宋体" w:hAnsi="宋体" w:eastAsia="宋体" w:cs="Times New Roman"/>
          <w:color w:val="000000"/>
          <w:sz w:val="24"/>
          <w:lang w:val="en-US" w:eastAsia="zh-CN"/>
        </w:rPr>
        <w:t>朝鲜语</w:t>
      </w:r>
      <w:r>
        <w:rPr>
          <w:rFonts w:hint="eastAsia" w:ascii="宋体" w:hAnsi="宋体"/>
          <w:color w:val="000000"/>
          <w:sz w:val="24"/>
        </w:rPr>
        <w:t>：</w:t>
      </w:r>
      <w:r>
        <w:rPr>
          <w:rFonts w:hint="eastAsia" w:ascii="宋体" w:hAnsi="宋体"/>
          <w:color w:val="000000"/>
          <w:sz w:val="24"/>
          <w:lang w:val="en-US" w:eastAsia="zh-CN"/>
        </w:rPr>
        <w:t>今年毕业是2个班级40</w:t>
      </w:r>
      <w:r>
        <w:rPr>
          <w:rFonts w:hint="eastAsia" w:ascii="宋体" w:hAnsi="宋体"/>
          <w:color w:val="000000"/>
          <w:sz w:val="24"/>
        </w:rPr>
        <w:t>名同学，顺利毕业</w:t>
      </w:r>
      <w:r>
        <w:rPr>
          <w:rFonts w:hint="eastAsia" w:ascii="宋体" w:hAnsi="宋体"/>
          <w:color w:val="000000"/>
          <w:sz w:val="24"/>
          <w:lang w:val="en-US" w:eastAsia="zh-CN"/>
        </w:rPr>
        <w:t>39</w:t>
      </w:r>
      <w:r>
        <w:rPr>
          <w:rFonts w:hint="eastAsia" w:ascii="宋体" w:hAnsi="宋体"/>
          <w:color w:val="000000"/>
          <w:sz w:val="24"/>
        </w:rPr>
        <w:t>名</w:t>
      </w:r>
      <w:r>
        <w:rPr>
          <w:rFonts w:hint="eastAsia" w:ascii="宋体" w:hAnsi="宋体"/>
          <w:color w:val="000000"/>
          <w:sz w:val="24"/>
          <w:lang w:eastAsia="zh-CN"/>
        </w:rPr>
        <w:t>，</w:t>
      </w:r>
      <w:r>
        <w:rPr>
          <w:rFonts w:hint="eastAsia" w:ascii="宋体" w:hAnsi="宋体"/>
          <w:color w:val="000000"/>
          <w:sz w:val="24"/>
          <w:lang w:val="en-US" w:eastAsia="zh-CN"/>
        </w:rPr>
        <w:t>1名学生编下</w:t>
      </w:r>
      <w:r>
        <w:rPr>
          <w:rFonts w:hint="eastAsia" w:ascii="宋体" w:hAnsi="宋体"/>
          <w:color w:val="000000"/>
          <w:sz w:val="24"/>
        </w:rPr>
        <w:t>。1名同学考上</w:t>
      </w:r>
      <w:r>
        <w:rPr>
          <w:rFonts w:hint="eastAsia" w:ascii="宋体" w:hAnsi="宋体"/>
          <w:color w:val="000000"/>
          <w:sz w:val="24"/>
          <w:lang w:val="en-US" w:eastAsia="zh-CN"/>
        </w:rPr>
        <w:t>合肥工业大学研究生</w:t>
      </w:r>
      <w:r>
        <w:rPr>
          <w:rFonts w:hint="eastAsia" w:ascii="宋体" w:hAnsi="宋体"/>
          <w:color w:val="000000"/>
          <w:sz w:val="24"/>
        </w:rPr>
        <w:t>，</w:t>
      </w:r>
      <w:r>
        <w:rPr>
          <w:rFonts w:ascii="宋体" w:hAnsi="宋体"/>
          <w:color w:val="000000"/>
          <w:sz w:val="24"/>
        </w:rPr>
        <w:t>1</w:t>
      </w:r>
      <w:r>
        <w:rPr>
          <w:rFonts w:hint="eastAsia" w:ascii="宋体" w:hAnsi="宋体"/>
          <w:color w:val="000000"/>
          <w:sz w:val="24"/>
        </w:rPr>
        <w:t>名考上公务员，</w:t>
      </w:r>
      <w:r>
        <w:rPr>
          <w:rFonts w:hint="eastAsia" w:ascii="宋体" w:hAnsi="宋体"/>
          <w:color w:val="000000"/>
          <w:sz w:val="24"/>
          <w:lang w:val="en-US" w:eastAsia="zh-CN"/>
        </w:rPr>
        <w:t>5名学生到韩国继续升学读研，</w:t>
      </w:r>
      <w:r>
        <w:rPr>
          <w:rFonts w:hint="eastAsia" w:ascii="宋体" w:hAnsi="宋体"/>
          <w:color w:val="000000"/>
          <w:sz w:val="24"/>
        </w:rPr>
        <w:t>其他</w:t>
      </w:r>
      <w:r>
        <w:rPr>
          <w:rFonts w:hint="eastAsia" w:ascii="宋体" w:hAnsi="宋体"/>
          <w:color w:val="000000"/>
          <w:sz w:val="24"/>
          <w:lang w:val="en-US" w:eastAsia="zh-CN"/>
        </w:rPr>
        <w:t>32</w:t>
      </w:r>
      <w:r>
        <w:rPr>
          <w:rFonts w:hint="eastAsia" w:ascii="宋体" w:hAnsi="宋体"/>
          <w:color w:val="000000"/>
          <w:sz w:val="24"/>
        </w:rPr>
        <w:t>名同学在社会企业上班</w:t>
      </w:r>
      <w:r>
        <w:rPr>
          <w:rFonts w:hint="eastAsia" w:ascii="宋体" w:hAnsi="宋体"/>
          <w:color w:val="FF0000"/>
          <w:sz w:val="24"/>
        </w:rPr>
        <w:t>，</w:t>
      </w:r>
      <w:r>
        <w:rPr>
          <w:rFonts w:hint="eastAsia" w:ascii="宋体" w:hAnsi="宋体"/>
          <w:color w:val="000000"/>
          <w:sz w:val="24"/>
        </w:rPr>
        <w:t>多数从事市场营销岗位。因该岗位业绩要求，工作压力大，该专业的学生跳槽很多，在单位的“忠诚度”需要进一步加强，</w:t>
      </w:r>
      <w:r>
        <w:rPr>
          <w:rFonts w:hint="eastAsia" w:ascii="宋体" w:hAnsi="宋体"/>
          <w:color w:val="000000"/>
          <w:sz w:val="24"/>
          <w:lang w:eastAsia="zh-CN"/>
        </w:rPr>
        <w:t>截止目前</w:t>
      </w:r>
      <w:r>
        <w:rPr>
          <w:rFonts w:hint="eastAsia" w:ascii="宋体" w:hAnsi="宋体"/>
          <w:color w:val="000000"/>
          <w:sz w:val="24"/>
        </w:rPr>
        <w:t>就业率</w:t>
      </w:r>
      <w:r>
        <w:rPr>
          <w:rFonts w:hint="eastAsia" w:ascii="宋体" w:hAnsi="宋体"/>
          <w:color w:val="000000"/>
          <w:sz w:val="24"/>
          <w:lang w:val="en-US" w:eastAsia="zh-CN"/>
        </w:rPr>
        <w:t>100</w:t>
      </w:r>
      <w:r>
        <w:rPr>
          <w:rFonts w:hint="eastAsia" w:ascii="宋体" w:hAnsi="宋体"/>
          <w:color w:val="000000"/>
          <w:sz w:val="24"/>
        </w:rPr>
        <w:t>%。</w:t>
      </w:r>
    </w:p>
    <w:p>
      <w:pPr>
        <w:adjustRightInd w:val="0"/>
        <w:snapToGrid w:val="0"/>
        <w:spacing w:line="360" w:lineRule="auto"/>
        <w:ind w:firstLine="480" w:firstLineChars="200"/>
        <w:rPr>
          <w:rFonts w:hint="eastAsia" w:ascii="宋体" w:hAnsi="宋体" w:eastAsia="宋体" w:cs="Times New Roman"/>
          <w:color w:val="000000"/>
          <w:sz w:val="24"/>
          <w:lang w:val="en-US" w:eastAsia="zh-CN"/>
        </w:rPr>
      </w:pPr>
      <w:r>
        <w:rPr>
          <w:rFonts w:hint="eastAsia" w:ascii="宋体" w:hAnsi="宋体"/>
          <w:color w:val="000000"/>
          <w:sz w:val="24"/>
        </w:rPr>
        <w:t>朝鲜语（</w:t>
      </w:r>
      <w:r>
        <w:rPr>
          <w:rFonts w:hint="eastAsia" w:ascii="宋体" w:hAnsi="宋体"/>
          <w:color w:val="000000"/>
          <w:sz w:val="24"/>
          <w:lang w:val="en-US" w:eastAsia="zh-CN"/>
        </w:rPr>
        <w:t>中外</w:t>
      </w:r>
      <w:r>
        <w:rPr>
          <w:rFonts w:hint="eastAsia" w:ascii="宋体" w:hAnsi="宋体"/>
          <w:color w:val="000000"/>
          <w:sz w:val="24"/>
        </w:rPr>
        <w:t>合作办学专业）：</w:t>
      </w:r>
      <w:r>
        <w:rPr>
          <w:rFonts w:hint="eastAsia" w:ascii="宋体" w:hAnsi="宋体"/>
          <w:color w:val="000000"/>
          <w:sz w:val="24"/>
          <w:lang w:val="en-US" w:eastAsia="zh-CN"/>
        </w:rPr>
        <w:t>11</w:t>
      </w:r>
      <w:r>
        <w:rPr>
          <w:rFonts w:hint="eastAsia" w:ascii="宋体" w:hAnsi="宋体"/>
          <w:color w:val="000000"/>
          <w:sz w:val="24"/>
        </w:rPr>
        <w:t>名学生顺利毕业。</w:t>
      </w:r>
      <w:r>
        <w:rPr>
          <w:rFonts w:hint="eastAsia" w:ascii="宋体" w:hAnsi="宋体"/>
          <w:color w:val="000000"/>
          <w:sz w:val="24"/>
          <w:lang w:val="en-US" w:eastAsia="zh-CN"/>
        </w:rPr>
        <w:t>1名学生考上研究生</w:t>
      </w:r>
      <w:r>
        <w:rPr>
          <w:rFonts w:hint="eastAsia" w:ascii="宋体" w:hAnsi="宋体"/>
          <w:color w:val="000000"/>
          <w:sz w:val="24"/>
        </w:rPr>
        <w:t>，</w:t>
      </w:r>
      <w:r>
        <w:rPr>
          <w:rFonts w:hint="eastAsia" w:ascii="宋体" w:hAnsi="宋体"/>
          <w:color w:val="000000"/>
          <w:sz w:val="24"/>
          <w:lang w:val="en-US" w:eastAsia="zh-CN"/>
        </w:rPr>
        <w:t>10名</w:t>
      </w:r>
      <w:r>
        <w:rPr>
          <w:rFonts w:hint="eastAsia" w:ascii="宋体" w:hAnsi="宋体"/>
          <w:color w:val="000000"/>
          <w:sz w:val="24"/>
        </w:rPr>
        <w:t>同学在企业单位工作，</w:t>
      </w:r>
      <w:r>
        <w:rPr>
          <w:rFonts w:hint="eastAsia" w:ascii="宋体" w:hAnsi="宋体"/>
          <w:color w:val="000000"/>
          <w:sz w:val="24"/>
          <w:lang w:eastAsia="zh-CN"/>
        </w:rPr>
        <w:t>截至目前</w:t>
      </w:r>
      <w:r>
        <w:rPr>
          <w:rFonts w:hint="eastAsia" w:ascii="宋体" w:hAnsi="宋体"/>
          <w:color w:val="000000"/>
          <w:sz w:val="24"/>
        </w:rPr>
        <w:t>就业率</w:t>
      </w:r>
      <w:r>
        <w:rPr>
          <w:rFonts w:hint="eastAsia" w:ascii="宋体" w:hAnsi="宋体"/>
          <w:color w:val="000000"/>
          <w:sz w:val="24"/>
          <w:lang w:val="en-US" w:eastAsia="zh-CN"/>
        </w:rPr>
        <w:t>81.82</w:t>
      </w:r>
      <w:r>
        <w:rPr>
          <w:rFonts w:hint="eastAsia" w:ascii="宋体" w:hAnsi="宋体"/>
          <w:color w:val="000000"/>
          <w:sz w:val="24"/>
        </w:rPr>
        <w:t>%。该专业</w:t>
      </w:r>
      <w:r>
        <w:rPr>
          <w:rFonts w:hint="eastAsia" w:ascii="宋体" w:hAnsi="宋体"/>
          <w:color w:val="000000"/>
          <w:sz w:val="24"/>
          <w:lang w:val="en-US" w:eastAsia="zh-CN"/>
        </w:rPr>
        <w:t>主要在韩企上班就职较多</w:t>
      </w:r>
      <w:r>
        <w:rPr>
          <w:rFonts w:hint="eastAsia" w:ascii="宋体" w:hAnsi="宋体"/>
          <w:color w:val="000000"/>
          <w:sz w:val="24"/>
        </w:rPr>
        <w:t>。旨在</w:t>
      </w:r>
      <w:r>
        <w:rPr>
          <w:rFonts w:hint="eastAsia" w:ascii="宋体" w:hAnsi="宋体"/>
          <w:color w:val="000000"/>
          <w:sz w:val="24"/>
          <w:lang w:val="en-US" w:eastAsia="zh-CN"/>
        </w:rPr>
        <w:t>培养学生</w:t>
      </w:r>
      <w:r>
        <w:rPr>
          <w:rFonts w:hint="eastAsia" w:ascii="宋体" w:hAnsi="宋体" w:eastAsia="宋体" w:cs="Times New Roman"/>
          <w:color w:val="000000"/>
          <w:sz w:val="24"/>
          <w:lang w:val="en-US" w:eastAsia="zh-CN"/>
        </w:rPr>
        <w:t>掌握并熟练应用韩语语言知识与基本技能，了解商务、文秘、旅游基本理论知识和业务流程，具备较强的跨文化沟通和团队合作能力，从事韩企生产管理、外贸业务、涉外旅游管理与服务的高素质技 术技能人才。</w:t>
      </w:r>
    </w:p>
    <w:p>
      <w:pPr>
        <w:adjustRightInd w:val="0"/>
        <w:snapToGrid w:val="0"/>
        <w:spacing w:line="360" w:lineRule="auto"/>
        <w:ind w:firstLine="480" w:firstLineChars="200"/>
        <w:rPr>
          <w:rFonts w:hint="eastAsia" w:ascii="宋体" w:hAnsi="宋体"/>
          <w:color w:val="000000"/>
          <w:sz w:val="24"/>
        </w:rPr>
      </w:pPr>
      <w:r>
        <w:rPr>
          <w:rFonts w:hint="eastAsia" w:ascii="宋体" w:hAnsi="宋体" w:eastAsia="宋体" w:cs="Times New Roman"/>
          <w:color w:val="000000"/>
          <w:sz w:val="24"/>
          <w:lang w:val="en-US" w:eastAsia="zh-CN"/>
        </w:rPr>
        <w:t>德语（</w:t>
      </w:r>
      <w:r>
        <w:rPr>
          <w:rFonts w:hint="eastAsia" w:ascii="宋体" w:hAnsi="宋体"/>
          <w:color w:val="000000"/>
          <w:sz w:val="24"/>
          <w:lang w:val="en-US" w:eastAsia="zh-CN"/>
        </w:rPr>
        <w:t>中外</w:t>
      </w:r>
      <w:r>
        <w:rPr>
          <w:rFonts w:hint="eastAsia" w:ascii="宋体" w:hAnsi="宋体"/>
          <w:color w:val="000000"/>
          <w:sz w:val="24"/>
        </w:rPr>
        <w:t>合作办学专业</w:t>
      </w:r>
      <w:r>
        <w:rPr>
          <w:rFonts w:hint="eastAsia" w:ascii="宋体" w:hAnsi="宋体" w:eastAsia="宋体" w:cs="Times New Roman"/>
          <w:color w:val="000000"/>
          <w:sz w:val="24"/>
          <w:lang w:val="en-US" w:eastAsia="zh-CN"/>
        </w:rPr>
        <w:t>）</w:t>
      </w:r>
      <w:r>
        <w:rPr>
          <w:rFonts w:hint="eastAsia" w:ascii="宋体" w:hAnsi="宋体"/>
          <w:color w:val="000000"/>
          <w:sz w:val="24"/>
        </w:rPr>
        <w:t>：</w:t>
      </w:r>
      <w:r>
        <w:rPr>
          <w:rFonts w:hint="eastAsia" w:ascii="宋体" w:hAnsi="宋体"/>
          <w:color w:val="000000"/>
          <w:sz w:val="24"/>
          <w:lang w:val="en-US" w:eastAsia="zh-CN"/>
        </w:rPr>
        <w:t>1</w:t>
      </w:r>
      <w:r>
        <w:rPr>
          <w:rFonts w:ascii="宋体" w:hAnsi="宋体"/>
          <w:color w:val="000000"/>
          <w:sz w:val="24"/>
        </w:rPr>
        <w:t>4</w:t>
      </w:r>
      <w:r>
        <w:rPr>
          <w:rFonts w:hint="eastAsia" w:ascii="宋体" w:hAnsi="宋体"/>
          <w:color w:val="000000"/>
          <w:sz w:val="24"/>
        </w:rPr>
        <w:t>名同学，顺利毕业</w:t>
      </w:r>
      <w:r>
        <w:rPr>
          <w:rFonts w:hint="eastAsia" w:ascii="宋体" w:hAnsi="宋体"/>
          <w:color w:val="000000"/>
          <w:sz w:val="24"/>
          <w:lang w:val="en-US" w:eastAsia="zh-CN"/>
        </w:rPr>
        <w:t>14</w:t>
      </w:r>
      <w:r>
        <w:rPr>
          <w:rFonts w:hint="eastAsia" w:ascii="宋体" w:hAnsi="宋体"/>
          <w:color w:val="000000"/>
          <w:sz w:val="24"/>
        </w:rPr>
        <w:t>名。</w:t>
      </w:r>
      <w:r>
        <w:rPr>
          <w:rFonts w:hint="eastAsia" w:ascii="宋体" w:hAnsi="宋体"/>
          <w:color w:val="000000"/>
          <w:sz w:val="24"/>
          <w:lang w:val="en-US" w:eastAsia="zh-CN"/>
        </w:rPr>
        <w:t>2</w:t>
      </w:r>
      <w:r>
        <w:rPr>
          <w:rFonts w:hint="eastAsia" w:ascii="宋体" w:hAnsi="宋体"/>
          <w:color w:val="000000"/>
          <w:sz w:val="24"/>
        </w:rPr>
        <w:t>名同学</w:t>
      </w:r>
      <w:r>
        <w:rPr>
          <w:rFonts w:hint="eastAsia" w:ascii="宋体" w:hAnsi="宋体"/>
          <w:color w:val="000000"/>
          <w:sz w:val="24"/>
          <w:lang w:val="en-US" w:eastAsia="zh-CN"/>
        </w:rPr>
        <w:t>在德</w:t>
      </w:r>
      <w:r>
        <w:rPr>
          <w:rFonts w:hint="eastAsia" w:ascii="宋体" w:hAnsi="宋体"/>
          <w:color w:val="000000"/>
          <w:sz w:val="24"/>
        </w:rPr>
        <w:t>国留学，</w:t>
      </w:r>
      <w:r>
        <w:rPr>
          <w:rFonts w:hint="eastAsia" w:ascii="宋体" w:hAnsi="宋体"/>
          <w:color w:val="000000"/>
          <w:sz w:val="24"/>
          <w:lang w:eastAsia="zh-CN"/>
        </w:rPr>
        <w:t>截至目前</w:t>
      </w:r>
      <w:r>
        <w:rPr>
          <w:rFonts w:hint="eastAsia" w:ascii="宋体" w:hAnsi="宋体"/>
          <w:color w:val="000000"/>
          <w:sz w:val="24"/>
        </w:rPr>
        <w:t>就业率</w:t>
      </w:r>
      <w:r>
        <w:rPr>
          <w:rFonts w:hint="eastAsia" w:ascii="宋体" w:hAnsi="宋体"/>
          <w:color w:val="000000"/>
          <w:sz w:val="24"/>
          <w:lang w:val="en-US" w:eastAsia="zh-CN"/>
        </w:rPr>
        <w:t>85.71</w:t>
      </w:r>
      <w:r>
        <w:rPr>
          <w:rFonts w:hint="eastAsia" w:ascii="宋体" w:hAnsi="宋体"/>
          <w:color w:val="000000"/>
          <w:sz w:val="24"/>
        </w:rPr>
        <w:t>%。学生就业去向有大众汽车（安徽）有限公司</w:t>
      </w:r>
      <w:r>
        <w:rPr>
          <w:rFonts w:hint="eastAsia" w:ascii="宋体" w:hAnsi="宋体"/>
          <w:color w:val="000000"/>
          <w:sz w:val="24"/>
          <w:lang w:eastAsia="zh-CN"/>
        </w:rPr>
        <w:t>、延锋汽车饰件系统(合肥)有限公司</w:t>
      </w:r>
      <w:r>
        <w:rPr>
          <w:rFonts w:hint="eastAsia" w:ascii="宋体" w:hAnsi="宋体"/>
          <w:color w:val="000000"/>
          <w:sz w:val="24"/>
        </w:rPr>
        <w:t>等相关单位，符合中外合作人才办学定位，满足了中外人才培养方案，就业的专业性强。</w:t>
      </w:r>
    </w:p>
    <w:p>
      <w:pPr>
        <w:adjustRightInd w:val="0"/>
        <w:snapToGrid w:val="0"/>
        <w:spacing w:line="360" w:lineRule="auto"/>
        <w:ind w:firstLine="482" w:firstLineChars="200"/>
        <w:rPr>
          <w:rFonts w:hint="eastAsia" w:ascii="宋体" w:hAnsi="宋体"/>
          <w:color w:val="000000"/>
          <w:sz w:val="24"/>
        </w:rPr>
      </w:pPr>
      <w:r>
        <w:rPr>
          <w:rFonts w:hint="eastAsia" w:ascii="宋体" w:hAnsi="宋体"/>
          <w:b/>
          <w:bCs/>
          <w:color w:val="000000"/>
          <w:sz w:val="24"/>
        </w:rPr>
        <w:t>第二部分：</w:t>
      </w:r>
      <w:r>
        <w:rPr>
          <w:rFonts w:hint="eastAsia" w:ascii="宋体" w:hAnsi="宋体"/>
          <w:b/>
          <w:bCs/>
          <w:color w:val="000000"/>
          <w:sz w:val="24"/>
          <w:lang w:val="en-US" w:eastAsia="zh-CN"/>
        </w:rPr>
        <w:t>外国语学院</w:t>
      </w:r>
      <w:r>
        <w:rPr>
          <w:rFonts w:hint="eastAsia" w:ascii="宋体" w:hAnsi="宋体"/>
          <w:b/>
          <w:bCs/>
          <w:color w:val="000000"/>
          <w:sz w:val="24"/>
        </w:rPr>
        <w:t>各专业就业结构分析情况</w:t>
      </w:r>
    </w:p>
    <w:p>
      <w:pPr>
        <w:adjustRightInd w:val="0"/>
        <w:snapToGrid w:val="0"/>
        <w:spacing w:line="360" w:lineRule="auto"/>
        <w:ind w:firstLine="480" w:firstLineChars="200"/>
        <w:rPr>
          <w:rFonts w:hint="eastAsia" w:ascii="宋体" w:hAnsi="宋体"/>
          <w:color w:val="000000"/>
          <w:sz w:val="24"/>
        </w:rPr>
      </w:pPr>
      <w:r>
        <w:rPr>
          <w:rFonts w:hint="eastAsia" w:ascii="宋体" w:hAnsi="宋体"/>
          <w:color w:val="000000"/>
          <w:sz w:val="24"/>
        </w:rPr>
        <w:t>20</w:t>
      </w:r>
      <w:r>
        <w:rPr>
          <w:rFonts w:hint="eastAsia" w:ascii="宋体" w:hAnsi="宋体"/>
          <w:color w:val="000000"/>
          <w:sz w:val="24"/>
          <w:lang w:val="en-US" w:eastAsia="zh-CN"/>
        </w:rPr>
        <w:t>22</w:t>
      </w:r>
      <w:r>
        <w:rPr>
          <w:rFonts w:hint="eastAsia" w:ascii="宋体" w:hAnsi="宋体"/>
          <w:color w:val="000000"/>
          <w:sz w:val="24"/>
        </w:rPr>
        <w:t>届毕业生人数</w:t>
      </w:r>
      <w:r>
        <w:rPr>
          <w:rFonts w:hint="eastAsia" w:ascii="宋体" w:hAnsi="宋体"/>
          <w:color w:val="000000"/>
          <w:sz w:val="24"/>
          <w:lang w:val="en-US" w:eastAsia="zh-CN"/>
        </w:rPr>
        <w:t>184</w:t>
      </w:r>
      <w:r>
        <w:rPr>
          <w:rFonts w:hint="eastAsia" w:ascii="宋体" w:hAnsi="宋体"/>
          <w:color w:val="000000"/>
          <w:sz w:val="24"/>
        </w:rPr>
        <w:t>名，考取本年度研究生是</w:t>
      </w:r>
      <w:r>
        <w:rPr>
          <w:rFonts w:hint="eastAsia" w:ascii="宋体" w:hAnsi="宋体"/>
          <w:color w:val="000000"/>
          <w:sz w:val="24"/>
          <w:lang w:val="en-US" w:eastAsia="zh-CN"/>
        </w:rPr>
        <w:t>13</w:t>
      </w:r>
      <w:r>
        <w:rPr>
          <w:rFonts w:hint="eastAsia" w:ascii="宋体" w:hAnsi="宋体"/>
          <w:color w:val="000000"/>
          <w:sz w:val="24"/>
        </w:rPr>
        <w:t>名同学，分别是</w:t>
      </w:r>
      <w:r>
        <w:rPr>
          <w:rFonts w:hint="eastAsia" w:ascii="宋体" w:hAnsi="宋体"/>
          <w:color w:val="000000"/>
          <w:sz w:val="24"/>
          <w:lang w:val="en-US" w:eastAsia="zh-CN"/>
        </w:rPr>
        <w:t>英语专业6</w:t>
      </w:r>
      <w:r>
        <w:rPr>
          <w:rFonts w:hint="eastAsia" w:ascii="宋体" w:hAnsi="宋体"/>
          <w:color w:val="000000"/>
          <w:sz w:val="24"/>
        </w:rPr>
        <w:t>名，</w:t>
      </w:r>
      <w:r>
        <w:rPr>
          <w:rFonts w:hint="eastAsia" w:ascii="宋体" w:hAnsi="宋体"/>
          <w:color w:val="000000"/>
          <w:sz w:val="24"/>
          <w:lang w:val="en-US" w:eastAsia="zh-CN"/>
        </w:rPr>
        <w:t>德语专业</w:t>
      </w:r>
      <w:r>
        <w:rPr>
          <w:rFonts w:ascii="宋体" w:hAnsi="宋体"/>
          <w:color w:val="000000"/>
          <w:sz w:val="24"/>
        </w:rPr>
        <w:t>4</w:t>
      </w:r>
      <w:r>
        <w:rPr>
          <w:rFonts w:hint="eastAsia" w:ascii="宋体" w:hAnsi="宋体"/>
          <w:color w:val="000000"/>
          <w:sz w:val="24"/>
        </w:rPr>
        <w:t>名，</w:t>
      </w:r>
      <w:r>
        <w:rPr>
          <w:rFonts w:hint="eastAsia" w:ascii="宋体" w:hAnsi="宋体"/>
          <w:color w:val="000000"/>
          <w:sz w:val="24"/>
          <w:lang w:val="en-US" w:eastAsia="zh-CN"/>
        </w:rPr>
        <w:t>日语专业2</w:t>
      </w:r>
      <w:r>
        <w:rPr>
          <w:rFonts w:hint="eastAsia" w:ascii="宋体" w:hAnsi="宋体"/>
          <w:color w:val="000000"/>
          <w:sz w:val="24"/>
        </w:rPr>
        <w:t>名，</w:t>
      </w:r>
      <w:r>
        <w:rPr>
          <w:rFonts w:hint="eastAsia" w:ascii="宋体" w:hAnsi="宋体"/>
          <w:color w:val="000000"/>
          <w:sz w:val="24"/>
          <w:lang w:val="en-US" w:eastAsia="zh-CN"/>
        </w:rPr>
        <w:t>朝鲜语专业1</w:t>
      </w:r>
      <w:r>
        <w:rPr>
          <w:rFonts w:hint="eastAsia" w:ascii="宋体" w:hAnsi="宋体"/>
          <w:color w:val="000000"/>
          <w:sz w:val="24"/>
        </w:rPr>
        <w:t>名；出国读书是</w:t>
      </w:r>
      <w:r>
        <w:rPr>
          <w:rFonts w:hint="eastAsia" w:ascii="宋体" w:hAnsi="宋体"/>
          <w:color w:val="000000"/>
          <w:sz w:val="24"/>
          <w:lang w:val="en-US" w:eastAsia="zh-CN"/>
        </w:rPr>
        <w:t>10</w:t>
      </w:r>
      <w:r>
        <w:rPr>
          <w:rFonts w:hint="eastAsia" w:ascii="宋体" w:hAnsi="宋体"/>
          <w:color w:val="000000"/>
          <w:sz w:val="24"/>
        </w:rPr>
        <w:t>名同学，分别是</w:t>
      </w:r>
      <w:r>
        <w:rPr>
          <w:rFonts w:hint="eastAsia" w:ascii="宋体" w:hAnsi="宋体"/>
          <w:color w:val="000000"/>
          <w:sz w:val="24"/>
          <w:lang w:val="en-US" w:eastAsia="zh-CN"/>
        </w:rPr>
        <w:t>朝鲜语5</w:t>
      </w:r>
      <w:r>
        <w:rPr>
          <w:rFonts w:hint="eastAsia" w:ascii="宋体" w:hAnsi="宋体"/>
          <w:color w:val="000000"/>
          <w:sz w:val="24"/>
        </w:rPr>
        <w:t>名同学，</w:t>
      </w:r>
      <w:r>
        <w:rPr>
          <w:rFonts w:hint="eastAsia" w:ascii="宋体" w:hAnsi="宋体"/>
          <w:color w:val="000000"/>
          <w:sz w:val="24"/>
          <w:lang w:val="en-US" w:eastAsia="zh-CN"/>
        </w:rPr>
        <w:t>日语3</w:t>
      </w:r>
      <w:r>
        <w:rPr>
          <w:rFonts w:hint="eastAsia" w:ascii="宋体" w:hAnsi="宋体"/>
          <w:color w:val="000000"/>
          <w:sz w:val="24"/>
        </w:rPr>
        <w:t>名，</w:t>
      </w:r>
      <w:r>
        <w:rPr>
          <w:rFonts w:hint="eastAsia" w:ascii="宋体" w:hAnsi="宋体"/>
          <w:color w:val="000000"/>
          <w:sz w:val="24"/>
          <w:lang w:val="en-US" w:eastAsia="zh-CN"/>
        </w:rPr>
        <w:t>德语2</w:t>
      </w:r>
      <w:r>
        <w:rPr>
          <w:rFonts w:hint="eastAsia" w:ascii="宋体" w:hAnsi="宋体"/>
          <w:color w:val="000000"/>
          <w:sz w:val="24"/>
        </w:rPr>
        <w:t>名；考取公务员类型的是</w:t>
      </w:r>
      <w:r>
        <w:rPr>
          <w:rFonts w:hint="eastAsia" w:ascii="宋体" w:hAnsi="宋体"/>
          <w:color w:val="000000"/>
          <w:sz w:val="24"/>
          <w:lang w:val="en-US" w:eastAsia="zh-CN"/>
        </w:rPr>
        <w:t>1</w:t>
      </w:r>
      <w:r>
        <w:rPr>
          <w:rFonts w:hint="eastAsia" w:ascii="宋体" w:hAnsi="宋体"/>
          <w:color w:val="000000"/>
          <w:sz w:val="24"/>
        </w:rPr>
        <w:t>名，是</w:t>
      </w:r>
      <w:r>
        <w:rPr>
          <w:rFonts w:hint="eastAsia" w:ascii="宋体" w:hAnsi="宋体"/>
          <w:color w:val="000000"/>
          <w:sz w:val="24"/>
          <w:lang w:val="en-US" w:eastAsia="zh-CN"/>
        </w:rPr>
        <w:t>18朝鲜语（2+2）（2）班周琪</w:t>
      </w:r>
      <w:r>
        <w:rPr>
          <w:rFonts w:hint="eastAsia" w:ascii="宋体" w:hAnsi="宋体"/>
          <w:color w:val="000000"/>
          <w:sz w:val="24"/>
        </w:rPr>
        <w:t>同学；还有</w:t>
      </w:r>
      <w:r>
        <w:rPr>
          <w:rFonts w:hint="eastAsia" w:ascii="宋体" w:hAnsi="宋体"/>
          <w:color w:val="000000"/>
          <w:sz w:val="24"/>
          <w:lang w:val="en-US" w:eastAsia="zh-CN"/>
        </w:rPr>
        <w:t>18日语的许慧同学考上上海市静安区体育局，是事业编制</w:t>
      </w:r>
      <w:r>
        <w:rPr>
          <w:rFonts w:hint="eastAsia" w:ascii="宋体" w:hAnsi="宋体"/>
          <w:color w:val="000000"/>
          <w:sz w:val="24"/>
        </w:rPr>
        <w:t>；</w:t>
      </w:r>
      <w:r>
        <w:rPr>
          <w:rFonts w:hint="eastAsia" w:ascii="宋体" w:hAnsi="宋体"/>
          <w:color w:val="000000"/>
          <w:sz w:val="24"/>
          <w:lang w:eastAsia="zh-CN"/>
        </w:rPr>
        <w:t>“</w:t>
      </w:r>
      <w:r>
        <w:rPr>
          <w:rFonts w:hint="eastAsia" w:ascii="宋体" w:hAnsi="宋体"/>
          <w:color w:val="000000"/>
          <w:sz w:val="24"/>
          <w:lang w:val="en-US" w:eastAsia="zh-CN"/>
        </w:rPr>
        <w:t>西部计划</w:t>
      </w:r>
      <w:r>
        <w:rPr>
          <w:rFonts w:hint="eastAsia" w:ascii="宋体" w:hAnsi="宋体"/>
          <w:color w:val="000000"/>
          <w:sz w:val="24"/>
          <w:lang w:eastAsia="zh-CN"/>
        </w:rPr>
        <w:t>”</w:t>
      </w:r>
      <w:r>
        <w:rPr>
          <w:rFonts w:hint="eastAsia" w:ascii="宋体" w:hAnsi="宋体"/>
          <w:color w:val="000000"/>
          <w:sz w:val="24"/>
          <w:lang w:val="en-US" w:eastAsia="zh-CN"/>
        </w:rPr>
        <w:t>是18英语（2）班陶小龙；应征入伍1名是18英语（2）班武昱龙；</w:t>
      </w:r>
      <w:r>
        <w:rPr>
          <w:rFonts w:hint="eastAsia" w:ascii="宋体" w:hAnsi="宋体"/>
          <w:color w:val="000000"/>
          <w:sz w:val="24"/>
        </w:rPr>
        <w:t>到国有企业上班是</w:t>
      </w:r>
      <w:r>
        <w:rPr>
          <w:rFonts w:hint="eastAsia" w:ascii="宋体" w:hAnsi="宋体"/>
          <w:color w:val="000000"/>
          <w:sz w:val="24"/>
          <w:lang w:val="en-US" w:eastAsia="zh-CN"/>
        </w:rPr>
        <w:t>2</w:t>
      </w:r>
      <w:r>
        <w:rPr>
          <w:rFonts w:hint="eastAsia" w:ascii="宋体" w:hAnsi="宋体"/>
          <w:color w:val="000000"/>
          <w:sz w:val="24"/>
        </w:rPr>
        <w:t>名同学，分别是</w:t>
      </w:r>
      <w:r>
        <w:rPr>
          <w:rFonts w:hint="eastAsia" w:ascii="宋体" w:hAnsi="宋体"/>
          <w:color w:val="000000"/>
          <w:sz w:val="24"/>
          <w:lang w:val="en-US" w:eastAsia="zh-CN"/>
        </w:rPr>
        <w:t>朝鲜语专业的李宜阳和张润泽</w:t>
      </w:r>
      <w:r>
        <w:rPr>
          <w:rFonts w:hint="eastAsia" w:ascii="宋体" w:hAnsi="宋体"/>
          <w:color w:val="000000"/>
          <w:sz w:val="24"/>
        </w:rPr>
        <w:t>；</w:t>
      </w:r>
      <w:r>
        <w:rPr>
          <w:rFonts w:hint="eastAsia" w:ascii="宋体" w:hAnsi="宋体"/>
          <w:color w:val="000000"/>
          <w:sz w:val="24"/>
          <w:lang w:val="en-US" w:eastAsia="zh-CN"/>
        </w:rPr>
        <w:t>155</w:t>
      </w:r>
      <w:r>
        <w:rPr>
          <w:rFonts w:hint="eastAsia" w:ascii="宋体" w:hAnsi="宋体"/>
          <w:color w:val="000000"/>
          <w:sz w:val="24"/>
        </w:rPr>
        <w:t>名同学在其他企业工作。具体如下图：</w:t>
      </w:r>
    </w:p>
    <w:p>
      <w:pPr>
        <w:adjustRightInd w:val="0"/>
        <w:snapToGrid w:val="0"/>
        <w:spacing w:line="360" w:lineRule="auto"/>
        <w:ind w:firstLine="411" w:firstLineChars="196"/>
        <w:rPr>
          <w:rFonts w:hint="eastAsia" w:ascii="宋体" w:hAnsi="宋体"/>
          <w:color w:val="000000"/>
          <w:sz w:val="24"/>
        </w:rPr>
      </w:pPr>
      <w:r>
        <w:drawing>
          <wp:inline distT="0" distB="0" distL="114300" distR="114300">
            <wp:extent cx="4572000" cy="2743200"/>
            <wp:effectExtent l="4445" t="4445" r="8255" b="8255"/>
            <wp:docPr id="135" name="图表 1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pPr>
        <w:adjustRightInd w:val="0"/>
        <w:snapToGrid w:val="0"/>
        <w:jc w:val="center"/>
        <w:rPr>
          <w:rFonts w:hint="eastAsia" w:ascii="宋体" w:hAnsi="宋体"/>
          <w:color w:val="000000"/>
          <w:sz w:val="24"/>
        </w:rPr>
      </w:pPr>
      <w:r>
        <w:rPr>
          <w:rFonts w:hint="eastAsia" w:ascii="宋体" w:hAnsi="宋体"/>
          <w:color w:val="000000"/>
          <w:sz w:val="24"/>
        </w:rPr>
        <w:t xml:space="preserve">图一: </w:t>
      </w:r>
      <w:r>
        <w:rPr>
          <w:rFonts w:hint="eastAsia" w:ascii="宋体" w:hAnsi="宋体"/>
          <w:color w:val="000000"/>
          <w:sz w:val="24"/>
          <w:lang w:val="en-US" w:eastAsia="zh-CN"/>
        </w:rPr>
        <w:t>外国语学院</w:t>
      </w:r>
      <w:r>
        <w:rPr>
          <w:rFonts w:hint="eastAsia" w:ascii="宋体" w:hAnsi="宋体"/>
          <w:color w:val="000000"/>
          <w:sz w:val="24"/>
        </w:rPr>
        <w:t>20</w:t>
      </w:r>
      <w:r>
        <w:rPr>
          <w:rFonts w:hint="eastAsia" w:ascii="宋体" w:hAnsi="宋体"/>
          <w:color w:val="000000"/>
          <w:sz w:val="24"/>
          <w:lang w:val="en-US" w:eastAsia="zh-CN"/>
        </w:rPr>
        <w:t>22</w:t>
      </w:r>
      <w:r>
        <w:rPr>
          <w:rFonts w:hint="eastAsia" w:ascii="宋体" w:hAnsi="宋体"/>
          <w:color w:val="000000"/>
          <w:sz w:val="24"/>
        </w:rPr>
        <w:t>届毕业生就业分布图</w:t>
      </w:r>
    </w:p>
    <w:p>
      <w:pPr>
        <w:adjustRightInd w:val="0"/>
        <w:snapToGrid w:val="0"/>
        <w:jc w:val="center"/>
        <w:rPr>
          <w:rFonts w:hint="eastAsia" w:ascii="宋体" w:hAnsi="宋体"/>
          <w:color w:val="000000"/>
          <w:sz w:val="24"/>
        </w:rPr>
      </w:pPr>
    </w:p>
    <w:p>
      <w:pPr>
        <w:adjustRightInd w:val="0"/>
        <w:snapToGrid w:val="0"/>
        <w:jc w:val="center"/>
        <w:rPr>
          <w:rFonts w:hint="eastAsia" w:ascii="宋体" w:hAnsi="宋体"/>
          <w:color w:val="000000"/>
          <w:sz w:val="24"/>
        </w:rPr>
      </w:pPr>
    </w:p>
    <w:tbl>
      <w:tblPr>
        <w:tblStyle w:val="13"/>
        <w:tblpPr w:leftFromText="180" w:rightFromText="180" w:vertAnchor="text" w:horzAnchor="page" w:tblpX="2162" w:tblpY="357"/>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9"/>
        <w:gridCol w:w="774"/>
        <w:gridCol w:w="774"/>
        <w:gridCol w:w="774"/>
        <w:gridCol w:w="774"/>
        <w:gridCol w:w="774"/>
        <w:gridCol w:w="901"/>
        <w:gridCol w:w="825"/>
        <w:gridCol w:w="915"/>
        <w:gridCol w:w="8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929" w:type="dxa"/>
            <w:noWrap w:val="0"/>
            <w:vAlign w:val="center"/>
          </w:tcPr>
          <w:p>
            <w:pPr>
              <w:adjustRightInd w:val="0"/>
              <w:snapToGrid w:val="0"/>
              <w:jc w:val="center"/>
              <w:rPr>
                <w:rFonts w:hint="eastAsia"/>
              </w:rPr>
            </w:pPr>
            <w:r>
              <w:rPr>
                <w:rFonts w:hint="eastAsia"/>
              </w:rPr>
              <w:t>姓名</w:t>
            </w:r>
          </w:p>
          <w:p>
            <w:pPr>
              <w:adjustRightInd w:val="0"/>
              <w:snapToGrid w:val="0"/>
              <w:jc w:val="center"/>
              <w:rPr>
                <w:rFonts w:hint="eastAsia"/>
              </w:rPr>
            </w:pPr>
            <w:r>
              <w:rPr>
                <w:rFonts w:hint="eastAsia"/>
              </w:rPr>
              <w:t>单位</w:t>
            </w:r>
          </w:p>
        </w:tc>
        <w:tc>
          <w:tcPr>
            <w:tcW w:w="774" w:type="dxa"/>
            <w:noWrap w:val="0"/>
            <w:vAlign w:val="center"/>
          </w:tcPr>
          <w:p>
            <w:pPr>
              <w:adjustRightInd w:val="0"/>
              <w:snapToGrid w:val="0"/>
              <w:jc w:val="center"/>
              <w:rPr>
                <w:rFonts w:hint="eastAsia"/>
              </w:rPr>
            </w:pPr>
            <w:r>
              <w:rPr>
                <w:rFonts w:hint="eastAsia"/>
              </w:rPr>
              <w:t>考研</w:t>
            </w:r>
          </w:p>
        </w:tc>
        <w:tc>
          <w:tcPr>
            <w:tcW w:w="774" w:type="dxa"/>
            <w:noWrap w:val="0"/>
            <w:vAlign w:val="center"/>
          </w:tcPr>
          <w:p>
            <w:pPr>
              <w:adjustRightInd w:val="0"/>
              <w:snapToGrid w:val="0"/>
              <w:jc w:val="center"/>
              <w:rPr>
                <w:rFonts w:hint="eastAsia"/>
              </w:rPr>
            </w:pPr>
            <w:r>
              <w:rPr>
                <w:rFonts w:hint="eastAsia"/>
              </w:rPr>
              <w:t>出国</w:t>
            </w:r>
          </w:p>
        </w:tc>
        <w:tc>
          <w:tcPr>
            <w:tcW w:w="774" w:type="dxa"/>
            <w:noWrap w:val="0"/>
            <w:vAlign w:val="center"/>
          </w:tcPr>
          <w:p>
            <w:pPr>
              <w:adjustRightInd w:val="0"/>
              <w:snapToGrid w:val="0"/>
              <w:jc w:val="center"/>
              <w:rPr>
                <w:rFonts w:hint="eastAsia"/>
              </w:rPr>
            </w:pPr>
            <w:r>
              <w:rPr>
                <w:rFonts w:hint="eastAsia"/>
              </w:rPr>
              <w:t>公务员</w:t>
            </w:r>
          </w:p>
        </w:tc>
        <w:tc>
          <w:tcPr>
            <w:tcW w:w="774" w:type="dxa"/>
            <w:noWrap w:val="0"/>
            <w:vAlign w:val="center"/>
          </w:tcPr>
          <w:p>
            <w:pPr>
              <w:adjustRightInd w:val="0"/>
              <w:snapToGrid w:val="0"/>
              <w:jc w:val="center"/>
              <w:rPr>
                <w:rFonts w:hint="eastAsia"/>
              </w:rPr>
            </w:pPr>
            <w:r>
              <w:rPr>
                <w:rFonts w:hint="eastAsia"/>
              </w:rPr>
              <w:t>事业单位</w:t>
            </w:r>
          </w:p>
        </w:tc>
        <w:tc>
          <w:tcPr>
            <w:tcW w:w="774" w:type="dxa"/>
            <w:noWrap w:val="0"/>
            <w:vAlign w:val="center"/>
          </w:tcPr>
          <w:p>
            <w:pPr>
              <w:adjustRightInd w:val="0"/>
              <w:snapToGrid w:val="0"/>
              <w:jc w:val="center"/>
              <w:rPr>
                <w:rFonts w:hint="default" w:eastAsia="宋体"/>
                <w:lang w:val="en-US" w:eastAsia="zh-CN"/>
              </w:rPr>
            </w:pPr>
            <w:r>
              <w:rPr>
                <w:rFonts w:hint="eastAsia"/>
                <w:lang w:val="en-US" w:eastAsia="zh-CN"/>
              </w:rPr>
              <w:t>西部计划</w:t>
            </w:r>
          </w:p>
        </w:tc>
        <w:tc>
          <w:tcPr>
            <w:tcW w:w="901" w:type="dxa"/>
            <w:noWrap w:val="0"/>
            <w:vAlign w:val="center"/>
          </w:tcPr>
          <w:p>
            <w:pPr>
              <w:adjustRightInd w:val="0"/>
              <w:snapToGrid w:val="0"/>
              <w:jc w:val="center"/>
              <w:rPr>
                <w:rFonts w:hint="eastAsia"/>
              </w:rPr>
            </w:pPr>
            <w:r>
              <w:rPr>
                <w:rFonts w:hint="eastAsia"/>
              </w:rPr>
              <w:t>国有</w:t>
            </w:r>
          </w:p>
          <w:p>
            <w:pPr>
              <w:adjustRightInd w:val="0"/>
              <w:snapToGrid w:val="0"/>
              <w:jc w:val="center"/>
              <w:rPr>
                <w:rFonts w:hint="eastAsia"/>
              </w:rPr>
            </w:pPr>
            <w:r>
              <w:rPr>
                <w:rFonts w:hint="eastAsia"/>
              </w:rPr>
              <w:t>企业</w:t>
            </w:r>
          </w:p>
        </w:tc>
        <w:tc>
          <w:tcPr>
            <w:tcW w:w="825" w:type="dxa"/>
            <w:noWrap w:val="0"/>
            <w:vAlign w:val="center"/>
          </w:tcPr>
          <w:p>
            <w:pPr>
              <w:adjustRightInd w:val="0"/>
              <w:snapToGrid w:val="0"/>
              <w:jc w:val="center"/>
              <w:rPr>
                <w:rFonts w:hint="eastAsia" w:eastAsia="宋体"/>
                <w:lang w:eastAsia="zh-CN"/>
              </w:rPr>
            </w:pPr>
            <w:r>
              <w:rPr>
                <w:rFonts w:hint="eastAsia"/>
                <w:lang w:val="en-US" w:eastAsia="zh-CN"/>
              </w:rPr>
              <w:t>应征入伍</w:t>
            </w:r>
          </w:p>
        </w:tc>
        <w:tc>
          <w:tcPr>
            <w:tcW w:w="915" w:type="dxa"/>
            <w:noWrap w:val="0"/>
            <w:vAlign w:val="center"/>
          </w:tcPr>
          <w:p>
            <w:pPr>
              <w:adjustRightInd w:val="0"/>
              <w:snapToGrid w:val="0"/>
              <w:jc w:val="center"/>
              <w:rPr>
                <w:rFonts w:hint="eastAsia"/>
              </w:rPr>
            </w:pPr>
            <w:r>
              <w:rPr>
                <w:rFonts w:hint="eastAsia"/>
              </w:rPr>
              <w:t>其他企业</w:t>
            </w:r>
          </w:p>
        </w:tc>
        <w:tc>
          <w:tcPr>
            <w:tcW w:w="810" w:type="dxa"/>
            <w:noWrap w:val="0"/>
            <w:vAlign w:val="center"/>
          </w:tcPr>
          <w:p>
            <w:pPr>
              <w:adjustRightInd w:val="0"/>
              <w:snapToGrid w:val="0"/>
              <w:jc w:val="center"/>
              <w:rPr>
                <w:rFonts w:hint="eastAsia"/>
              </w:rPr>
            </w:pPr>
            <w:r>
              <w:rPr>
                <w:rFonts w:hint="eastAsia"/>
              </w:rPr>
              <w:t>总计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929" w:type="dxa"/>
            <w:noWrap w:val="0"/>
            <w:vAlign w:val="center"/>
          </w:tcPr>
          <w:p>
            <w:pPr>
              <w:adjustRightInd w:val="0"/>
              <w:snapToGrid w:val="0"/>
              <w:jc w:val="center"/>
              <w:rPr>
                <w:rFonts w:hint="eastAsia"/>
              </w:rPr>
            </w:pPr>
            <w:r>
              <w:rPr>
                <w:rFonts w:hint="eastAsia"/>
              </w:rPr>
              <w:t>人数</w:t>
            </w:r>
          </w:p>
        </w:tc>
        <w:tc>
          <w:tcPr>
            <w:tcW w:w="774" w:type="dxa"/>
            <w:noWrap w:val="0"/>
            <w:vAlign w:val="center"/>
          </w:tcPr>
          <w:p>
            <w:pPr>
              <w:adjustRightInd w:val="0"/>
              <w:snapToGrid w:val="0"/>
              <w:jc w:val="center"/>
              <w:rPr>
                <w:rFonts w:hint="default" w:eastAsia="宋体"/>
                <w:lang w:val="en-US" w:eastAsia="zh-CN"/>
              </w:rPr>
            </w:pPr>
            <w:r>
              <w:rPr>
                <w:rFonts w:hint="eastAsia"/>
                <w:lang w:val="en-US" w:eastAsia="zh-CN"/>
              </w:rPr>
              <w:t>13</w:t>
            </w:r>
          </w:p>
        </w:tc>
        <w:tc>
          <w:tcPr>
            <w:tcW w:w="774" w:type="dxa"/>
            <w:noWrap w:val="0"/>
            <w:vAlign w:val="center"/>
          </w:tcPr>
          <w:p>
            <w:pPr>
              <w:adjustRightInd w:val="0"/>
              <w:snapToGrid w:val="0"/>
              <w:jc w:val="center"/>
              <w:rPr>
                <w:rFonts w:hint="default" w:eastAsia="宋体"/>
                <w:lang w:val="en-US" w:eastAsia="zh-CN"/>
              </w:rPr>
            </w:pPr>
            <w:r>
              <w:rPr>
                <w:rFonts w:hint="eastAsia"/>
                <w:lang w:val="en-US" w:eastAsia="zh-CN"/>
              </w:rPr>
              <w:t>10</w:t>
            </w:r>
          </w:p>
        </w:tc>
        <w:tc>
          <w:tcPr>
            <w:tcW w:w="774" w:type="dxa"/>
            <w:noWrap w:val="0"/>
            <w:vAlign w:val="center"/>
          </w:tcPr>
          <w:p>
            <w:pPr>
              <w:adjustRightInd w:val="0"/>
              <w:snapToGrid w:val="0"/>
              <w:jc w:val="center"/>
              <w:rPr>
                <w:rFonts w:hint="eastAsia" w:eastAsia="宋体"/>
                <w:lang w:eastAsia="zh-CN"/>
              </w:rPr>
            </w:pPr>
            <w:r>
              <w:rPr>
                <w:rFonts w:hint="eastAsia"/>
                <w:lang w:val="en-US" w:eastAsia="zh-CN"/>
              </w:rPr>
              <w:t>1</w:t>
            </w:r>
          </w:p>
        </w:tc>
        <w:tc>
          <w:tcPr>
            <w:tcW w:w="774" w:type="dxa"/>
            <w:noWrap w:val="0"/>
            <w:vAlign w:val="center"/>
          </w:tcPr>
          <w:p>
            <w:pPr>
              <w:adjustRightInd w:val="0"/>
              <w:snapToGrid w:val="0"/>
              <w:jc w:val="center"/>
              <w:rPr>
                <w:rFonts w:hint="eastAsia" w:eastAsia="宋体"/>
                <w:lang w:eastAsia="zh-CN"/>
              </w:rPr>
            </w:pPr>
            <w:r>
              <w:rPr>
                <w:rFonts w:hint="eastAsia"/>
                <w:lang w:val="en-US" w:eastAsia="zh-CN"/>
              </w:rPr>
              <w:t>1</w:t>
            </w:r>
          </w:p>
        </w:tc>
        <w:tc>
          <w:tcPr>
            <w:tcW w:w="774" w:type="dxa"/>
            <w:noWrap w:val="0"/>
            <w:vAlign w:val="center"/>
          </w:tcPr>
          <w:p>
            <w:pPr>
              <w:adjustRightInd w:val="0"/>
              <w:snapToGrid w:val="0"/>
              <w:jc w:val="center"/>
              <w:rPr>
                <w:rFonts w:hint="eastAsia"/>
              </w:rPr>
            </w:pPr>
            <w:r>
              <w:rPr>
                <w:rFonts w:hint="eastAsia"/>
              </w:rPr>
              <w:t>1</w:t>
            </w:r>
          </w:p>
        </w:tc>
        <w:tc>
          <w:tcPr>
            <w:tcW w:w="901" w:type="dxa"/>
            <w:noWrap w:val="0"/>
            <w:vAlign w:val="center"/>
          </w:tcPr>
          <w:p>
            <w:pPr>
              <w:adjustRightInd w:val="0"/>
              <w:snapToGrid w:val="0"/>
              <w:jc w:val="cente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2</w:t>
            </w:r>
          </w:p>
        </w:tc>
        <w:tc>
          <w:tcPr>
            <w:tcW w:w="825" w:type="dxa"/>
            <w:noWrap w:val="0"/>
            <w:vAlign w:val="center"/>
          </w:tcPr>
          <w:p>
            <w:pPr>
              <w:adjustRightInd w:val="0"/>
              <w:snapToGrid w:val="0"/>
              <w:jc w:val="cente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1</w:t>
            </w:r>
          </w:p>
        </w:tc>
        <w:tc>
          <w:tcPr>
            <w:tcW w:w="915" w:type="dxa"/>
            <w:noWrap w:val="0"/>
            <w:vAlign w:val="center"/>
          </w:tcPr>
          <w:p>
            <w:pPr>
              <w:adjustRightInd w:val="0"/>
              <w:snapToGrid w:val="0"/>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155</w:t>
            </w:r>
          </w:p>
        </w:tc>
        <w:tc>
          <w:tcPr>
            <w:tcW w:w="810" w:type="dxa"/>
            <w:noWrap w:val="0"/>
            <w:vAlign w:val="center"/>
          </w:tcPr>
          <w:p>
            <w:pPr>
              <w:adjustRightInd w:val="0"/>
              <w:snapToGrid w:val="0"/>
              <w:jc w:val="center"/>
              <w:rPr>
                <w:rFonts w:hint="default" w:eastAsia="宋体"/>
                <w:lang w:val="en-US" w:eastAsia="zh-CN"/>
              </w:rPr>
            </w:pPr>
            <w:r>
              <w:rPr>
                <w:rFonts w:hint="eastAsia"/>
                <w:lang w:val="en-US" w:eastAsia="zh-CN"/>
              </w:rPr>
              <w:t>184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929" w:type="dxa"/>
            <w:noWrap w:val="0"/>
            <w:vAlign w:val="center"/>
          </w:tcPr>
          <w:p>
            <w:pPr>
              <w:adjustRightInd w:val="0"/>
              <w:snapToGrid w:val="0"/>
              <w:jc w:val="center"/>
              <w:rPr>
                <w:rFonts w:hint="eastAsia"/>
              </w:rPr>
            </w:pPr>
            <w:r>
              <w:rPr>
                <w:rFonts w:hint="eastAsia"/>
              </w:rPr>
              <w:t>占比</w:t>
            </w:r>
          </w:p>
        </w:tc>
        <w:tc>
          <w:tcPr>
            <w:tcW w:w="774" w:type="dxa"/>
            <w:noWrap w:val="0"/>
            <w:vAlign w:val="center"/>
          </w:tcPr>
          <w:p>
            <w:pPr>
              <w:adjustRightInd w:val="0"/>
              <w:snapToGrid w:val="0"/>
              <w:jc w:val="center"/>
              <w:rPr>
                <w:rFonts w:hint="eastAsia"/>
              </w:rPr>
            </w:pPr>
            <w:r>
              <w:rPr>
                <w:rFonts w:hint="eastAsia"/>
                <w:lang w:val="en-US" w:eastAsia="zh-CN"/>
              </w:rPr>
              <w:t>7.06</w:t>
            </w:r>
            <w:r>
              <w:rPr>
                <w:rFonts w:hint="eastAsia"/>
              </w:rPr>
              <w:t>%</w:t>
            </w:r>
          </w:p>
        </w:tc>
        <w:tc>
          <w:tcPr>
            <w:tcW w:w="774" w:type="dxa"/>
            <w:noWrap w:val="0"/>
            <w:vAlign w:val="center"/>
          </w:tcPr>
          <w:p>
            <w:pPr>
              <w:adjustRightInd w:val="0"/>
              <w:snapToGrid w:val="0"/>
              <w:jc w:val="center"/>
              <w:rPr>
                <w:rFonts w:hint="eastAsia"/>
              </w:rPr>
            </w:pPr>
            <w:r>
              <w:rPr>
                <w:rFonts w:hint="eastAsia"/>
                <w:lang w:val="en-US" w:eastAsia="zh-CN"/>
              </w:rPr>
              <w:t>5.43</w:t>
            </w:r>
            <w:r>
              <w:rPr>
                <w:rFonts w:hint="eastAsia"/>
              </w:rPr>
              <w:t>%</w:t>
            </w:r>
          </w:p>
        </w:tc>
        <w:tc>
          <w:tcPr>
            <w:tcW w:w="774" w:type="dxa"/>
            <w:noWrap w:val="0"/>
            <w:vAlign w:val="center"/>
          </w:tcPr>
          <w:p>
            <w:pPr>
              <w:adjustRightInd w:val="0"/>
              <w:snapToGrid w:val="0"/>
              <w:jc w:val="center"/>
              <w:rPr>
                <w:rFonts w:hint="eastAsia"/>
              </w:rPr>
            </w:pPr>
            <w:r>
              <w:rPr>
                <w:rFonts w:hint="eastAsia"/>
                <w:lang w:val="en-US" w:eastAsia="zh-CN"/>
              </w:rPr>
              <w:t>0</w:t>
            </w:r>
            <w:r>
              <w:t>.</w:t>
            </w:r>
            <w:r>
              <w:rPr>
                <w:rFonts w:hint="eastAsia"/>
                <w:lang w:val="en-US" w:eastAsia="zh-CN"/>
              </w:rPr>
              <w:t>54</w:t>
            </w:r>
            <w:r>
              <w:rPr>
                <w:rFonts w:hint="eastAsia"/>
              </w:rPr>
              <w:t>%</w:t>
            </w:r>
          </w:p>
        </w:tc>
        <w:tc>
          <w:tcPr>
            <w:tcW w:w="774" w:type="dxa"/>
            <w:noWrap w:val="0"/>
            <w:vAlign w:val="center"/>
          </w:tcPr>
          <w:p>
            <w:pPr>
              <w:adjustRightInd w:val="0"/>
              <w:snapToGrid w:val="0"/>
              <w:jc w:val="center"/>
              <w:rPr>
                <w:rFonts w:hint="eastAsia"/>
              </w:rPr>
            </w:pPr>
            <w:r>
              <w:rPr>
                <w:rFonts w:hint="eastAsia"/>
                <w:lang w:val="en-US" w:eastAsia="zh-CN"/>
              </w:rPr>
              <w:t>0.54</w:t>
            </w:r>
            <w:r>
              <w:rPr>
                <w:rFonts w:hint="eastAsia"/>
              </w:rPr>
              <w:t>%</w:t>
            </w:r>
          </w:p>
        </w:tc>
        <w:tc>
          <w:tcPr>
            <w:tcW w:w="774" w:type="dxa"/>
            <w:noWrap w:val="0"/>
            <w:vAlign w:val="center"/>
          </w:tcPr>
          <w:p>
            <w:pPr>
              <w:adjustRightInd w:val="0"/>
              <w:snapToGrid w:val="0"/>
              <w:jc w:val="center"/>
              <w:rPr>
                <w:rFonts w:hint="eastAsia"/>
              </w:rPr>
            </w:pPr>
            <w:r>
              <w:rPr>
                <w:rFonts w:hint="eastAsia"/>
                <w:lang w:val="en-US" w:eastAsia="zh-CN"/>
              </w:rPr>
              <w:t>0.54</w:t>
            </w:r>
            <w:r>
              <w:rPr>
                <w:rFonts w:hint="eastAsia"/>
              </w:rPr>
              <w:t>%</w:t>
            </w:r>
          </w:p>
        </w:tc>
        <w:tc>
          <w:tcPr>
            <w:tcW w:w="901" w:type="dxa"/>
            <w:noWrap w:val="0"/>
            <w:vAlign w:val="center"/>
          </w:tcPr>
          <w:p>
            <w:pPr>
              <w:adjustRightInd w:val="0"/>
              <w:snapToGrid w:val="0"/>
              <w:jc w:val="center"/>
              <w:rPr>
                <w:rFonts w:hint="eastAsia"/>
              </w:rPr>
            </w:pPr>
            <w:r>
              <w:rPr>
                <w:rFonts w:hint="eastAsia"/>
                <w:lang w:val="en-US" w:eastAsia="zh-CN"/>
              </w:rPr>
              <w:t>1.08</w:t>
            </w:r>
            <w:r>
              <w:rPr>
                <w:rFonts w:hint="eastAsia"/>
              </w:rPr>
              <w:t>%</w:t>
            </w:r>
          </w:p>
        </w:tc>
        <w:tc>
          <w:tcPr>
            <w:tcW w:w="825" w:type="dxa"/>
            <w:noWrap w:val="0"/>
            <w:vAlign w:val="center"/>
          </w:tcPr>
          <w:p>
            <w:pPr>
              <w:adjustRightInd w:val="0"/>
              <w:snapToGrid w:val="0"/>
              <w:jc w:val="center"/>
              <w:rPr>
                <w:rFonts w:hint="eastAsia"/>
              </w:rPr>
            </w:pPr>
            <w:r>
              <w:rPr>
                <w:rFonts w:hint="eastAsia"/>
                <w:lang w:val="en-US" w:eastAsia="zh-CN"/>
              </w:rPr>
              <w:t>0.54</w:t>
            </w:r>
            <w:r>
              <w:rPr>
                <w:rFonts w:hint="eastAsia"/>
              </w:rPr>
              <w:t>%</w:t>
            </w:r>
          </w:p>
        </w:tc>
        <w:tc>
          <w:tcPr>
            <w:tcW w:w="915" w:type="dxa"/>
            <w:noWrap w:val="0"/>
            <w:vAlign w:val="center"/>
          </w:tcPr>
          <w:p>
            <w:pPr>
              <w:adjustRightInd w:val="0"/>
              <w:snapToGrid w:val="0"/>
              <w:jc w:val="center"/>
              <w:rPr>
                <w:rFonts w:hint="eastAsia"/>
              </w:rPr>
            </w:pPr>
            <w:r>
              <w:rPr>
                <w:rFonts w:hint="eastAsia"/>
                <w:lang w:val="en-US" w:eastAsia="zh-CN"/>
              </w:rPr>
              <w:t>84.24</w:t>
            </w:r>
            <w:r>
              <w:rPr>
                <w:rFonts w:hint="eastAsia"/>
              </w:rPr>
              <w:t>%</w:t>
            </w:r>
          </w:p>
        </w:tc>
        <w:tc>
          <w:tcPr>
            <w:tcW w:w="810" w:type="dxa"/>
            <w:noWrap w:val="0"/>
            <w:vAlign w:val="center"/>
          </w:tcPr>
          <w:p>
            <w:pPr>
              <w:adjustRightInd w:val="0"/>
              <w:snapToGrid w:val="0"/>
              <w:jc w:val="center"/>
              <w:rPr>
                <w:rFonts w:hint="eastAsia"/>
              </w:rPr>
            </w:pPr>
            <w:r>
              <w:rPr>
                <w:rFonts w:hint="eastAsia"/>
              </w:rPr>
              <w:t>100%</w:t>
            </w:r>
          </w:p>
        </w:tc>
      </w:tr>
    </w:tbl>
    <w:p>
      <w:pPr>
        <w:adjustRightInd w:val="0"/>
        <w:snapToGrid w:val="0"/>
        <w:jc w:val="center"/>
        <w:rPr>
          <w:rFonts w:hint="eastAsia" w:ascii="宋体" w:hAnsi="宋体"/>
          <w:color w:val="000000"/>
          <w:sz w:val="24"/>
        </w:rPr>
      </w:pPr>
      <w:r>
        <w:rPr>
          <w:rFonts w:hint="eastAsia" w:ascii="宋体" w:hAnsi="宋体"/>
          <w:color w:val="000000"/>
          <w:sz w:val="24"/>
        </w:rPr>
        <w:t xml:space="preserve"> </w:t>
      </w:r>
      <w:r>
        <w:rPr>
          <w:rFonts w:hint="eastAsia" w:ascii="宋体" w:hAnsi="宋体"/>
          <w:color w:val="000000"/>
          <w:sz w:val="24"/>
          <w:lang w:eastAsia="zh-CN"/>
        </w:rPr>
        <w:t>表一</w:t>
      </w:r>
      <w:r>
        <w:rPr>
          <w:rFonts w:hint="eastAsia" w:ascii="宋体" w:hAnsi="宋体"/>
          <w:color w:val="000000"/>
          <w:sz w:val="24"/>
        </w:rPr>
        <w:t xml:space="preserve">: </w:t>
      </w:r>
      <w:r>
        <w:rPr>
          <w:rFonts w:hint="eastAsia" w:ascii="宋体" w:hAnsi="宋体"/>
          <w:color w:val="000000"/>
          <w:sz w:val="24"/>
          <w:lang w:val="en-US" w:eastAsia="zh-CN"/>
        </w:rPr>
        <w:t>外国语学院</w:t>
      </w:r>
      <w:r>
        <w:rPr>
          <w:rFonts w:hint="eastAsia" w:ascii="宋体" w:hAnsi="宋体"/>
          <w:color w:val="000000"/>
          <w:sz w:val="24"/>
        </w:rPr>
        <w:t>20</w:t>
      </w:r>
      <w:r>
        <w:rPr>
          <w:rFonts w:hint="eastAsia" w:ascii="宋体" w:hAnsi="宋体"/>
          <w:color w:val="000000"/>
          <w:sz w:val="24"/>
          <w:lang w:val="en-US" w:eastAsia="zh-CN"/>
        </w:rPr>
        <w:t>22</w:t>
      </w:r>
      <w:r>
        <w:rPr>
          <w:rFonts w:hint="eastAsia" w:ascii="宋体" w:hAnsi="宋体"/>
          <w:color w:val="000000"/>
          <w:sz w:val="24"/>
        </w:rPr>
        <w:t>届就业情况比率分布表</w:t>
      </w:r>
    </w:p>
    <w:p>
      <w:pPr>
        <w:adjustRightInd w:val="0"/>
        <w:snapToGrid w:val="0"/>
        <w:spacing w:line="360" w:lineRule="auto"/>
        <w:ind w:firstLine="480" w:firstLineChars="200"/>
        <w:jc w:val="center"/>
        <w:rPr>
          <w:rFonts w:hint="eastAsia" w:ascii="宋体" w:hAnsi="宋体" w:cs="宋体"/>
          <w:sz w:val="24"/>
          <w:szCs w:val="24"/>
          <w:lang w:val="en-US" w:eastAsia="zh-CN"/>
        </w:rPr>
      </w:pPr>
    </w:p>
    <w:p>
      <w:pPr>
        <w:adjustRightInd w:val="0"/>
        <w:snapToGrid w:val="0"/>
        <w:spacing w:line="360" w:lineRule="auto"/>
        <w:ind w:firstLine="480" w:firstLineChars="200"/>
        <w:jc w:val="center"/>
        <w:rPr>
          <w:rFonts w:hint="eastAsia" w:ascii="宋体" w:hAnsi="宋体" w:cs="宋体"/>
          <w:sz w:val="24"/>
          <w:szCs w:val="24"/>
          <w:lang w:val="en-US" w:eastAsia="zh-CN"/>
        </w:rPr>
      </w:pPr>
    </w:p>
    <w:p>
      <w:pPr>
        <w:adjustRightInd w:val="0"/>
        <w:snapToGrid w:val="0"/>
        <w:spacing w:line="360" w:lineRule="auto"/>
        <w:ind w:firstLine="480" w:firstLineChars="200"/>
        <w:jc w:val="center"/>
        <w:rPr>
          <w:rFonts w:hint="eastAsia" w:ascii="宋体" w:hAnsi="宋体" w:cs="宋体"/>
          <w:sz w:val="24"/>
          <w:szCs w:val="24"/>
          <w:lang w:val="en-US" w:eastAsia="zh-CN"/>
        </w:rPr>
      </w:pPr>
    </w:p>
    <w:p>
      <w:pPr>
        <w:adjustRightInd w:val="0"/>
        <w:snapToGrid w:val="0"/>
        <w:spacing w:line="360" w:lineRule="auto"/>
        <w:ind w:firstLine="480" w:firstLineChars="200"/>
        <w:jc w:val="center"/>
        <w:rPr>
          <w:rFonts w:hint="eastAsia" w:ascii="宋体" w:hAnsi="宋体" w:cs="宋体"/>
          <w:sz w:val="24"/>
          <w:szCs w:val="24"/>
          <w:lang w:val="en-US" w:eastAsia="zh-CN"/>
        </w:rPr>
      </w:pPr>
    </w:p>
    <w:p>
      <w:pPr>
        <w:adjustRightInd w:val="0"/>
        <w:snapToGrid w:val="0"/>
        <w:spacing w:line="360" w:lineRule="auto"/>
        <w:ind w:firstLine="480" w:firstLineChars="200"/>
        <w:jc w:val="center"/>
        <w:rPr>
          <w:rFonts w:hint="eastAsia" w:ascii="宋体" w:hAnsi="宋体" w:cs="宋体"/>
          <w:sz w:val="24"/>
          <w:szCs w:val="24"/>
          <w:lang w:val="en-US" w:eastAsia="zh-CN"/>
        </w:rPr>
      </w:pPr>
    </w:p>
    <w:p>
      <w:pPr>
        <w:adjustRightInd w:val="0"/>
        <w:snapToGrid w:val="0"/>
        <w:spacing w:line="360" w:lineRule="auto"/>
        <w:ind w:firstLine="480" w:firstLineChars="200"/>
        <w:jc w:val="center"/>
        <w:rPr>
          <w:rFonts w:hint="eastAsia" w:ascii="宋体" w:hAnsi="宋体" w:cs="宋体"/>
          <w:sz w:val="24"/>
          <w:szCs w:val="24"/>
          <w:lang w:val="en-US" w:eastAsia="zh-CN"/>
        </w:rPr>
      </w:pPr>
    </w:p>
    <w:p>
      <w:pPr>
        <w:adjustRightInd w:val="0"/>
        <w:snapToGrid w:val="0"/>
        <w:spacing w:line="360" w:lineRule="auto"/>
        <w:ind w:firstLine="480" w:firstLineChars="200"/>
        <w:jc w:val="center"/>
        <w:rPr>
          <w:rFonts w:hint="eastAsia" w:ascii="宋体" w:hAnsi="宋体" w:cs="宋体"/>
          <w:sz w:val="24"/>
          <w:szCs w:val="24"/>
          <w:lang w:val="en-US" w:eastAsia="zh-CN"/>
        </w:rPr>
      </w:pPr>
    </w:p>
    <w:p>
      <w:pPr>
        <w:adjustRightInd w:val="0"/>
        <w:snapToGrid w:val="0"/>
        <w:spacing w:line="360" w:lineRule="auto"/>
        <w:ind w:firstLine="480" w:firstLineChars="200"/>
        <w:jc w:val="center"/>
        <w:rPr>
          <w:rFonts w:hint="eastAsia" w:ascii="宋体" w:hAnsi="宋体" w:cs="宋体"/>
          <w:sz w:val="24"/>
          <w:szCs w:val="24"/>
          <w:lang w:val="en-US" w:eastAsia="zh-CN"/>
        </w:rPr>
      </w:pPr>
    </w:p>
    <w:p>
      <w:pPr>
        <w:adjustRightInd w:val="0"/>
        <w:snapToGrid w:val="0"/>
        <w:spacing w:line="360" w:lineRule="auto"/>
        <w:ind w:firstLine="480" w:firstLineChars="200"/>
        <w:jc w:val="center"/>
        <w:rPr>
          <w:rFonts w:hint="eastAsia" w:ascii="宋体" w:hAnsi="宋体" w:cs="宋体"/>
          <w:sz w:val="24"/>
          <w:szCs w:val="24"/>
          <w:lang w:val="en-US" w:eastAsia="zh-CN"/>
        </w:rPr>
      </w:pPr>
    </w:p>
    <w:p>
      <w:pPr>
        <w:adjustRightInd w:val="0"/>
        <w:snapToGrid w:val="0"/>
        <w:spacing w:line="360" w:lineRule="auto"/>
        <w:ind w:firstLine="480" w:firstLineChars="200"/>
        <w:jc w:val="center"/>
        <w:rPr>
          <w:rFonts w:hint="eastAsia" w:ascii="宋体" w:hAnsi="宋体" w:cs="宋体"/>
          <w:sz w:val="24"/>
          <w:szCs w:val="24"/>
          <w:lang w:val="en-US" w:eastAsia="zh-CN"/>
        </w:rPr>
      </w:pPr>
      <w:r>
        <w:rPr>
          <w:rFonts w:hint="eastAsia" w:ascii="宋体" w:hAnsi="宋体" w:cs="宋体"/>
          <w:sz w:val="24"/>
          <w:szCs w:val="24"/>
          <w:lang w:val="en-US" w:eastAsia="zh-CN"/>
        </w:rPr>
        <w:t>表二：外国语学院2022届毕业生就业基本情况统计表</w:t>
      </w:r>
    </w:p>
    <w:p>
      <w:pPr>
        <w:keepNext w:val="0"/>
        <w:keepLines w:val="0"/>
        <w:widowControl/>
        <w:suppressLineNumbers w:val="0"/>
        <w:jc w:val="left"/>
      </w:pPr>
      <w:r>
        <w:rPr>
          <w:rFonts w:ascii="宋体" w:hAnsi="宋体" w:eastAsia="宋体" w:cs="宋体"/>
          <w:kern w:val="0"/>
          <w:sz w:val="24"/>
          <w:szCs w:val="24"/>
          <w:lang w:val="en-US" w:eastAsia="zh-CN" w:bidi="ar"/>
        </w:rPr>
        <w:fldChar w:fldCharType="begin"/>
      </w:r>
      <w:r>
        <w:rPr>
          <w:rFonts w:ascii="宋体" w:hAnsi="宋体" w:eastAsia="宋体" w:cs="宋体"/>
          <w:kern w:val="0"/>
          <w:sz w:val="24"/>
          <w:szCs w:val="24"/>
          <w:lang w:val="en-US" w:eastAsia="zh-CN" w:bidi="ar"/>
        </w:rPr>
        <w:instrText xml:space="preserve">INCLUDEPICTURE \d "C:\\Users\\pc\\AppData\\Roaming\\Tencent\\Users\\490047869\\QQ\\WinTemp\\RichOle\\DU{3IBO27D8@1$EUSE(9_[H.png" \* MERGEFORMATINET </w:instrText>
      </w:r>
      <w:r>
        <w:rPr>
          <w:rFonts w:ascii="宋体" w:hAnsi="宋体" w:eastAsia="宋体" w:cs="宋体"/>
          <w:kern w:val="0"/>
          <w:sz w:val="24"/>
          <w:szCs w:val="24"/>
          <w:lang w:val="en-US" w:eastAsia="zh-CN" w:bidi="ar"/>
        </w:rPr>
        <w:fldChar w:fldCharType="separate"/>
      </w:r>
      <w:r>
        <w:rPr>
          <w:rFonts w:ascii="宋体" w:hAnsi="宋体" w:eastAsia="宋体" w:cs="宋体"/>
          <w:kern w:val="0"/>
          <w:sz w:val="24"/>
          <w:szCs w:val="24"/>
          <w:lang w:val="en-US" w:eastAsia="zh-CN" w:bidi="ar"/>
        </w:rPr>
        <w:drawing>
          <wp:inline distT="0" distB="0" distL="114300" distR="114300">
            <wp:extent cx="5819140" cy="2179955"/>
            <wp:effectExtent l="0" t="0" r="10160" b="4445"/>
            <wp:docPr id="134" name="图片 5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57" descr="IMG_256"/>
                    <pic:cNvPicPr>
                      <a:picLocks noChangeAspect="1"/>
                    </pic:cNvPicPr>
                  </pic:nvPicPr>
                  <pic:blipFill>
                    <a:blip r:embed="rId107"/>
                    <a:stretch>
                      <a:fillRect/>
                    </a:stretch>
                  </pic:blipFill>
                  <pic:spPr>
                    <a:xfrm>
                      <a:off x="0" y="0"/>
                      <a:ext cx="5819140" cy="2179955"/>
                    </a:xfrm>
                    <a:prstGeom prst="rect">
                      <a:avLst/>
                    </a:prstGeom>
                    <a:noFill/>
                    <a:ln>
                      <a:noFill/>
                    </a:ln>
                  </pic:spPr>
                </pic:pic>
              </a:graphicData>
            </a:graphic>
          </wp:inline>
        </w:drawing>
      </w:r>
      <w:r>
        <w:rPr>
          <w:rFonts w:ascii="宋体" w:hAnsi="宋体" w:eastAsia="宋体" w:cs="宋体"/>
          <w:kern w:val="0"/>
          <w:sz w:val="24"/>
          <w:szCs w:val="24"/>
          <w:lang w:val="en-US" w:eastAsia="zh-CN" w:bidi="ar"/>
        </w:rPr>
        <w:fldChar w:fldCharType="end"/>
      </w:r>
    </w:p>
    <w:p>
      <w:pPr>
        <w:adjustRightInd w:val="0"/>
        <w:snapToGrid w:val="0"/>
        <w:rPr>
          <w:rFonts w:hint="eastAsia" w:ascii="宋体" w:hAnsi="宋体"/>
          <w:color w:val="FF0000"/>
          <w:sz w:val="24"/>
        </w:rPr>
      </w:pPr>
    </w:p>
    <w:p>
      <w:pPr>
        <w:adjustRightInd w:val="0"/>
        <w:snapToGrid w:val="0"/>
        <w:rPr>
          <w:rFonts w:hint="eastAsia" w:ascii="宋体" w:hAnsi="宋体"/>
          <w:color w:val="FF0000"/>
          <w:sz w:val="24"/>
        </w:rPr>
      </w:pPr>
    </w:p>
    <w:p>
      <w:pPr>
        <w:adjustRightInd w:val="0"/>
        <w:snapToGrid w:val="0"/>
        <w:spacing w:line="360" w:lineRule="auto"/>
        <w:ind w:firstLine="480" w:firstLineChars="200"/>
        <w:rPr>
          <w:rFonts w:hint="eastAsia" w:ascii="宋体" w:hAnsi="宋体"/>
          <w:color w:val="000000"/>
          <w:sz w:val="24"/>
        </w:rPr>
      </w:pPr>
      <w:r>
        <w:rPr>
          <w:rFonts w:hint="eastAsia" w:ascii="宋体" w:hAnsi="宋体"/>
          <w:color w:val="000000"/>
          <w:sz w:val="24"/>
        </w:rPr>
        <w:t>从</w:t>
      </w:r>
      <w:r>
        <w:rPr>
          <w:rFonts w:hint="eastAsia" w:ascii="宋体" w:hAnsi="宋体"/>
          <w:color w:val="000000"/>
          <w:sz w:val="24"/>
          <w:lang w:val="en-US" w:eastAsia="zh-CN"/>
        </w:rPr>
        <w:t>外国语学院的</w:t>
      </w:r>
      <w:r>
        <w:rPr>
          <w:rFonts w:hint="eastAsia" w:ascii="宋体" w:hAnsi="宋体"/>
          <w:color w:val="000000"/>
          <w:sz w:val="24"/>
        </w:rPr>
        <w:t>就业结构分析图表可知，近几年的毕业生的就业分布数据显示，毕业生的市场竞争力不强，在社会上特别是在一些国企、知名企业中的招聘会中不占优势。还有学生的就业观望现象众多，适应社会的能力不强。尤其在</w:t>
      </w:r>
      <w:r>
        <w:rPr>
          <w:rFonts w:hint="eastAsia" w:ascii="宋体" w:hAnsi="宋体"/>
          <w:color w:val="000000"/>
          <w:sz w:val="24"/>
          <w:lang w:val="en-US" w:eastAsia="zh-CN"/>
        </w:rPr>
        <w:t>我院</w:t>
      </w:r>
      <w:r>
        <w:rPr>
          <w:rFonts w:hint="eastAsia" w:ascii="宋体" w:hAnsi="宋体"/>
          <w:color w:val="000000"/>
          <w:sz w:val="24"/>
        </w:rPr>
        <w:t>毕业生中，存在就业质量的差异，学团干部、党员、班级干部等优秀学生备受企业欢迎，一般普通同学就业受到就业条件限制。</w:t>
      </w:r>
      <w:r>
        <w:rPr>
          <w:rFonts w:hint="eastAsia" w:ascii="宋体" w:hAnsi="宋体"/>
          <w:color w:val="000000"/>
          <w:sz w:val="24"/>
          <w:lang w:val="en-US" w:eastAsia="zh-CN"/>
        </w:rPr>
        <w:t>80%</w:t>
      </w:r>
      <w:r>
        <w:rPr>
          <w:rFonts w:hint="eastAsia" w:ascii="宋体" w:hAnsi="宋体"/>
          <w:color w:val="000000"/>
          <w:sz w:val="24"/>
        </w:rPr>
        <w:t>以上的毕业生在中小企业中就职，待遇一般。极少数毕业生不愿意就业，存在结业生。</w:t>
      </w:r>
    </w:p>
    <w:p>
      <w:pPr>
        <w:adjustRightInd w:val="0"/>
        <w:snapToGrid w:val="0"/>
        <w:spacing w:line="360" w:lineRule="auto"/>
        <w:ind w:firstLine="480"/>
        <w:rPr>
          <w:rFonts w:hint="eastAsia" w:ascii="宋体" w:hAnsi="宋体" w:cs="宋体"/>
          <w:sz w:val="24"/>
          <w:szCs w:val="24"/>
        </w:rPr>
      </w:pPr>
      <w:r>
        <w:rPr>
          <w:rFonts w:hint="eastAsia" w:ascii="宋体" w:hAnsi="宋体" w:cs="宋体"/>
          <w:sz w:val="24"/>
          <w:szCs w:val="24"/>
        </w:rPr>
        <w:t>我院202</w:t>
      </w:r>
      <w:r>
        <w:rPr>
          <w:rFonts w:hint="eastAsia" w:ascii="宋体" w:hAnsi="宋体" w:cs="宋体"/>
          <w:sz w:val="24"/>
          <w:szCs w:val="24"/>
          <w:lang w:val="en-US" w:eastAsia="zh-CN"/>
        </w:rPr>
        <w:t>2</w:t>
      </w:r>
      <w:r>
        <w:rPr>
          <w:rFonts w:hint="eastAsia" w:ascii="宋体" w:hAnsi="宋体" w:cs="宋体"/>
          <w:sz w:val="24"/>
          <w:szCs w:val="24"/>
        </w:rPr>
        <w:t>届毕业生就业去向有如下特点：</w:t>
      </w:r>
    </w:p>
    <w:p>
      <w:pPr>
        <w:numPr>
          <w:ilvl w:val="0"/>
          <w:numId w:val="13"/>
        </w:numPr>
        <w:adjustRightInd w:val="0"/>
        <w:snapToGrid w:val="0"/>
        <w:spacing w:line="360" w:lineRule="auto"/>
        <w:ind w:firstLine="480"/>
        <w:rPr>
          <w:rFonts w:hint="eastAsia" w:ascii="宋体" w:hAnsi="宋体" w:cs="宋体"/>
          <w:sz w:val="24"/>
          <w:szCs w:val="24"/>
        </w:rPr>
      </w:pPr>
      <w:r>
        <w:rPr>
          <w:rFonts w:hint="eastAsia" w:ascii="宋体" w:hAnsi="宋体" w:cs="宋体"/>
          <w:sz w:val="24"/>
          <w:szCs w:val="24"/>
        </w:rPr>
        <w:t>考取研究生比例与往年</w:t>
      </w:r>
      <w:r>
        <w:rPr>
          <w:rFonts w:hint="eastAsia" w:ascii="宋体" w:hAnsi="宋体" w:cs="宋体"/>
          <w:sz w:val="24"/>
          <w:szCs w:val="24"/>
          <w:lang w:val="en-US" w:eastAsia="zh-CN"/>
        </w:rPr>
        <w:t>态势较好</w:t>
      </w:r>
      <w:r>
        <w:rPr>
          <w:rFonts w:hint="eastAsia" w:ascii="宋体" w:hAnsi="宋体" w:cs="宋体"/>
          <w:sz w:val="24"/>
          <w:szCs w:val="24"/>
        </w:rPr>
        <w:t>，其中德语、</w:t>
      </w:r>
      <w:r>
        <w:rPr>
          <w:rFonts w:hint="eastAsia" w:ascii="宋体" w:hAnsi="宋体" w:cs="宋体"/>
          <w:sz w:val="24"/>
          <w:szCs w:val="24"/>
          <w:lang w:val="en-US" w:eastAsia="zh-CN"/>
        </w:rPr>
        <w:t>英</w:t>
      </w:r>
      <w:r>
        <w:rPr>
          <w:rFonts w:hint="eastAsia" w:ascii="宋体" w:hAnsi="宋体" w:cs="宋体"/>
          <w:sz w:val="24"/>
          <w:szCs w:val="24"/>
        </w:rPr>
        <w:t>语录取比例较往届相比有所上升。</w:t>
      </w:r>
    </w:p>
    <w:p>
      <w:pPr>
        <w:numPr>
          <w:ilvl w:val="0"/>
          <w:numId w:val="13"/>
        </w:numPr>
        <w:adjustRightInd w:val="0"/>
        <w:snapToGrid w:val="0"/>
        <w:spacing w:line="360" w:lineRule="auto"/>
        <w:ind w:firstLine="480"/>
        <w:rPr>
          <w:rFonts w:ascii="宋体" w:hAnsi="宋体" w:cs="宋体"/>
          <w:sz w:val="24"/>
          <w:szCs w:val="24"/>
        </w:rPr>
      </w:pPr>
      <w:r>
        <w:rPr>
          <w:rFonts w:hint="eastAsia" w:ascii="宋体" w:hAnsi="宋体" w:cs="宋体"/>
          <w:sz w:val="24"/>
          <w:szCs w:val="24"/>
          <w:lang w:val="en-US" w:eastAsia="zh-CN"/>
        </w:rPr>
        <w:t>小微</w:t>
      </w:r>
      <w:r>
        <w:rPr>
          <w:rFonts w:hint="eastAsia" w:ascii="宋体" w:hAnsi="宋体" w:cs="宋体"/>
          <w:sz w:val="24"/>
          <w:szCs w:val="24"/>
        </w:rPr>
        <w:t>企业依旧是我院各专业毕业生就业的主要渠道，占毕业生总数的7</w:t>
      </w:r>
      <w:r>
        <w:rPr>
          <w:rFonts w:hint="eastAsia" w:ascii="宋体" w:hAnsi="宋体" w:cs="宋体"/>
          <w:sz w:val="24"/>
          <w:szCs w:val="24"/>
          <w:lang w:val="en-US" w:eastAsia="zh-CN"/>
        </w:rPr>
        <w:t>0</w:t>
      </w:r>
      <w:r>
        <w:rPr>
          <w:rFonts w:hint="eastAsia" w:ascii="宋体" w:hAnsi="宋体" w:cs="宋体"/>
          <w:sz w:val="24"/>
          <w:szCs w:val="24"/>
        </w:rPr>
        <w:t>%</w:t>
      </w:r>
      <w:r>
        <w:rPr>
          <w:rFonts w:hint="eastAsia" w:ascii="宋体" w:hAnsi="宋体" w:cs="宋体"/>
          <w:sz w:val="24"/>
          <w:szCs w:val="24"/>
          <w:lang w:val="en-US" w:eastAsia="zh-CN"/>
        </w:rPr>
        <w:t>以上</w:t>
      </w:r>
      <w:r>
        <w:rPr>
          <w:rFonts w:hint="eastAsia" w:ascii="宋体" w:hAnsi="宋体" w:cs="宋体"/>
          <w:sz w:val="24"/>
          <w:szCs w:val="24"/>
        </w:rPr>
        <w:t>。</w:t>
      </w:r>
    </w:p>
    <w:p>
      <w:pPr>
        <w:numPr>
          <w:ilvl w:val="0"/>
          <w:numId w:val="13"/>
        </w:numPr>
        <w:adjustRightInd w:val="0"/>
        <w:snapToGrid w:val="0"/>
        <w:spacing w:line="360" w:lineRule="auto"/>
        <w:ind w:firstLine="480"/>
        <w:rPr>
          <w:rFonts w:hint="eastAsia" w:ascii="宋体" w:hAnsi="宋体" w:cs="宋体"/>
          <w:sz w:val="24"/>
          <w:szCs w:val="24"/>
        </w:rPr>
      </w:pPr>
      <w:r>
        <w:rPr>
          <w:rFonts w:hint="eastAsia" w:ascii="宋体" w:hAnsi="宋体" w:cs="宋体"/>
          <w:sz w:val="24"/>
          <w:szCs w:val="24"/>
        </w:rPr>
        <w:t>相比往年就业结构涌现出新的特点，如</w:t>
      </w:r>
      <w:r>
        <w:rPr>
          <w:rFonts w:hint="eastAsia" w:ascii="宋体" w:hAnsi="宋体" w:cs="宋体"/>
          <w:sz w:val="24"/>
          <w:szCs w:val="24"/>
          <w:lang w:val="en-US" w:eastAsia="zh-CN"/>
        </w:rPr>
        <w:t>连续2届都</w:t>
      </w:r>
      <w:r>
        <w:rPr>
          <w:rFonts w:hint="eastAsia" w:ascii="宋体" w:hAnsi="宋体" w:cs="宋体"/>
          <w:sz w:val="24"/>
          <w:szCs w:val="24"/>
        </w:rPr>
        <w:t>公务员</w:t>
      </w:r>
      <w:r>
        <w:rPr>
          <w:rFonts w:hint="eastAsia" w:ascii="宋体" w:hAnsi="宋体" w:cs="宋体"/>
          <w:sz w:val="24"/>
          <w:szCs w:val="24"/>
          <w:lang w:val="en-US" w:eastAsia="zh-CN"/>
        </w:rPr>
        <w:t>学生录用</w:t>
      </w:r>
      <w:r>
        <w:rPr>
          <w:rFonts w:hint="eastAsia" w:ascii="宋体" w:hAnsi="宋体" w:cs="宋体"/>
          <w:sz w:val="24"/>
          <w:szCs w:val="24"/>
        </w:rPr>
        <w:t>，</w:t>
      </w:r>
      <w:r>
        <w:rPr>
          <w:rFonts w:hint="eastAsia" w:ascii="宋体" w:hAnsi="宋体" w:cs="宋体"/>
          <w:sz w:val="24"/>
          <w:szCs w:val="24"/>
          <w:lang w:val="en-US" w:eastAsia="zh-CN"/>
        </w:rPr>
        <w:t>2021届4人，2022届1人；</w:t>
      </w:r>
      <w:r>
        <w:rPr>
          <w:rFonts w:hint="eastAsia" w:ascii="宋体" w:hAnsi="宋体" w:cs="宋体"/>
          <w:sz w:val="24"/>
          <w:szCs w:val="24"/>
        </w:rPr>
        <w:t>应征入伍</w:t>
      </w:r>
      <w:r>
        <w:rPr>
          <w:rFonts w:hint="eastAsia" w:ascii="宋体" w:hAnsi="宋体" w:cs="宋体"/>
          <w:sz w:val="24"/>
          <w:szCs w:val="24"/>
          <w:lang w:val="en-US" w:eastAsia="zh-CN"/>
        </w:rPr>
        <w:t>连续招录去年</w:t>
      </w:r>
      <w:r>
        <w:rPr>
          <w:rFonts w:hint="eastAsia" w:ascii="宋体" w:hAnsi="宋体" w:cs="宋体"/>
          <w:sz w:val="24"/>
          <w:szCs w:val="24"/>
        </w:rPr>
        <w:t>1人，</w:t>
      </w:r>
      <w:r>
        <w:rPr>
          <w:rFonts w:hint="eastAsia" w:ascii="宋体" w:hAnsi="宋体" w:cs="宋体"/>
          <w:sz w:val="24"/>
          <w:szCs w:val="24"/>
          <w:lang w:val="en-US" w:eastAsia="zh-CN"/>
        </w:rPr>
        <w:t>今年1人；</w:t>
      </w:r>
      <w:r>
        <w:rPr>
          <w:rFonts w:hint="eastAsia" w:ascii="宋体" w:hAnsi="宋体" w:cs="宋体"/>
          <w:sz w:val="24"/>
          <w:szCs w:val="24"/>
        </w:rPr>
        <w:t>国有企业</w:t>
      </w:r>
      <w:r>
        <w:rPr>
          <w:rFonts w:hint="eastAsia" w:ascii="宋体" w:hAnsi="宋体" w:cs="宋体"/>
          <w:sz w:val="24"/>
          <w:szCs w:val="24"/>
          <w:lang w:val="en-US" w:eastAsia="zh-CN"/>
        </w:rPr>
        <w:t>录取不多，2021年</w:t>
      </w:r>
      <w:r>
        <w:rPr>
          <w:rFonts w:hint="eastAsia" w:ascii="宋体" w:hAnsi="宋体" w:cs="宋体"/>
          <w:sz w:val="24"/>
          <w:szCs w:val="24"/>
        </w:rPr>
        <w:t>5人，</w:t>
      </w:r>
      <w:r>
        <w:rPr>
          <w:rFonts w:hint="eastAsia" w:ascii="宋体" w:hAnsi="宋体" w:cs="宋体"/>
          <w:sz w:val="24"/>
          <w:szCs w:val="24"/>
          <w:lang w:val="en-US" w:eastAsia="zh-CN"/>
        </w:rPr>
        <w:t>2022年录用2人。</w:t>
      </w:r>
      <w:r>
        <w:rPr>
          <w:rFonts w:hint="eastAsia" w:ascii="宋体" w:hAnsi="宋体" w:cs="宋体"/>
          <w:sz w:val="24"/>
          <w:szCs w:val="24"/>
        </w:rPr>
        <w:t>就业结构呈现多样化趋势发展，就业质量较往年有所提升。</w:t>
      </w:r>
    </w:p>
    <w:p>
      <w:pPr>
        <w:numPr>
          <w:ilvl w:val="0"/>
          <w:numId w:val="0"/>
        </w:numPr>
        <w:adjustRightInd w:val="0"/>
        <w:snapToGrid w:val="0"/>
        <w:spacing w:line="360" w:lineRule="auto"/>
        <w:ind w:firstLine="480" w:firstLineChars="200"/>
        <w:rPr>
          <w:rFonts w:hint="eastAsia" w:ascii="宋体" w:hAnsi="宋体" w:cs="宋体"/>
          <w:sz w:val="24"/>
          <w:szCs w:val="24"/>
        </w:rPr>
      </w:pPr>
      <w:r>
        <w:rPr>
          <w:rFonts w:hint="eastAsia" w:ascii="宋体" w:hAnsi="宋体"/>
          <w:color w:val="000000"/>
          <w:sz w:val="24"/>
        </w:rPr>
        <w:t>就业市场分析</w:t>
      </w:r>
      <w:r>
        <w:rPr>
          <w:rFonts w:hint="eastAsia" w:ascii="宋体" w:hAnsi="宋体"/>
          <w:color w:val="000000"/>
          <w:sz w:val="24"/>
          <w:lang w:eastAsia="zh-CN"/>
        </w:rPr>
        <w:t>。</w:t>
      </w:r>
      <w:r>
        <w:rPr>
          <w:rFonts w:hint="eastAsia" w:ascii="宋体" w:hAnsi="宋体" w:cs="宋体"/>
          <w:sz w:val="24"/>
          <w:szCs w:val="24"/>
        </w:rPr>
        <w:t>我院202</w:t>
      </w:r>
      <w:r>
        <w:rPr>
          <w:rFonts w:hint="eastAsia" w:ascii="宋体" w:hAnsi="宋体" w:cs="宋体"/>
          <w:sz w:val="24"/>
          <w:szCs w:val="24"/>
          <w:lang w:val="en-US" w:eastAsia="zh-CN"/>
        </w:rPr>
        <w:t>2</w:t>
      </w:r>
      <w:r>
        <w:rPr>
          <w:rFonts w:hint="eastAsia" w:ascii="宋体" w:hAnsi="宋体" w:cs="宋体"/>
          <w:sz w:val="24"/>
          <w:szCs w:val="24"/>
        </w:rPr>
        <w:t>届</w:t>
      </w:r>
      <w:r>
        <w:rPr>
          <w:rFonts w:hint="eastAsia" w:ascii="宋体" w:hAnsi="宋体" w:cs="宋体"/>
          <w:sz w:val="24"/>
          <w:szCs w:val="24"/>
          <w:lang w:val="en-US" w:eastAsia="zh-CN"/>
        </w:rPr>
        <w:t>184</w:t>
      </w:r>
      <w:r>
        <w:rPr>
          <w:rFonts w:hint="eastAsia" w:ascii="宋体" w:hAnsi="宋体" w:cs="宋体"/>
          <w:sz w:val="24"/>
          <w:szCs w:val="24"/>
        </w:rPr>
        <w:t>名毕业生中，选择在安徽就业的居多，</w:t>
      </w:r>
      <w:r>
        <w:rPr>
          <w:rFonts w:hint="eastAsia" w:ascii="宋体" w:hAnsi="宋体" w:cs="宋体"/>
          <w:sz w:val="24"/>
          <w:szCs w:val="24"/>
          <w:lang w:val="en-US" w:eastAsia="zh-CN"/>
        </w:rPr>
        <w:t>留皖率7</w:t>
      </w:r>
      <w:r>
        <w:rPr>
          <w:rFonts w:hint="eastAsia" w:ascii="宋体" w:hAnsi="宋体" w:cs="宋体"/>
          <w:sz w:val="24"/>
          <w:szCs w:val="24"/>
        </w:rPr>
        <w:t>2.5</w:t>
      </w:r>
      <w:r>
        <w:rPr>
          <w:rFonts w:hint="eastAsia" w:ascii="宋体" w:hAnsi="宋体" w:cs="宋体"/>
          <w:sz w:val="24"/>
          <w:szCs w:val="24"/>
          <w:lang w:val="en-US" w:eastAsia="zh-CN"/>
        </w:rPr>
        <w:t>5</w:t>
      </w:r>
      <w:r>
        <w:rPr>
          <w:rFonts w:hint="eastAsia" w:ascii="宋体" w:hAnsi="宋体" w:cs="宋体"/>
          <w:sz w:val="24"/>
          <w:szCs w:val="24"/>
        </w:rPr>
        <w:t>%，其中选择在合肥就业的占据大半以上，这也对应了合肥学院地方性的办学定位</w:t>
      </w:r>
      <w:r>
        <w:rPr>
          <w:rFonts w:hint="eastAsia" w:ascii="宋体" w:hAnsi="宋体" w:cs="宋体"/>
          <w:sz w:val="24"/>
          <w:szCs w:val="24"/>
          <w:lang w:eastAsia="zh-CN"/>
        </w:rPr>
        <w:t>，</w:t>
      </w:r>
      <w:r>
        <w:rPr>
          <w:rFonts w:hint="eastAsia" w:ascii="宋体" w:hAnsi="宋体" w:cs="宋体"/>
          <w:sz w:val="24"/>
          <w:szCs w:val="24"/>
          <w:lang w:val="en-US" w:eastAsia="zh-CN"/>
        </w:rPr>
        <w:t>留肥率50.98%</w:t>
      </w:r>
      <w:r>
        <w:rPr>
          <w:rFonts w:hint="eastAsia" w:ascii="宋体" w:hAnsi="宋体" w:cs="宋体"/>
          <w:sz w:val="24"/>
          <w:szCs w:val="24"/>
        </w:rPr>
        <w:t>。除了在安徽省内就业以外，我院毕业生就业区域主要分布在临近省份浙江省、江苏省、上海市等长三角地区，主要原因是：长三角地区经济发展水平高，人才需求量大，薪资待遇较其他地区高，且对于外贸类学生需求比较旺盛。相对而言，小语种选择出国的人数较英语专业更多，原因在于小语种省内就业空间较英语专业而言受到一定的限制，学生也想通过申请出国来开阔眼界，为后续的就业打下更好的基础。</w:t>
      </w:r>
    </w:p>
    <w:p>
      <w:pPr>
        <w:numPr>
          <w:ilvl w:val="0"/>
          <w:numId w:val="0"/>
        </w:numPr>
        <w:adjustRightInd w:val="0"/>
        <w:snapToGrid w:val="0"/>
        <w:spacing w:line="360" w:lineRule="auto"/>
        <w:ind w:firstLine="480" w:firstLineChars="200"/>
        <w:rPr>
          <w:rFonts w:hint="eastAsia" w:ascii="宋体" w:hAnsi="宋体"/>
          <w:color w:val="000000"/>
          <w:sz w:val="24"/>
        </w:rPr>
      </w:pPr>
      <w:r>
        <w:rPr>
          <w:rFonts w:hint="eastAsia" w:ascii="宋体" w:hAnsi="宋体"/>
          <w:color w:val="000000"/>
          <w:sz w:val="24"/>
        </w:rPr>
        <w:t>这对我们今后就业工作指明了发展方向：第一要大力宣传国家、政府、教育部门的就业工作政策和方针，推荐毕业生参加国有企业和外资企业的各种形式招聘，实时关注相关通知，关注就业前景。第二要倡导毕业生到基层岗位中去，鼓励毕业生参加基层的各种招聘，以服务社会为荣。加大对</w:t>
      </w:r>
      <w:r>
        <w:rPr>
          <w:rFonts w:hint="eastAsia" w:ascii="宋体" w:hAnsi="宋体"/>
          <w:color w:val="000000"/>
          <w:sz w:val="24"/>
          <w:lang w:eastAsia="zh-CN"/>
        </w:rPr>
        <w:t>“</w:t>
      </w:r>
      <w:r>
        <w:rPr>
          <w:rFonts w:hint="eastAsia" w:ascii="宋体" w:hAnsi="宋体"/>
          <w:color w:val="000000"/>
          <w:sz w:val="24"/>
        </w:rPr>
        <w:t>西部计划</w:t>
      </w:r>
      <w:r>
        <w:rPr>
          <w:rFonts w:hint="eastAsia" w:ascii="宋体" w:hAnsi="宋体"/>
          <w:color w:val="000000"/>
          <w:sz w:val="24"/>
          <w:lang w:eastAsia="zh-CN"/>
        </w:rPr>
        <w:t>”</w:t>
      </w:r>
      <w:r>
        <w:rPr>
          <w:rFonts w:hint="eastAsia" w:ascii="宋体" w:hAnsi="宋体"/>
          <w:color w:val="000000"/>
          <w:sz w:val="24"/>
        </w:rPr>
        <w:t>、大学生村官、三支一扶、特岗工作等服务基层工作政策的宣传力度，帮助毕业生树立正确的择业观、就业观。第三要号召广大毕业生尽早了解就业市场状况，客观认知就业市场，坚决杜绝盲目跟风、眼高手低等不良风气。加强市场需求的就业能力的培养，为就业提前准备，为自我确定就业目标。</w:t>
      </w:r>
    </w:p>
    <w:p>
      <w:pPr>
        <w:adjustRightInd w:val="0"/>
        <w:snapToGrid w:val="0"/>
        <w:spacing w:line="360" w:lineRule="auto"/>
        <w:ind w:left="420" w:leftChars="200"/>
        <w:rPr>
          <w:rFonts w:hint="eastAsia" w:ascii="宋体" w:hAnsi="宋体"/>
          <w:b/>
          <w:bCs/>
          <w:color w:val="000000"/>
          <w:sz w:val="24"/>
        </w:rPr>
      </w:pPr>
      <w:r>
        <w:rPr>
          <w:rFonts w:hint="eastAsia" w:ascii="宋体" w:hAnsi="宋体"/>
          <w:b/>
          <w:bCs/>
          <w:color w:val="000000"/>
          <w:sz w:val="24"/>
        </w:rPr>
        <w:t>第三部分：</w:t>
      </w:r>
      <w:r>
        <w:rPr>
          <w:rFonts w:hint="eastAsia" w:ascii="宋体" w:hAnsi="宋体"/>
          <w:b/>
          <w:bCs/>
          <w:color w:val="000000"/>
          <w:sz w:val="24"/>
          <w:lang w:val="en-US" w:eastAsia="zh-CN"/>
        </w:rPr>
        <w:t>外国语学院</w:t>
      </w:r>
      <w:r>
        <w:rPr>
          <w:rFonts w:hint="eastAsia" w:ascii="宋体" w:hAnsi="宋体"/>
          <w:b/>
          <w:bCs/>
          <w:color w:val="000000"/>
          <w:sz w:val="24"/>
        </w:rPr>
        <w:t>各专业市场需求调查情况</w:t>
      </w:r>
    </w:p>
    <w:p>
      <w:pPr>
        <w:adjustRightInd w:val="0"/>
        <w:snapToGrid w:val="0"/>
        <w:spacing w:line="360" w:lineRule="auto"/>
        <w:ind w:firstLine="480" w:firstLineChars="200"/>
        <w:rPr>
          <w:rFonts w:hint="eastAsia" w:ascii="宋体" w:hAnsi="宋体"/>
          <w:color w:val="000000"/>
          <w:sz w:val="24"/>
        </w:rPr>
      </w:pPr>
      <w:r>
        <w:rPr>
          <w:rFonts w:hint="eastAsia" w:ascii="宋体" w:hAnsi="宋体"/>
          <w:color w:val="000000"/>
          <w:sz w:val="24"/>
        </w:rPr>
        <w:t>根据</w:t>
      </w:r>
      <w:r>
        <w:rPr>
          <w:rFonts w:hint="eastAsia" w:ascii="宋体" w:hAnsi="宋体"/>
          <w:color w:val="000000"/>
          <w:sz w:val="24"/>
          <w:lang w:val="en-US" w:eastAsia="zh-CN"/>
        </w:rPr>
        <w:t>我院</w:t>
      </w:r>
      <w:r>
        <w:rPr>
          <w:rFonts w:hint="eastAsia" w:ascii="宋体" w:hAnsi="宋体"/>
          <w:color w:val="000000"/>
          <w:sz w:val="24"/>
        </w:rPr>
        <w:t>的就业工作安排，旨在提升</w:t>
      </w:r>
      <w:r>
        <w:rPr>
          <w:rFonts w:hint="eastAsia" w:ascii="宋体" w:hAnsi="宋体"/>
          <w:color w:val="000000"/>
          <w:sz w:val="24"/>
          <w:lang w:val="en-US" w:eastAsia="zh-CN"/>
        </w:rPr>
        <w:t>学院</w:t>
      </w:r>
      <w:r>
        <w:rPr>
          <w:rFonts w:hint="eastAsia" w:ascii="宋体" w:hAnsi="宋体"/>
          <w:color w:val="000000"/>
          <w:sz w:val="24"/>
        </w:rPr>
        <w:t>就业指导工作层次，加强就业指导教师的业务水平，提高学生的就业能力，</w:t>
      </w:r>
      <w:r>
        <w:rPr>
          <w:rFonts w:hint="eastAsia" w:ascii="宋体" w:hAnsi="宋体"/>
          <w:color w:val="000000"/>
          <w:sz w:val="24"/>
          <w:lang w:val="en-US" w:eastAsia="zh-CN"/>
        </w:rPr>
        <w:t>外国语学院</w:t>
      </w:r>
      <w:r>
        <w:rPr>
          <w:rFonts w:hint="eastAsia" w:ascii="宋体" w:hAnsi="宋体"/>
          <w:color w:val="000000"/>
          <w:sz w:val="24"/>
        </w:rPr>
        <w:t>对20</w:t>
      </w:r>
      <w:r>
        <w:rPr>
          <w:rFonts w:hint="eastAsia" w:ascii="宋体" w:hAnsi="宋体"/>
          <w:color w:val="000000"/>
          <w:sz w:val="24"/>
          <w:lang w:val="en-US" w:eastAsia="zh-CN"/>
        </w:rPr>
        <w:t>22</w:t>
      </w:r>
      <w:r>
        <w:rPr>
          <w:rFonts w:hint="eastAsia" w:ascii="宋体" w:hAnsi="宋体"/>
          <w:color w:val="000000"/>
          <w:sz w:val="24"/>
        </w:rPr>
        <w:t>届毕业生就业市场需求状况做出分析，具体分析结果如下：</w:t>
      </w:r>
    </w:p>
    <w:p>
      <w:pPr>
        <w:adjustRightInd w:val="0"/>
        <w:snapToGrid w:val="0"/>
        <w:spacing w:line="360" w:lineRule="auto"/>
        <w:ind w:firstLine="480" w:firstLineChars="200"/>
        <w:rPr>
          <w:rFonts w:hint="eastAsia" w:ascii="宋体" w:hAnsi="宋体"/>
          <w:color w:val="000000"/>
          <w:sz w:val="24"/>
        </w:rPr>
      </w:pPr>
      <w:r>
        <w:rPr>
          <w:rFonts w:hint="eastAsia" w:ascii="宋体" w:hAnsi="宋体"/>
          <w:color w:val="000000"/>
          <w:sz w:val="24"/>
          <w:lang w:val="en-US" w:eastAsia="zh-CN"/>
        </w:rPr>
        <w:t>针对</w:t>
      </w:r>
      <w:r>
        <w:rPr>
          <w:rFonts w:hint="eastAsia" w:ascii="宋体" w:hAnsi="宋体"/>
          <w:color w:val="000000"/>
          <w:sz w:val="24"/>
        </w:rPr>
        <w:t>毕业生就业市场调研分析。面对严峻的就业形势，</w:t>
      </w:r>
      <w:r>
        <w:rPr>
          <w:rFonts w:hint="eastAsia" w:ascii="宋体" w:hAnsi="宋体"/>
          <w:color w:val="000000"/>
          <w:sz w:val="24"/>
          <w:lang w:val="en-US" w:eastAsia="zh-CN"/>
        </w:rPr>
        <w:t>我院</w:t>
      </w:r>
      <w:r>
        <w:rPr>
          <w:rFonts w:hint="eastAsia" w:ascii="宋体" w:hAnsi="宋体"/>
          <w:color w:val="000000"/>
          <w:sz w:val="24"/>
        </w:rPr>
        <w:t>通过对毕业生和用人单位的跟踪调查，对毕业生就业市场进行调研，深刻分析影响学生就业的各种障碍，采取一切措施，应对严峻的就业形势，破解就业难题，促进大学生充分就业。</w:t>
      </w:r>
      <w:r>
        <w:rPr>
          <w:rFonts w:hint="eastAsia" w:ascii="宋体" w:hAnsi="宋体"/>
          <w:color w:val="000000"/>
          <w:sz w:val="24"/>
          <w:lang w:val="en-US" w:eastAsia="zh-CN"/>
        </w:rPr>
        <w:t>学院</w:t>
      </w:r>
      <w:r>
        <w:rPr>
          <w:rFonts w:hint="eastAsia" w:ascii="宋体" w:hAnsi="宋体"/>
          <w:color w:val="000000"/>
          <w:sz w:val="24"/>
        </w:rPr>
        <w:t>领导一方面加强与</w:t>
      </w:r>
      <w:r>
        <w:rPr>
          <w:rFonts w:hint="eastAsia" w:ascii="宋体" w:hAnsi="宋体"/>
          <w:color w:val="000000"/>
          <w:sz w:val="24"/>
          <w:lang w:val="en-US" w:eastAsia="zh-CN"/>
        </w:rPr>
        <w:t>安徽大洋机械</w:t>
      </w:r>
      <w:r>
        <w:rPr>
          <w:rFonts w:hint="eastAsia" w:ascii="宋体" w:hAnsi="宋体"/>
          <w:color w:val="000000"/>
          <w:sz w:val="24"/>
        </w:rPr>
        <w:t>、</w:t>
      </w:r>
      <w:r>
        <w:rPr>
          <w:rFonts w:hint="eastAsia" w:ascii="宋体" w:hAnsi="宋体"/>
          <w:color w:val="000000"/>
          <w:sz w:val="24"/>
          <w:lang w:val="en-US" w:eastAsia="zh-CN"/>
        </w:rPr>
        <w:t>合肥创趣电子有限公司</w:t>
      </w:r>
      <w:r>
        <w:rPr>
          <w:rFonts w:hint="eastAsia" w:ascii="宋体" w:hAnsi="宋体"/>
          <w:color w:val="000000"/>
          <w:sz w:val="24"/>
        </w:rPr>
        <w:t>等原有的就业实习基地进行走访和</w:t>
      </w:r>
      <w:r>
        <w:rPr>
          <w:rFonts w:hint="eastAsia" w:ascii="宋体" w:hAnsi="宋体"/>
          <w:color w:val="000000"/>
          <w:sz w:val="24"/>
          <w:lang w:val="en-US" w:eastAsia="zh-CN"/>
        </w:rPr>
        <w:t>访企拓岗</w:t>
      </w:r>
      <w:r>
        <w:rPr>
          <w:rFonts w:hint="eastAsia" w:ascii="宋体" w:hAnsi="宋体"/>
          <w:color w:val="000000"/>
          <w:sz w:val="24"/>
        </w:rPr>
        <w:t>，另一方面积极联系新的就业实习基地，增加毕业生的就业机会，扩大毕业生的就业渠道。</w:t>
      </w:r>
    </w:p>
    <w:p>
      <w:pPr>
        <w:adjustRightInd w:val="0"/>
        <w:snapToGrid w:val="0"/>
        <w:spacing w:line="360" w:lineRule="auto"/>
        <w:ind w:firstLine="480" w:firstLineChars="200"/>
        <w:rPr>
          <w:rFonts w:hint="default" w:ascii="宋体" w:hAnsi="宋体" w:cs="宋体"/>
          <w:sz w:val="24"/>
          <w:szCs w:val="24"/>
          <w:lang w:val="en-US" w:eastAsia="zh-CN"/>
        </w:rPr>
      </w:pPr>
      <w:r>
        <w:rPr>
          <w:rFonts w:ascii="宋体" w:hAnsi="宋体" w:cs="宋体"/>
          <w:sz w:val="24"/>
          <w:szCs w:val="24"/>
        </w:rPr>
        <w:t>随着</w:t>
      </w:r>
      <w:r>
        <w:rPr>
          <w:rFonts w:hint="eastAsia" w:ascii="宋体" w:hAnsi="宋体" w:cs="宋体"/>
          <w:sz w:val="24"/>
          <w:szCs w:val="24"/>
          <w:lang w:eastAsia="zh-CN"/>
        </w:rPr>
        <w:t>经济全球化的持续深入发展</w:t>
      </w:r>
      <w:r>
        <w:rPr>
          <w:rFonts w:ascii="宋体" w:hAnsi="宋体" w:cs="宋体"/>
          <w:sz w:val="24"/>
          <w:szCs w:val="24"/>
        </w:rPr>
        <w:t>，特别是</w:t>
      </w:r>
      <w:r>
        <w:rPr>
          <w:rFonts w:hint="eastAsia" w:ascii="宋体" w:hAnsi="宋体" w:cs="宋体"/>
          <w:sz w:val="24"/>
          <w:szCs w:val="24"/>
          <w:lang w:val="en-US" w:eastAsia="zh-CN"/>
        </w:rPr>
        <w:t>在“一带一路”大背景下</w:t>
      </w:r>
      <w:r>
        <w:rPr>
          <w:rFonts w:ascii="宋体" w:hAnsi="宋体" w:cs="宋体"/>
          <w:sz w:val="24"/>
          <w:szCs w:val="24"/>
        </w:rPr>
        <w:t>，</w:t>
      </w:r>
      <w:r>
        <w:rPr>
          <w:rFonts w:hint="eastAsia" w:ascii="宋体" w:hAnsi="宋体" w:cs="宋体"/>
          <w:sz w:val="24"/>
          <w:szCs w:val="24"/>
          <w:lang w:eastAsia="zh-CN"/>
        </w:rPr>
        <w:t>中国与世界的交流越来越密切，</w:t>
      </w:r>
      <w:r>
        <w:rPr>
          <w:rFonts w:ascii="宋体" w:hAnsi="宋体" w:cs="宋体"/>
          <w:sz w:val="24"/>
          <w:szCs w:val="24"/>
        </w:rPr>
        <w:t>我国对外语类人才的需求旺盛，</w:t>
      </w:r>
      <w:r>
        <w:rPr>
          <w:rFonts w:hint="eastAsia" w:ascii="宋体" w:hAnsi="宋体" w:cs="宋体"/>
          <w:sz w:val="24"/>
          <w:szCs w:val="24"/>
          <w:lang w:val="en-US" w:eastAsia="zh-CN"/>
        </w:rPr>
        <w:t>外语专业学生的就业保持平稳状态</w:t>
      </w:r>
      <w:r>
        <w:rPr>
          <w:rFonts w:ascii="宋体" w:hAnsi="宋体" w:cs="宋体"/>
          <w:sz w:val="24"/>
          <w:szCs w:val="24"/>
        </w:rPr>
        <w:t>。从近几年需求情况看，</w:t>
      </w:r>
      <w:r>
        <w:rPr>
          <w:rFonts w:hint="eastAsia" w:ascii="宋体" w:hAnsi="宋体" w:cs="宋体"/>
          <w:sz w:val="24"/>
          <w:szCs w:val="24"/>
          <w:lang w:eastAsia="zh-CN"/>
        </w:rPr>
        <w:t>外语</w:t>
      </w:r>
      <w:r>
        <w:rPr>
          <w:rFonts w:hint="eastAsia" w:ascii="宋体" w:hAnsi="宋体" w:cs="宋体"/>
          <w:sz w:val="24"/>
          <w:szCs w:val="24"/>
          <w:lang w:val="en-US" w:eastAsia="zh-CN"/>
        </w:rPr>
        <w:t>专业就业对口率总体保持相对稳定，但受国际大环境的影响，专业之间就业情况也出现差异现象。相对而言，英语专业就业机会更多，就业匹配度更高一些，日语专业随着高考日语政策的出台就业环境得到改善，就业机会增多。德语2+3和朝鲜语2+2专业学生选择国外继续深造的较多，源于有过一段在国外的教育和生活经历。当前，</w:t>
      </w:r>
      <w:r>
        <w:rPr>
          <w:rFonts w:ascii="宋体" w:hAnsi="宋体" w:cs="宋体"/>
          <w:sz w:val="24"/>
          <w:szCs w:val="24"/>
        </w:rPr>
        <w:t>外语类毕业生去向已完全呈现多元化态势，外语类专业就业前景除了传统的</w:t>
      </w:r>
      <w:r>
        <w:rPr>
          <w:rFonts w:hint="eastAsia" w:ascii="宋体" w:hAnsi="宋体" w:cs="宋体"/>
          <w:sz w:val="24"/>
          <w:szCs w:val="24"/>
          <w:lang w:val="en-US" w:eastAsia="zh-CN"/>
        </w:rPr>
        <w:t>教育行业之外，制造业、信息服务业、建筑业、居民服务业等行业也成为了外语专业毕业生的选择。纵观近几年的就业形势，可以发现传统的、单一的外语专业需求度降低，“外语+其他专业”受到欢迎。单一的外语能力已经不能满足众多企业和市场的需求。与外语相结合的其他专业中，首选经贸、管理等专业，其次机械、、计算机等工程类换页。可见，外语专业毕业生除了要掌握语言知识和技能外，还需要学习一定的专业知识才能更受市场欢迎。</w:t>
      </w:r>
    </w:p>
    <w:p>
      <w:pPr>
        <w:spacing w:line="360" w:lineRule="auto"/>
        <w:ind w:firstLine="480"/>
        <w:rPr>
          <w:rFonts w:hint="eastAsia" w:ascii="宋体" w:hAnsi="宋体" w:cs="宋体"/>
          <w:b/>
          <w:bCs/>
          <w:color w:val="000000"/>
          <w:sz w:val="24"/>
          <w:szCs w:val="24"/>
          <w:lang w:eastAsia="zh-CN"/>
        </w:rPr>
      </w:pPr>
      <w:r>
        <w:rPr>
          <w:rFonts w:hint="eastAsia" w:ascii="宋体" w:hAnsi="宋体" w:cs="宋体"/>
          <w:b/>
          <w:bCs/>
          <w:color w:val="000000"/>
          <w:sz w:val="24"/>
          <w:szCs w:val="24"/>
          <w:lang w:val="en-US" w:eastAsia="zh-CN"/>
        </w:rPr>
        <w:t>一、</w:t>
      </w:r>
      <w:r>
        <w:rPr>
          <w:rFonts w:hint="eastAsia" w:ascii="宋体" w:hAnsi="宋体" w:cs="宋体"/>
          <w:b/>
          <w:bCs/>
          <w:color w:val="000000"/>
          <w:sz w:val="24"/>
          <w:szCs w:val="24"/>
          <w:lang w:eastAsia="zh-CN"/>
        </w:rPr>
        <w:t>就业市场需求的总体状况</w:t>
      </w:r>
    </w:p>
    <w:p>
      <w:pPr>
        <w:spacing w:line="360" w:lineRule="auto"/>
        <w:ind w:firstLine="480"/>
        <w:rPr>
          <w:rFonts w:hint="eastAsia" w:ascii="宋体" w:hAnsi="宋体" w:cs="宋体"/>
          <w:color w:val="000000"/>
          <w:sz w:val="24"/>
          <w:szCs w:val="24"/>
          <w:lang w:val="en-US" w:eastAsia="zh-CN"/>
        </w:rPr>
      </w:pPr>
      <w:r>
        <w:rPr>
          <w:rFonts w:hint="eastAsia" w:ascii="宋体" w:hAnsi="宋体" w:cs="宋体"/>
          <w:color w:val="000000"/>
          <w:sz w:val="24"/>
          <w:szCs w:val="24"/>
          <w:lang w:val="en-US" w:eastAsia="zh-CN"/>
        </w:rPr>
        <w:t>1</w:t>
      </w:r>
      <w:r>
        <w:rPr>
          <w:rFonts w:hint="eastAsia" w:ascii="宋体" w:hAnsi="宋体" w:cs="宋体"/>
          <w:color w:val="000000"/>
          <w:sz w:val="24"/>
          <w:szCs w:val="24"/>
          <w:lang w:eastAsia="zh-CN"/>
        </w:rPr>
        <w:t>、从社会对不同专业毕业生的需求来看，英语专业需求相对减少，小语种学生需求相对增加。复合型、应用型人才需求相对突出。</w:t>
      </w:r>
    </w:p>
    <w:p>
      <w:pPr>
        <w:spacing w:line="360" w:lineRule="auto"/>
        <w:ind w:firstLine="480"/>
        <w:rPr>
          <w:rFonts w:hint="eastAsia" w:ascii="宋体" w:hAnsi="宋体" w:cs="宋体"/>
          <w:color w:val="000000"/>
          <w:sz w:val="24"/>
          <w:szCs w:val="24"/>
          <w:lang w:val="en-US" w:eastAsia="zh-CN"/>
        </w:rPr>
      </w:pPr>
      <w:r>
        <w:rPr>
          <w:rFonts w:hint="eastAsia" w:ascii="宋体" w:hAnsi="宋体" w:cs="宋体"/>
          <w:color w:val="000000"/>
          <w:sz w:val="24"/>
          <w:szCs w:val="24"/>
          <w:lang w:val="en-US" w:eastAsia="zh-CN"/>
        </w:rPr>
        <w:t>2.从就业单位性质、就业单位规模来看，毕业生就业主要面民营企业，大多从事教育行业，专业基本对口。同时，外语专业选择考取公务员的学生也逐渐增多，就业选择呈现多元化发展态势。</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宋体" w:hAnsi="宋体" w:cs="宋体"/>
          <w:color w:val="000000"/>
          <w:sz w:val="24"/>
          <w:szCs w:val="24"/>
          <w:lang w:val="en-US" w:eastAsia="zh-CN"/>
        </w:rPr>
      </w:pPr>
      <w:r>
        <w:rPr>
          <w:rFonts w:hint="eastAsia" w:ascii="宋体" w:hAnsi="宋体" w:cs="宋体"/>
          <w:color w:val="000000"/>
          <w:sz w:val="24"/>
          <w:szCs w:val="24"/>
          <w:lang w:val="en-US" w:eastAsia="zh-CN"/>
        </w:rPr>
        <w:t>3.</w:t>
      </w:r>
      <w:r>
        <w:rPr>
          <w:rFonts w:hint="eastAsia" w:ascii="宋体" w:hAnsi="宋体" w:cs="宋体"/>
          <w:color w:val="000000"/>
          <w:sz w:val="24"/>
          <w:szCs w:val="24"/>
          <w:lang w:eastAsia="zh-CN"/>
        </w:rPr>
        <w:t>从毕业生就业区域流向来看，</w:t>
      </w:r>
      <w:r>
        <w:rPr>
          <w:rFonts w:hint="eastAsia" w:ascii="宋体" w:hAnsi="宋体" w:cs="宋体"/>
          <w:color w:val="000000"/>
          <w:sz w:val="24"/>
          <w:szCs w:val="24"/>
          <w:lang w:val="en-US" w:eastAsia="zh-CN"/>
        </w:rPr>
        <w:t>省内及</w:t>
      </w:r>
      <w:r>
        <w:rPr>
          <w:rFonts w:hint="eastAsia" w:ascii="宋体" w:hAnsi="宋体" w:cs="宋体"/>
          <w:color w:val="000000"/>
          <w:sz w:val="24"/>
          <w:szCs w:val="24"/>
          <w:lang w:eastAsia="zh-CN"/>
        </w:rPr>
        <w:t>长三角等沿海发达地区毕业生较多，中部也相对较好。持续</w:t>
      </w:r>
      <w:r>
        <w:rPr>
          <w:rFonts w:hint="eastAsia" w:ascii="宋体" w:hAnsi="宋体" w:cs="宋体"/>
          <w:color w:val="000000"/>
          <w:sz w:val="24"/>
          <w:szCs w:val="24"/>
          <w:lang w:val="en-US" w:eastAsia="zh-CN"/>
        </w:rPr>
        <w:t>受疫情影响，出国就业学生数大幅度降低，尤其是德语和日语专业学生出国率明显下降。</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eastAsia" w:ascii="宋体" w:hAnsi="宋体" w:cs="宋体"/>
          <w:b/>
          <w:bCs/>
          <w:color w:val="000000"/>
          <w:sz w:val="24"/>
          <w:szCs w:val="24"/>
          <w:lang w:eastAsia="zh-CN"/>
        </w:rPr>
      </w:pPr>
      <w:r>
        <w:rPr>
          <w:rFonts w:hint="eastAsia" w:ascii="宋体" w:hAnsi="宋体" w:cs="宋体"/>
          <w:b/>
          <w:bCs/>
          <w:color w:val="000000"/>
          <w:sz w:val="24"/>
          <w:szCs w:val="24"/>
          <w:lang w:eastAsia="zh-CN"/>
        </w:rPr>
        <w:t>二、就业市场需求具体分析</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eastAsia" w:ascii="宋体" w:hAnsi="宋体" w:cs="宋体"/>
          <w:color w:val="000000"/>
          <w:sz w:val="24"/>
          <w:szCs w:val="24"/>
          <w:lang w:val="en-US" w:eastAsia="zh-CN"/>
        </w:rPr>
      </w:pPr>
      <w:r>
        <w:rPr>
          <w:rFonts w:hint="eastAsia" w:ascii="宋体" w:hAnsi="宋体" w:cs="宋体"/>
          <w:color w:val="000000"/>
          <w:sz w:val="24"/>
          <w:szCs w:val="24"/>
          <w:lang w:val="en-US" w:eastAsia="zh-CN"/>
        </w:rPr>
        <w:t>1.就业类型上：</w:t>
      </w:r>
    </w:p>
    <w:p>
      <w:pPr>
        <w:spacing w:line="360" w:lineRule="auto"/>
        <w:ind w:firstLine="480"/>
        <w:rPr>
          <w:rFonts w:hint="default" w:ascii="宋体" w:hAnsi="宋体" w:cs="宋体"/>
          <w:color w:val="000000"/>
          <w:sz w:val="24"/>
          <w:szCs w:val="24"/>
          <w:lang w:val="en-US" w:eastAsia="zh-CN"/>
        </w:rPr>
      </w:pPr>
      <w:r>
        <w:rPr>
          <w:rFonts w:hint="eastAsia" w:ascii="宋体" w:hAnsi="宋体" w:cs="宋体"/>
          <w:color w:val="000000"/>
          <w:sz w:val="24"/>
          <w:szCs w:val="24"/>
          <w:lang w:val="en-US" w:eastAsia="zh-CN"/>
        </w:rPr>
        <w:t>2022年由于疫情形势依然严峻，就业形势较难，社会需求逐步走向回暖，总体就业率实现大幅回升，其中英语和日语专业表现比较明显。相较往年，就业类型上来看，教育行业仍是外语专业学生就业的首选，特别是随着疫情形势好转，教育类机构恢复线下运营。同时，外语专业学生就业选择也出现多样化特点，很多学生选择在批发零售、建筑、信息服务等行业就业。2022年受国外疫情的持续影响，对外贸易一度减少，企业进出口业务大幅下降，直接导致外语专业学生在外贸、翻译等领域的就业有所滑坡。尤其是对于小语种学生而言，就业类型发生了较大变化，就业专业对口性出现一定程度上的偏离。</w:t>
      </w:r>
    </w:p>
    <w:p>
      <w:pPr>
        <w:numPr>
          <w:ilvl w:val="0"/>
          <w:numId w:val="0"/>
        </w:numPr>
        <w:spacing w:line="360" w:lineRule="auto"/>
        <w:ind w:firstLine="480" w:firstLineChars="200"/>
        <w:rPr>
          <w:rFonts w:hint="eastAsia" w:ascii="宋体" w:hAnsi="宋体" w:cs="宋体"/>
          <w:color w:val="000000"/>
          <w:sz w:val="24"/>
          <w:szCs w:val="24"/>
          <w:lang w:val="en-US" w:eastAsia="zh-CN"/>
        </w:rPr>
      </w:pPr>
      <w:r>
        <w:rPr>
          <w:rFonts w:hint="eastAsia" w:ascii="宋体" w:hAnsi="宋体" w:cs="宋体"/>
          <w:color w:val="000000"/>
          <w:sz w:val="24"/>
          <w:szCs w:val="24"/>
          <w:lang w:val="en-US" w:eastAsia="zh-CN"/>
        </w:rPr>
        <w:t>2.就业地域分布上：</w:t>
      </w:r>
    </w:p>
    <w:p>
      <w:pPr>
        <w:numPr>
          <w:ilvl w:val="0"/>
          <w:numId w:val="0"/>
        </w:numPr>
        <w:spacing w:line="360" w:lineRule="auto"/>
        <w:ind w:firstLine="480" w:firstLineChars="200"/>
        <w:rPr>
          <w:rFonts w:hint="eastAsia" w:ascii="宋体" w:hAnsi="宋体" w:cs="宋体"/>
          <w:color w:val="000000"/>
          <w:sz w:val="24"/>
          <w:szCs w:val="24"/>
          <w:lang w:eastAsia="zh-CN"/>
        </w:rPr>
      </w:pPr>
      <w:r>
        <w:rPr>
          <w:rFonts w:hint="eastAsia" w:ascii="宋体" w:hAnsi="宋体" w:cs="宋体"/>
          <w:color w:val="000000"/>
          <w:sz w:val="24"/>
          <w:szCs w:val="24"/>
          <w:lang w:val="en-US" w:eastAsia="zh-CN"/>
        </w:rPr>
        <w:t>我院</w:t>
      </w:r>
      <w:r>
        <w:rPr>
          <w:rFonts w:hint="eastAsia" w:ascii="宋体" w:hAnsi="宋体" w:cs="宋体"/>
          <w:color w:val="000000"/>
          <w:sz w:val="24"/>
          <w:szCs w:val="24"/>
          <w:lang w:eastAsia="zh-CN"/>
        </w:rPr>
        <w:t>的稳定就业市场集中于省内区域,并以合肥市为主。在省外毕业生就业市场中,</w:t>
      </w:r>
      <w:r>
        <w:rPr>
          <w:rFonts w:hint="eastAsia" w:ascii="宋体" w:hAnsi="宋体" w:cs="宋体"/>
          <w:color w:val="000000"/>
          <w:sz w:val="24"/>
          <w:szCs w:val="24"/>
          <w:lang w:val="en-US" w:eastAsia="zh-CN"/>
        </w:rPr>
        <w:t>浙江</w:t>
      </w:r>
      <w:r>
        <w:rPr>
          <w:rFonts w:hint="eastAsia" w:ascii="宋体" w:hAnsi="宋体" w:cs="宋体"/>
          <w:color w:val="000000"/>
          <w:sz w:val="24"/>
          <w:szCs w:val="24"/>
          <w:lang w:eastAsia="zh-CN"/>
        </w:rPr>
        <w:t>、江苏、</w:t>
      </w:r>
      <w:r>
        <w:rPr>
          <w:rFonts w:hint="eastAsia" w:ascii="宋体" w:hAnsi="宋体" w:cs="宋体"/>
          <w:color w:val="000000"/>
          <w:sz w:val="24"/>
          <w:szCs w:val="24"/>
          <w:lang w:val="en-US" w:eastAsia="zh-CN"/>
        </w:rPr>
        <w:t>上海等长三角地区和沿海城市</w:t>
      </w:r>
      <w:r>
        <w:rPr>
          <w:rFonts w:hint="eastAsia" w:ascii="宋体" w:hAnsi="宋体" w:cs="宋体"/>
          <w:color w:val="000000"/>
          <w:sz w:val="24"/>
          <w:szCs w:val="24"/>
          <w:lang w:eastAsia="zh-CN"/>
        </w:rPr>
        <w:t>占有相当大份额。</w:t>
      </w:r>
      <w:r>
        <w:rPr>
          <w:rFonts w:hint="eastAsia" w:ascii="宋体" w:hAnsi="宋体" w:cs="宋体"/>
          <w:color w:val="000000"/>
          <w:sz w:val="24"/>
          <w:szCs w:val="24"/>
          <w:lang w:val="en-US" w:eastAsia="zh-CN"/>
        </w:rPr>
        <w:t>这些地区经济发展快速，对于外语类人才的需求也会比较多。</w:t>
      </w:r>
      <w:r>
        <w:rPr>
          <w:rFonts w:hint="eastAsia" w:ascii="宋体" w:hAnsi="宋体" w:cs="宋体"/>
          <w:color w:val="000000"/>
          <w:sz w:val="24"/>
          <w:szCs w:val="24"/>
          <w:lang w:eastAsia="zh-CN"/>
        </w:rPr>
        <w:t>我</w:t>
      </w:r>
      <w:r>
        <w:rPr>
          <w:rFonts w:hint="eastAsia" w:ascii="宋体" w:hAnsi="宋体" w:cs="宋体"/>
          <w:color w:val="000000"/>
          <w:sz w:val="24"/>
          <w:szCs w:val="24"/>
          <w:lang w:val="en-US" w:eastAsia="zh-CN"/>
        </w:rPr>
        <w:t>院</w:t>
      </w:r>
      <w:r>
        <w:rPr>
          <w:rFonts w:hint="eastAsia" w:ascii="宋体" w:hAnsi="宋体" w:cs="宋体"/>
          <w:color w:val="000000"/>
          <w:sz w:val="24"/>
          <w:szCs w:val="24"/>
          <w:lang w:eastAsia="zh-CN"/>
        </w:rPr>
        <w:t>党政领导</w:t>
      </w:r>
      <w:r>
        <w:rPr>
          <w:rFonts w:hint="eastAsia" w:ascii="宋体" w:hAnsi="宋体" w:cs="宋体"/>
          <w:color w:val="000000"/>
          <w:sz w:val="24"/>
          <w:szCs w:val="24"/>
          <w:lang w:val="en-US" w:eastAsia="zh-CN"/>
        </w:rPr>
        <w:t>积极开拓就业</w:t>
      </w:r>
      <w:r>
        <w:rPr>
          <w:rFonts w:hint="eastAsia" w:ascii="宋体" w:hAnsi="宋体" w:cs="宋体"/>
          <w:color w:val="000000"/>
          <w:sz w:val="24"/>
          <w:szCs w:val="24"/>
          <w:lang w:eastAsia="zh-CN"/>
        </w:rPr>
        <w:t>市场开发,与用人单位建立长期合作关系。</w:t>
      </w:r>
    </w:p>
    <w:p>
      <w:pPr>
        <w:numPr>
          <w:ilvl w:val="0"/>
          <w:numId w:val="0"/>
        </w:numPr>
        <w:spacing w:line="360" w:lineRule="auto"/>
        <w:ind w:firstLine="480" w:firstLineChars="200"/>
        <w:rPr>
          <w:rFonts w:hint="eastAsia" w:ascii="宋体" w:hAnsi="宋体" w:eastAsia="宋体" w:cs="宋体"/>
          <w:color w:val="000000"/>
          <w:sz w:val="24"/>
          <w:szCs w:val="24"/>
          <w:lang w:val="en-US" w:eastAsia="zh-CN"/>
        </w:rPr>
      </w:pPr>
      <w:r>
        <w:rPr>
          <w:rFonts w:hint="eastAsia" w:ascii="宋体" w:hAnsi="宋体" w:cs="宋体"/>
          <w:color w:val="000000"/>
          <w:sz w:val="24"/>
          <w:szCs w:val="24"/>
          <w:lang w:val="en-US" w:eastAsia="zh-CN"/>
        </w:rPr>
        <w:t>3.就业新特点上：</w:t>
      </w:r>
    </w:p>
    <w:p>
      <w:pPr>
        <w:numPr>
          <w:ilvl w:val="0"/>
          <w:numId w:val="0"/>
        </w:numPr>
        <w:spacing w:line="360" w:lineRule="auto"/>
        <w:ind w:firstLine="480" w:firstLineChars="200"/>
        <w:rPr>
          <w:rFonts w:hint="eastAsia" w:ascii="宋体" w:hAnsi="宋体" w:eastAsia="宋体" w:cs="宋体"/>
          <w:color w:val="000000"/>
          <w:sz w:val="24"/>
          <w:szCs w:val="24"/>
          <w:lang w:val="en-US" w:eastAsia="zh-CN"/>
        </w:rPr>
      </w:pPr>
      <w:r>
        <w:rPr>
          <w:rFonts w:hint="eastAsia" w:ascii="宋体" w:hAnsi="宋体" w:cs="宋体"/>
          <w:color w:val="000000"/>
          <w:sz w:val="24"/>
          <w:szCs w:val="24"/>
          <w:lang w:eastAsia="zh-CN"/>
        </w:rPr>
        <w:t>依据市场需求，</w:t>
      </w:r>
      <w:r>
        <w:rPr>
          <w:rFonts w:hint="eastAsia" w:ascii="宋体" w:hAnsi="宋体" w:cs="宋体"/>
          <w:color w:val="000000"/>
          <w:sz w:val="24"/>
          <w:szCs w:val="24"/>
          <w:lang w:val="en-US" w:eastAsia="zh-CN"/>
        </w:rPr>
        <w:t>当前市场更加倾向的是将语言作为一门工具，将语言与一门专业结合起来的人才更受欢迎。市场需求</w:t>
      </w:r>
      <w:r>
        <w:rPr>
          <w:rFonts w:hint="eastAsia" w:ascii="宋体" w:hAnsi="宋体" w:cs="宋体"/>
          <w:color w:val="000000"/>
          <w:sz w:val="24"/>
          <w:szCs w:val="24"/>
          <w:lang w:eastAsia="zh-CN"/>
        </w:rPr>
        <w:t>呈现专业+</w:t>
      </w:r>
      <w:r>
        <w:rPr>
          <w:rFonts w:hint="eastAsia" w:ascii="宋体" w:hAnsi="宋体" w:cs="宋体"/>
          <w:color w:val="000000"/>
          <w:sz w:val="24"/>
          <w:szCs w:val="24"/>
          <w:lang w:val="en-US" w:eastAsia="zh-CN"/>
        </w:rPr>
        <w:t>语言</w:t>
      </w:r>
      <w:r>
        <w:rPr>
          <w:rFonts w:hint="eastAsia" w:ascii="宋体" w:hAnsi="宋体" w:cs="宋体"/>
          <w:color w:val="000000"/>
          <w:sz w:val="24"/>
          <w:szCs w:val="24"/>
          <w:lang w:eastAsia="zh-CN"/>
        </w:rPr>
        <w:t>特点，</w:t>
      </w:r>
      <w:r>
        <w:rPr>
          <w:rFonts w:hint="eastAsia" w:ascii="宋体" w:hAnsi="宋体" w:cs="宋体"/>
          <w:color w:val="000000"/>
          <w:sz w:val="24"/>
          <w:szCs w:val="24"/>
          <w:lang w:val="en-US" w:eastAsia="zh-CN"/>
        </w:rPr>
        <w:t>专业+语言的复合型人才才是未来社会培养外语类人才的方向，纯语言教学的专业设置在就业上会遭受一定的空间限制。当前，</w:t>
      </w:r>
      <w:r>
        <w:rPr>
          <w:rFonts w:hint="eastAsia" w:ascii="宋体" w:hAnsi="宋体" w:cs="宋体"/>
          <w:color w:val="000000"/>
          <w:sz w:val="24"/>
          <w:szCs w:val="24"/>
          <w:lang w:eastAsia="zh-CN"/>
        </w:rPr>
        <w:t>对外语类人才需求的单位大部分集中在教师、进出口贸易、翻译、外语导游这几块。随着人工智能翻译机器的出现，国际大型会议、商务活动中对翻译人才的需求有所降低，但要求高，对单纯外语人才的需求转向有语言能力与专业能力并重的人才，大部分单位，特别是一些小的单位都不需要专职翻译人才，</w:t>
      </w:r>
      <w:r>
        <w:rPr>
          <w:rFonts w:hint="eastAsia" w:ascii="宋体" w:hAnsi="宋体" w:cs="宋体"/>
          <w:color w:val="000000"/>
          <w:sz w:val="24"/>
          <w:szCs w:val="24"/>
          <w:lang w:val="en-US" w:eastAsia="zh-CN"/>
        </w:rPr>
        <w:t>这</w:t>
      </w:r>
      <w:r>
        <w:rPr>
          <w:rFonts w:hint="eastAsia" w:ascii="宋体" w:hAnsi="宋体" w:cs="宋体"/>
          <w:color w:val="000000"/>
          <w:sz w:val="24"/>
          <w:szCs w:val="24"/>
          <w:lang w:eastAsia="zh-CN"/>
        </w:rPr>
        <w:t>对外语人才来说是一个挑战，对一般外语毕业生来说</w:t>
      </w:r>
      <w:r>
        <w:rPr>
          <w:rFonts w:hint="eastAsia" w:ascii="宋体" w:hAnsi="宋体" w:cs="宋体"/>
          <w:color w:val="000000"/>
          <w:sz w:val="24"/>
          <w:szCs w:val="24"/>
          <w:lang w:val="en-US" w:eastAsia="zh-CN"/>
        </w:rPr>
        <w:t>更</w:t>
      </w:r>
      <w:r>
        <w:rPr>
          <w:rFonts w:hint="eastAsia" w:ascii="宋体" w:hAnsi="宋体" w:cs="宋体"/>
          <w:color w:val="000000"/>
          <w:sz w:val="24"/>
          <w:szCs w:val="24"/>
          <w:lang w:eastAsia="zh-CN"/>
        </w:rPr>
        <w:t>是一种挑战。在教育领域，外语专业学生的就业仍旧保持一个良好的态势。据研究表明，</w:t>
      </w:r>
      <w:r>
        <w:rPr>
          <w:rFonts w:hint="eastAsia" w:ascii="宋体" w:hAnsi="宋体" w:cs="宋体"/>
          <w:color w:val="000000"/>
          <w:sz w:val="24"/>
          <w:szCs w:val="24"/>
          <w:lang w:val="en-US" w:eastAsia="zh-CN"/>
        </w:rPr>
        <w:t>2022年教育培训行业依旧位列就业十大热门行业，受到广大毕业生的青睐。其中，随着英语教育的前置、出国留学热及家长的重视，英语培训机构遍地开花，市场需求旺盛，尤其是当前幼儿英语教育受到一定追捧。值得一提的是，2020年的全国两会上明确指出高考外语不等于高考英语，学生可以自由选择英语，俄语，日语，法语，德语，西班牙语等6个语种参加高考，这一定程度上促进了德语和日语专业在教育行业的就业，也扩大了市场对于日语和德语教师的需求</w:t>
      </w:r>
      <w:r>
        <w:rPr>
          <w:rFonts w:hint="eastAsia" w:ascii="Arial" w:hAnsi="Arial" w:eastAsia="宋体" w:cs="Arial"/>
          <w:i w:val="0"/>
          <w:caps w:val="0"/>
          <w:color w:val="333333"/>
          <w:spacing w:val="0"/>
          <w:sz w:val="24"/>
          <w:szCs w:val="24"/>
          <w:shd w:val="clear" w:color="auto" w:fill="FFFFFF"/>
          <w:lang w:eastAsia="zh-CN"/>
        </w:rPr>
        <w:t>。</w:t>
      </w:r>
    </w:p>
    <w:p>
      <w:pPr>
        <w:adjustRightInd w:val="0"/>
        <w:snapToGrid w:val="0"/>
        <w:spacing w:line="360" w:lineRule="auto"/>
        <w:ind w:firstLine="480" w:firstLineChars="200"/>
        <w:rPr>
          <w:rFonts w:hint="eastAsia" w:ascii="宋体" w:hAnsi="宋体" w:cs="宋体"/>
          <w:color w:val="000000"/>
          <w:sz w:val="24"/>
          <w:szCs w:val="24"/>
          <w:lang w:val="en-US" w:eastAsia="zh-CN"/>
        </w:rPr>
      </w:pPr>
      <w:r>
        <w:rPr>
          <w:rFonts w:hint="eastAsia" w:ascii="宋体" w:hAnsi="宋体" w:cs="宋体"/>
          <w:color w:val="000000"/>
          <w:sz w:val="24"/>
          <w:szCs w:val="24"/>
          <w:lang w:eastAsia="zh-CN"/>
        </w:rPr>
        <w:t>当然目前我院的就业工作中也存在难点，如</w:t>
      </w:r>
      <w:r>
        <w:rPr>
          <w:rFonts w:hint="eastAsia" w:ascii="宋体" w:hAnsi="宋体" w:cs="宋体"/>
          <w:color w:val="000000"/>
          <w:sz w:val="24"/>
          <w:szCs w:val="24"/>
          <w:lang w:val="en-US" w:eastAsia="zh-CN"/>
        </w:rPr>
        <w:t>毕业生求职过程中看中外资企业，国企、事业单位等薪资待遇比较好的单位，个人能力与市场需求之间不匹配等问题，都会阻碍毕业生成功就业。有的学生专注于考公、考编，但是与外语专业岗位相匹配的岗位少之又少，无疑在一定程度上导致其求职、就业积极性不高。</w:t>
      </w:r>
    </w:p>
    <w:p>
      <w:pPr>
        <w:adjustRightInd w:val="0"/>
        <w:snapToGrid w:val="0"/>
        <w:spacing w:line="360" w:lineRule="auto"/>
        <w:ind w:left="420" w:leftChars="200"/>
        <w:rPr>
          <w:rFonts w:hint="eastAsia" w:ascii="宋体" w:hAnsi="宋体"/>
          <w:b/>
          <w:bCs/>
          <w:color w:val="000000"/>
          <w:sz w:val="24"/>
        </w:rPr>
      </w:pPr>
      <w:r>
        <w:rPr>
          <w:rFonts w:hint="eastAsia" w:ascii="宋体" w:hAnsi="宋体"/>
          <w:b/>
          <w:bCs/>
          <w:color w:val="000000"/>
          <w:sz w:val="24"/>
        </w:rPr>
        <w:t>第四部分：</w:t>
      </w:r>
      <w:r>
        <w:rPr>
          <w:rFonts w:hint="eastAsia" w:ascii="宋体" w:hAnsi="宋体"/>
          <w:b/>
          <w:bCs/>
          <w:color w:val="000000"/>
          <w:sz w:val="24"/>
          <w:lang w:val="en-US" w:eastAsia="zh-CN"/>
        </w:rPr>
        <w:t>外国语学院</w:t>
      </w:r>
      <w:r>
        <w:rPr>
          <w:rFonts w:hint="eastAsia" w:ascii="宋体" w:hAnsi="宋体"/>
          <w:b/>
          <w:bCs/>
          <w:color w:val="000000"/>
          <w:sz w:val="24"/>
        </w:rPr>
        <w:t>就业工作的重点与亮点</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宋体" w:hAnsi="宋体" w:cs="宋体"/>
          <w:color w:val="000000"/>
          <w:sz w:val="24"/>
          <w:szCs w:val="24"/>
          <w:lang w:val="en-US" w:eastAsia="zh-CN"/>
        </w:rPr>
      </w:pPr>
      <w:r>
        <w:rPr>
          <w:rFonts w:hint="eastAsia" w:ascii="宋体" w:hAnsi="宋体" w:cs="宋体"/>
          <w:b w:val="0"/>
          <w:bCs w:val="0"/>
          <w:color w:val="000000"/>
          <w:kern w:val="0"/>
          <w:sz w:val="24"/>
          <w:szCs w:val="24"/>
          <w:lang w:val="en-US" w:eastAsia="zh-CN" w:bidi="ar"/>
        </w:rPr>
        <w:t>外国语学院一直以来高度重视学生就业工作，2022年外国语学院继续深入党建引领学生积极就业的理念，同时结合新的就业形势积极调整、优化就业策略，多措并举，全方位开展就业工作，强化指导力度，就业率得到大幅提升</w:t>
      </w:r>
      <w:r>
        <w:rPr>
          <w:rFonts w:hint="eastAsia" w:ascii="宋体" w:hAnsi="宋体" w:cs="宋体"/>
          <w:color w:val="000000"/>
          <w:sz w:val="24"/>
          <w:szCs w:val="24"/>
          <w:lang w:val="en-US" w:eastAsia="zh-CN"/>
        </w:rPr>
        <w:t>，就业数量和就业质量都出现稳步提升。现将工作重点和亮点总结如下：</w:t>
      </w:r>
    </w:p>
    <w:p>
      <w:pPr>
        <w:keepNext w:val="0"/>
        <w:keepLines w:val="0"/>
        <w:pageBreakBefore w:val="0"/>
        <w:widowControl w:val="0"/>
        <w:numPr>
          <w:ilvl w:val="0"/>
          <w:numId w:val="14"/>
        </w:numPr>
        <w:kinsoku/>
        <w:wordWrap/>
        <w:overflowPunct/>
        <w:topLinePunct w:val="0"/>
        <w:autoSpaceDE/>
        <w:autoSpaceDN/>
        <w:bidi w:val="0"/>
        <w:adjustRightInd/>
        <w:snapToGrid/>
        <w:spacing w:line="360" w:lineRule="auto"/>
        <w:ind w:firstLine="482" w:firstLineChars="200"/>
        <w:textAlignment w:val="auto"/>
        <w:rPr>
          <w:rFonts w:hint="eastAsia" w:ascii="宋体" w:hAnsi="宋体" w:cs="宋体"/>
          <w:b/>
          <w:bCs/>
          <w:color w:val="000000"/>
          <w:sz w:val="24"/>
          <w:szCs w:val="24"/>
          <w:lang w:val="en-US" w:eastAsia="zh-CN"/>
        </w:rPr>
      </w:pPr>
      <w:r>
        <w:rPr>
          <w:rFonts w:hint="eastAsia" w:ascii="宋体" w:hAnsi="宋体" w:cs="宋体"/>
          <w:b/>
          <w:bCs/>
          <w:color w:val="000000"/>
          <w:sz w:val="24"/>
          <w:szCs w:val="24"/>
          <w:lang w:val="en-US" w:eastAsia="zh-CN"/>
        </w:rPr>
        <w:t>建立健全常态化、制度化、创新化的就业工作体系</w:t>
      </w:r>
    </w:p>
    <w:p>
      <w:pPr>
        <w:spacing w:line="360" w:lineRule="auto"/>
        <w:ind w:firstLine="480"/>
        <w:rPr>
          <w:rFonts w:hint="eastAsia" w:ascii="宋体" w:hAnsi="宋体" w:cs="宋体"/>
          <w:color w:val="000000"/>
          <w:sz w:val="24"/>
          <w:szCs w:val="24"/>
          <w:lang w:eastAsia="zh-CN"/>
        </w:rPr>
      </w:pPr>
      <w:r>
        <w:rPr>
          <w:rFonts w:hint="eastAsia" w:ascii="宋体" w:hAnsi="宋体" w:cs="宋体"/>
          <w:b w:val="0"/>
          <w:bCs w:val="0"/>
          <w:color w:val="000000"/>
          <w:sz w:val="24"/>
          <w:szCs w:val="24"/>
          <w:lang w:val="en-US" w:eastAsia="zh-CN"/>
        </w:rPr>
        <w:t>外国语学院领导班子一直以来高度重视毕业生就业工作，将就业作为一项重点工作常抓不放。学院</w:t>
      </w:r>
      <w:r>
        <w:rPr>
          <w:rFonts w:hint="eastAsia" w:ascii="宋体" w:hAnsi="宋体" w:cs="宋体"/>
          <w:color w:val="000000"/>
          <w:sz w:val="24"/>
          <w:szCs w:val="24"/>
          <w:lang w:eastAsia="zh-CN"/>
        </w:rPr>
        <w:t>成立了一支由院领导</w:t>
      </w:r>
      <w:r>
        <w:rPr>
          <w:rFonts w:hint="eastAsia" w:ascii="宋体" w:hAnsi="宋体" w:cs="宋体"/>
          <w:color w:val="000000"/>
          <w:sz w:val="24"/>
          <w:szCs w:val="24"/>
        </w:rPr>
        <w:t>、</w:t>
      </w:r>
      <w:r>
        <w:rPr>
          <w:rFonts w:hint="eastAsia" w:ascii="宋体" w:hAnsi="宋体" w:cs="宋体"/>
          <w:color w:val="000000"/>
          <w:sz w:val="24"/>
          <w:szCs w:val="24"/>
          <w:lang w:eastAsia="zh-CN"/>
        </w:rPr>
        <w:t>系主任</w:t>
      </w:r>
      <w:r>
        <w:rPr>
          <w:rFonts w:hint="eastAsia" w:ascii="宋体" w:hAnsi="宋体" w:cs="宋体"/>
          <w:color w:val="000000"/>
          <w:sz w:val="24"/>
          <w:szCs w:val="24"/>
        </w:rPr>
        <w:t>、辅导员</w:t>
      </w:r>
      <w:r>
        <w:rPr>
          <w:rFonts w:hint="eastAsia" w:ascii="宋体" w:hAnsi="宋体" w:cs="宋体"/>
          <w:color w:val="000000"/>
          <w:sz w:val="24"/>
          <w:szCs w:val="24"/>
          <w:lang w:eastAsia="zh-CN"/>
        </w:rPr>
        <w:t>、班主任组成的就业工作领导小组，将就业工作</w:t>
      </w:r>
      <w:r>
        <w:rPr>
          <w:rFonts w:hint="eastAsia" w:ascii="宋体" w:hAnsi="宋体" w:cs="宋体"/>
          <w:color w:val="000000"/>
          <w:sz w:val="24"/>
          <w:szCs w:val="24"/>
        </w:rPr>
        <w:t>作为常态化、制度化、创新性工作来抓，使得我</w:t>
      </w:r>
      <w:r>
        <w:rPr>
          <w:rFonts w:hint="eastAsia" w:ascii="宋体" w:hAnsi="宋体" w:cs="宋体"/>
          <w:color w:val="000000"/>
          <w:sz w:val="24"/>
          <w:szCs w:val="24"/>
          <w:lang w:eastAsia="zh-CN"/>
        </w:rPr>
        <w:t>院</w:t>
      </w:r>
      <w:r>
        <w:rPr>
          <w:rFonts w:hint="eastAsia" w:ascii="宋体" w:hAnsi="宋体" w:cs="宋体"/>
          <w:color w:val="000000"/>
          <w:sz w:val="24"/>
          <w:szCs w:val="24"/>
        </w:rPr>
        <w:t>就业工作机构、就业工作制度健全，就业工作有实效</w:t>
      </w:r>
      <w:r>
        <w:rPr>
          <w:rFonts w:hint="eastAsia" w:ascii="宋体" w:hAnsi="宋体" w:cs="宋体"/>
          <w:color w:val="000000"/>
          <w:sz w:val="24"/>
          <w:szCs w:val="24"/>
          <w:lang w:eastAsia="zh-CN"/>
        </w:rPr>
        <w:t>。</w:t>
      </w:r>
    </w:p>
    <w:p>
      <w:pPr>
        <w:spacing w:line="360" w:lineRule="auto"/>
        <w:ind w:firstLine="480"/>
        <w:rPr>
          <w:rFonts w:hint="default" w:ascii="宋体" w:hAnsi="宋体" w:cs="宋体"/>
          <w:color w:val="000000"/>
          <w:sz w:val="24"/>
          <w:szCs w:val="24"/>
          <w:lang w:val="en-US" w:eastAsia="zh-CN"/>
        </w:rPr>
      </w:pPr>
      <w:r>
        <w:rPr>
          <w:rFonts w:hint="eastAsia" w:ascii="宋体" w:hAnsi="宋体" w:cs="宋体"/>
          <w:color w:val="000000"/>
          <w:sz w:val="24"/>
          <w:szCs w:val="24"/>
          <w:lang w:eastAsia="zh-CN"/>
        </w:rPr>
        <w:t>学院每学期召开专项就业工作会议，部署就业工作计划，总结就业工作经验和不足。每周学院书记组织召开辅导员会议，围绕毕业生就业工作商议就业举措，特别是针对就业中的困难群体，大家群策群力，发挥集体力量，各个击破。同时，外国语学院已形成全员参与就业工作的良好局面。除辅导员外，学院积极发挥系主任、专业班主任、论文指导老师、优秀校友的力量，帮助学生提供就业岗位和求职技能的指导，提升毕业生的就业竞争力。</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textAlignment w:val="auto"/>
        <w:rPr>
          <w:rFonts w:hint="eastAsia" w:ascii="宋体" w:hAnsi="宋体" w:cs="宋体"/>
          <w:b/>
          <w:bCs/>
          <w:color w:val="000000"/>
          <w:sz w:val="24"/>
          <w:szCs w:val="24"/>
          <w:lang w:val="en-US" w:eastAsia="zh-CN"/>
        </w:rPr>
      </w:pPr>
      <w:r>
        <w:rPr>
          <w:rFonts w:hint="eastAsia" w:ascii="宋体" w:hAnsi="宋体" w:cs="宋体"/>
          <w:b/>
          <w:bCs/>
          <w:color w:val="000000"/>
          <w:sz w:val="24"/>
          <w:szCs w:val="24"/>
          <w:lang w:val="en-US" w:eastAsia="zh-CN"/>
        </w:rPr>
        <w:t>二、建立毕业生和用人单位台账，创新思路加大就业政策宣传</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宋体" w:hAnsi="宋体" w:cs="宋体"/>
          <w:b/>
          <w:bCs/>
          <w:color w:val="000000"/>
          <w:sz w:val="24"/>
          <w:szCs w:val="24"/>
          <w:lang w:val="en-US" w:eastAsia="zh-CN"/>
        </w:rPr>
      </w:pPr>
      <w:r>
        <w:rPr>
          <w:rFonts w:hint="eastAsia" w:ascii="宋体" w:hAnsi="宋体" w:cs="宋体"/>
          <w:color w:val="000000"/>
          <w:sz w:val="24"/>
          <w:szCs w:val="24"/>
          <w:lang w:val="en-US" w:eastAsia="zh-CN"/>
        </w:rPr>
        <w:t>我院辅导员从2021年9月1日开始就会进行毕业生就业意向调查，针对就业意向调查结果建立各专业毕业生“一生一册”动态台账，同步建立用人单位台账，将前往我院进行宣讲的单位统一拉入就业信息库中，并定期保持联系。每年年初，学院还要进行毕业生</w:t>
      </w:r>
      <w:r>
        <w:rPr>
          <w:rFonts w:hint="eastAsia" w:ascii="宋体" w:hAnsi="宋体" w:cs="宋体"/>
          <w:color w:val="000000"/>
          <w:sz w:val="24"/>
          <w:szCs w:val="24"/>
        </w:rPr>
        <w:t>回访，用人单位回访，了解就业市场动态，从毕业生那里反馈</w:t>
      </w:r>
      <w:r>
        <w:rPr>
          <w:rFonts w:hint="eastAsia" w:ascii="宋体" w:hAnsi="宋体" w:cs="宋体"/>
          <w:color w:val="000000"/>
          <w:sz w:val="24"/>
          <w:szCs w:val="24"/>
          <w:lang w:val="en-US" w:eastAsia="zh-CN"/>
        </w:rPr>
        <w:t>学院</w:t>
      </w:r>
      <w:r>
        <w:rPr>
          <w:rFonts w:hint="eastAsia" w:ascii="宋体" w:hAnsi="宋体" w:cs="宋体"/>
          <w:color w:val="000000"/>
          <w:sz w:val="24"/>
          <w:szCs w:val="24"/>
        </w:rPr>
        <w:t>就业工作的不足，为进一步开展好就业工作吸取经验与教训</w:t>
      </w:r>
      <w:r>
        <w:rPr>
          <w:rFonts w:hint="eastAsia" w:ascii="宋体" w:hAnsi="宋体" w:cs="宋体"/>
          <w:color w:val="000000"/>
          <w:sz w:val="24"/>
          <w:szCs w:val="24"/>
          <w:lang w:eastAsia="zh-CN"/>
        </w:rPr>
        <w:t>。同时，为了提高毕业生的就业动力，纠正毕业生群体中存在的一些错误的就业观念，辅导员会积极利用就业指导课等多种机会，采用理论宣讲、视频播放等多种方式开展就业政策宣传，鼓励学生多实践多尝试，改变眼高手低的错误观念，从基层做起，扩大就业选择，多去基层和西部</w:t>
      </w:r>
      <w:r>
        <w:rPr>
          <w:rFonts w:hint="eastAsia" w:ascii="宋体" w:hAnsi="宋体" w:cs="宋体"/>
          <w:color w:val="000000"/>
          <w:sz w:val="24"/>
          <w:szCs w:val="24"/>
          <w:lang w:val="en-US" w:eastAsia="zh-CN"/>
        </w:rPr>
        <w:t>计划</w:t>
      </w:r>
      <w:r>
        <w:rPr>
          <w:rFonts w:hint="eastAsia" w:ascii="宋体" w:hAnsi="宋体" w:cs="宋体"/>
          <w:color w:val="000000"/>
          <w:sz w:val="24"/>
          <w:szCs w:val="24"/>
          <w:lang w:eastAsia="zh-CN"/>
        </w:rPr>
        <w:t>等有需要的地方服务。同时，为了让</w:t>
      </w:r>
      <w:r>
        <w:rPr>
          <w:rFonts w:hint="eastAsia" w:ascii="宋体" w:hAnsi="宋体" w:cs="宋体"/>
          <w:color w:val="000000"/>
          <w:sz w:val="24"/>
          <w:szCs w:val="24"/>
          <w:lang w:val="en-US" w:eastAsia="zh-CN"/>
        </w:rPr>
        <w:t>2022届毕业生更好就业，我院特地组织往届优秀毕业生校友回母校开展交流会，分享就业经历和经验，为2022届毕业生提供宝贵的建议和指导。</w:t>
      </w:r>
    </w:p>
    <w:p>
      <w:pPr>
        <w:numPr>
          <w:ilvl w:val="0"/>
          <w:numId w:val="0"/>
        </w:numPr>
        <w:spacing w:line="360" w:lineRule="auto"/>
        <w:ind w:leftChars="200"/>
        <w:rPr>
          <w:rFonts w:hint="default" w:ascii="宋体" w:hAnsi="宋体" w:cs="宋体"/>
          <w:b/>
          <w:bCs/>
          <w:color w:val="000000"/>
          <w:sz w:val="24"/>
          <w:szCs w:val="24"/>
          <w:lang w:val="en-US" w:eastAsia="zh-CN"/>
        </w:rPr>
      </w:pPr>
      <w:r>
        <w:rPr>
          <w:rFonts w:hint="eastAsia" w:ascii="宋体" w:hAnsi="宋体" w:cs="宋体"/>
          <w:b/>
          <w:bCs/>
          <w:color w:val="000000"/>
          <w:sz w:val="24"/>
          <w:szCs w:val="24"/>
          <w:lang w:val="en-US" w:eastAsia="zh-CN"/>
        </w:rPr>
        <w:t>三、举办多场招聘会，搭建就业、实习平台</w:t>
      </w:r>
    </w:p>
    <w:p>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eastAsia" w:ascii="宋体" w:hAnsi="宋体" w:cs="宋体"/>
          <w:color w:val="000000"/>
          <w:sz w:val="24"/>
          <w:szCs w:val="24"/>
        </w:rPr>
      </w:pPr>
      <w:r>
        <w:rPr>
          <w:rFonts w:hint="eastAsia" w:ascii="宋体" w:hAnsi="宋体" w:cs="宋体"/>
          <w:color w:val="000000"/>
          <w:sz w:val="24"/>
          <w:szCs w:val="24"/>
          <w:lang w:val="en-US" w:eastAsia="zh-CN"/>
        </w:rPr>
        <w:t>为了让学生能够找到满意的工作，我院积极与用人单位建立联系，邀请众多单位来举行专场招聘会。同时，我院一直以来高度重视就业市场开拓与建设，旨在为学生搭建就业、实习的平台。党政领导多次带队前往毕业生就业相对集中的城市走访调研，回访毕业生及用人单位。</w:t>
      </w:r>
      <w:r>
        <w:rPr>
          <w:rFonts w:hint="eastAsia" w:ascii="宋体" w:hAnsi="宋体" w:cs="宋体"/>
          <w:color w:val="000000"/>
          <w:sz w:val="24"/>
          <w:szCs w:val="24"/>
        </w:rPr>
        <w:t>通过对毕业生追踪调查，以书面报告的形式为学校人才培养、学科建设、专业设置提出了许多建设性意见，也提高了我系指导学生就业的针对性和前瞻性。</w:t>
      </w:r>
      <w:r>
        <w:rPr>
          <w:rFonts w:hint="eastAsia" w:ascii="宋体" w:hAnsi="宋体" w:cs="宋体"/>
          <w:color w:val="000000"/>
          <w:sz w:val="24"/>
          <w:szCs w:val="24"/>
          <w:lang w:val="en-US" w:eastAsia="zh-CN"/>
        </w:rPr>
        <w:t>2021年11月23日学院邀请花王（合肥）有限公司人事经理魏翠翠给学院学生开展企业的人才需求与在校的职业规划。</w:t>
      </w:r>
      <w:r>
        <w:rPr>
          <w:rFonts w:hint="eastAsia" w:ascii="宋体" w:hAnsi="宋体" w:cs="宋体"/>
          <w:color w:val="000000"/>
          <w:sz w:val="24"/>
          <w:szCs w:val="24"/>
        </w:rPr>
        <w:t>20</w:t>
      </w:r>
      <w:r>
        <w:rPr>
          <w:rFonts w:hint="eastAsia" w:ascii="宋体" w:hAnsi="宋体" w:cs="宋体"/>
          <w:color w:val="000000"/>
          <w:sz w:val="24"/>
          <w:szCs w:val="24"/>
          <w:lang w:val="en-US" w:eastAsia="zh-CN"/>
        </w:rPr>
        <w:t>22</w:t>
      </w:r>
      <w:r>
        <w:rPr>
          <w:rFonts w:hint="eastAsia" w:ascii="宋体" w:hAnsi="宋体" w:cs="宋体"/>
          <w:color w:val="000000"/>
          <w:sz w:val="24"/>
          <w:szCs w:val="24"/>
        </w:rPr>
        <w:t>年</w:t>
      </w:r>
      <w:r>
        <w:rPr>
          <w:rFonts w:hint="eastAsia" w:ascii="宋体" w:hAnsi="宋体" w:cs="宋体"/>
          <w:color w:val="000000"/>
          <w:sz w:val="24"/>
          <w:szCs w:val="24"/>
          <w:lang w:val="en-US" w:eastAsia="zh-CN"/>
        </w:rPr>
        <w:t>我院</w:t>
      </w:r>
      <w:r>
        <w:rPr>
          <w:rFonts w:hint="eastAsia" w:ascii="宋体" w:hAnsi="宋体" w:cs="宋体"/>
          <w:color w:val="000000"/>
          <w:sz w:val="24"/>
          <w:szCs w:val="24"/>
        </w:rPr>
        <w:t>进一步拓展就业基地，</w:t>
      </w:r>
      <w:r>
        <w:rPr>
          <w:rFonts w:hint="eastAsia" w:ascii="宋体" w:hAnsi="宋体" w:cs="宋体"/>
          <w:color w:val="000000"/>
          <w:sz w:val="24"/>
          <w:szCs w:val="24"/>
          <w:lang w:val="en-US" w:eastAsia="zh-CN"/>
        </w:rPr>
        <w:t>与江苏省思必驰公司建立了就业基地关系，同时正在与花王洽谈合作事宜</w:t>
      </w:r>
      <w:r>
        <w:rPr>
          <w:rFonts w:hint="eastAsia" w:ascii="宋体" w:hAnsi="宋体" w:cs="宋体"/>
          <w:color w:val="0000FF"/>
          <w:sz w:val="24"/>
          <w:szCs w:val="24"/>
          <w:lang w:eastAsia="zh-CN"/>
        </w:rPr>
        <w:t>。</w:t>
      </w:r>
      <w:r>
        <w:rPr>
          <w:rFonts w:hint="eastAsia" w:ascii="宋体" w:hAnsi="宋体" w:cs="宋体"/>
          <w:color w:val="000000"/>
          <w:sz w:val="24"/>
          <w:szCs w:val="24"/>
        </w:rPr>
        <w:t>其次，我</w:t>
      </w:r>
      <w:r>
        <w:rPr>
          <w:rFonts w:hint="eastAsia" w:ascii="宋体" w:hAnsi="宋体" w:cs="宋体"/>
          <w:color w:val="000000"/>
          <w:sz w:val="24"/>
          <w:szCs w:val="24"/>
          <w:lang w:eastAsia="zh-CN"/>
        </w:rPr>
        <w:t>院</w:t>
      </w:r>
      <w:r>
        <w:rPr>
          <w:rFonts w:hint="eastAsia" w:ascii="宋体" w:hAnsi="宋体" w:cs="宋体"/>
          <w:color w:val="000000"/>
          <w:sz w:val="24"/>
          <w:szCs w:val="24"/>
        </w:rPr>
        <w:t>注重向用人单位推荐毕业生，通过多种方式</w:t>
      </w:r>
      <w:r>
        <w:rPr>
          <w:rFonts w:hint="eastAsia" w:ascii="宋体" w:hAnsi="宋体" w:cs="宋体"/>
          <w:color w:val="000000"/>
          <w:sz w:val="24"/>
          <w:szCs w:val="24"/>
          <w:lang w:val="en-US" w:eastAsia="zh-CN"/>
        </w:rPr>
        <w:t>宣传我院学生</w:t>
      </w:r>
      <w:r>
        <w:rPr>
          <w:rFonts w:hint="eastAsia" w:ascii="宋体" w:hAnsi="宋体" w:cs="宋体"/>
          <w:color w:val="000000"/>
          <w:sz w:val="24"/>
          <w:szCs w:val="24"/>
        </w:rPr>
        <w:t>，介绍毕业生生源情况、专业情况、毕业生素质等，积极为毕业生和用人单位牵线搭桥，效果显著。</w:t>
      </w:r>
    </w:p>
    <w:p>
      <w:pPr>
        <w:numPr>
          <w:ilvl w:val="0"/>
          <w:numId w:val="0"/>
        </w:numPr>
        <w:spacing w:line="360" w:lineRule="auto"/>
        <w:ind w:firstLine="482" w:firstLineChars="200"/>
        <w:rPr>
          <w:rFonts w:hint="eastAsia" w:ascii="宋体" w:hAnsi="宋体" w:cs="宋体"/>
          <w:b/>
          <w:bCs/>
          <w:color w:val="000000"/>
          <w:sz w:val="24"/>
          <w:szCs w:val="24"/>
          <w:lang w:val="en-US" w:eastAsia="zh-CN"/>
        </w:rPr>
      </w:pPr>
      <w:r>
        <w:rPr>
          <w:rFonts w:hint="eastAsia" w:ascii="宋体" w:hAnsi="宋体" w:cs="宋体"/>
          <w:b/>
          <w:bCs/>
          <w:color w:val="000000"/>
          <w:sz w:val="24"/>
          <w:szCs w:val="24"/>
          <w:lang w:val="en-US" w:eastAsia="zh-CN"/>
        </w:rPr>
        <w:t>四、发挥辅导员和论文指导教师的合力，精准帮扶就业困难学生</w:t>
      </w:r>
    </w:p>
    <w:p>
      <w:pPr>
        <w:keepNext w:val="0"/>
        <w:keepLines w:val="0"/>
        <w:pageBreakBefore w:val="0"/>
        <w:widowControl w:val="0"/>
        <w:numPr>
          <w:ilvl w:val="0"/>
          <w:numId w:val="0"/>
        </w:numPr>
        <w:kinsoku/>
        <w:wordWrap/>
        <w:overflowPunct/>
        <w:topLinePunct w:val="0"/>
        <w:autoSpaceDE/>
        <w:autoSpaceDN/>
        <w:bidi w:val="0"/>
        <w:spacing w:line="360" w:lineRule="auto"/>
        <w:ind w:firstLine="480" w:firstLineChars="200"/>
        <w:textAlignment w:val="auto"/>
        <w:rPr>
          <w:rFonts w:hint="eastAsia" w:ascii="宋体" w:hAnsi="宋体" w:cs="宋体"/>
          <w:color w:val="000000"/>
          <w:sz w:val="24"/>
          <w:szCs w:val="24"/>
          <w:lang w:val="en-US" w:eastAsia="zh-CN"/>
        </w:rPr>
      </w:pPr>
      <w:r>
        <w:rPr>
          <w:rFonts w:hint="eastAsia" w:ascii="宋体" w:hAnsi="宋体" w:cs="宋体"/>
          <w:color w:val="000000"/>
          <w:sz w:val="24"/>
          <w:szCs w:val="24"/>
          <w:lang w:val="en-US" w:eastAsia="zh-CN"/>
        </w:rPr>
        <w:t>我院根据每位毕业生的“一生一册”进行摸排，对就业困难学生制定切实可行的激励政策以及2022届毕业生就业信息及就业指导帮扶情况一览表，发挥辅导员和论文指导教师传帮带作用，积极指导促进就业。首先通过召开座谈会形式，了解就业难及不愿就业同学的诉求，焕发他们的求职动机。其次，建立一对一联系，论文指导老师在指导论文期间积极向就业困难学生推荐各类适合他们的岗位，鼓励他们在实践中增强求职的技巧，从而增加被选择的概率。</w:t>
      </w:r>
    </w:p>
    <w:p>
      <w:pPr>
        <w:numPr>
          <w:ilvl w:val="0"/>
          <w:numId w:val="0"/>
        </w:numPr>
        <w:spacing w:line="360" w:lineRule="auto"/>
        <w:ind w:firstLine="482" w:firstLineChars="200"/>
        <w:rPr>
          <w:rFonts w:hint="eastAsia" w:ascii="宋体" w:hAnsi="宋体" w:cs="宋体"/>
          <w:b/>
          <w:bCs/>
          <w:color w:val="000000"/>
          <w:sz w:val="24"/>
          <w:szCs w:val="24"/>
          <w:lang w:val="en-US" w:eastAsia="zh-CN"/>
        </w:rPr>
      </w:pPr>
      <w:r>
        <w:rPr>
          <w:rFonts w:hint="eastAsia" w:ascii="宋体" w:hAnsi="宋体" w:cs="宋体"/>
          <w:b/>
          <w:bCs/>
          <w:color w:val="000000"/>
          <w:sz w:val="24"/>
          <w:szCs w:val="24"/>
          <w:lang w:val="en-US" w:eastAsia="zh-CN"/>
        </w:rPr>
        <w:t>五、加大与就业实习基地合作力度，探索“校企合作”模式</w:t>
      </w:r>
    </w:p>
    <w:p>
      <w:pPr>
        <w:numPr>
          <w:ilvl w:val="0"/>
          <w:numId w:val="0"/>
        </w:numPr>
        <w:spacing w:line="360" w:lineRule="auto"/>
        <w:ind w:firstLine="480" w:firstLineChars="200"/>
        <w:rPr>
          <w:rFonts w:hint="default" w:ascii="宋体" w:hAnsi="宋体" w:eastAsia="宋体" w:cs="宋体"/>
          <w:i w:val="0"/>
          <w:color w:val="000000"/>
          <w:kern w:val="0"/>
          <w:sz w:val="24"/>
          <w:szCs w:val="24"/>
          <w:highlight w:val="yellow"/>
          <w:u w:val="none"/>
          <w:lang w:val="en-US" w:eastAsia="zh-CN" w:bidi="ar"/>
        </w:rPr>
      </w:pPr>
      <w:r>
        <w:rPr>
          <w:rFonts w:hint="eastAsia" w:ascii="宋体" w:hAnsi="宋体" w:cs="宋体"/>
          <w:b w:val="0"/>
          <w:bCs w:val="0"/>
          <w:color w:val="000000"/>
          <w:sz w:val="24"/>
          <w:szCs w:val="24"/>
          <w:lang w:val="en-US" w:eastAsia="zh-CN"/>
        </w:rPr>
        <w:t>为更好开展就业工作，外国语学院一方面继续保持与原有就业基地的合作关系，每年大二暑假都会安排一批学生去到科大讯飞、</w:t>
      </w:r>
      <w:r>
        <w:rPr>
          <w:rFonts w:hint="eastAsia" w:ascii="宋体" w:hAnsi="宋体"/>
          <w:bCs/>
          <w:sz w:val="24"/>
          <w:lang w:val="en-US" w:eastAsia="zh-CN"/>
        </w:rPr>
        <w:t>中源家居股份有限公司、安徽环新、安徽摩达智能家居有限公司、安徽来盛日语培训学校、宁波亚虎进出口有限公司、日丰企业集团有限公司、家乐福等</w:t>
      </w:r>
      <w:r>
        <w:rPr>
          <w:rFonts w:hint="eastAsia" w:ascii="宋体" w:hAnsi="宋体" w:cs="宋体"/>
          <w:b w:val="0"/>
          <w:bCs w:val="0"/>
          <w:color w:val="000000"/>
          <w:sz w:val="24"/>
          <w:szCs w:val="24"/>
          <w:lang w:val="en-US" w:eastAsia="zh-CN"/>
        </w:rPr>
        <w:t>等就业单位进行认知实习，提前培养适合该单位需求的毕业生。另一方面院领导主动行动，转变模式，开拓新的就业实习基地，积极探索“校企合作”新模式。2022年学院领导一行前往</w:t>
      </w:r>
      <w:r>
        <w:rPr>
          <w:rFonts w:hint="eastAsia" w:ascii="宋体" w:hAnsi="宋体"/>
          <w:bCs/>
          <w:sz w:val="24"/>
          <w:lang w:val="en-US" w:eastAsia="zh-CN"/>
        </w:rPr>
        <w:t>安徽摩达智能家居有限公司</w:t>
      </w:r>
      <w:r>
        <w:rPr>
          <w:rFonts w:hint="eastAsia" w:ascii="宋体" w:hAnsi="宋体" w:cs="宋体"/>
          <w:b w:val="0"/>
          <w:bCs w:val="0"/>
          <w:color w:val="000000"/>
          <w:sz w:val="24"/>
          <w:szCs w:val="24"/>
          <w:lang w:val="en-US" w:eastAsia="zh-CN"/>
        </w:rPr>
        <w:t>洽谈就业基地建设，就人才培养、学生就业等内容进行沟通交流。</w:t>
      </w:r>
    </w:p>
    <w:p>
      <w:pPr>
        <w:numPr>
          <w:ilvl w:val="0"/>
          <w:numId w:val="0"/>
        </w:numPr>
        <w:spacing w:line="360" w:lineRule="auto"/>
        <w:ind w:firstLine="482" w:firstLineChars="200"/>
        <w:rPr>
          <w:rFonts w:hint="eastAsia" w:ascii="宋体" w:hAnsi="宋体" w:cs="宋体"/>
          <w:b/>
          <w:bCs/>
          <w:color w:val="000000"/>
          <w:sz w:val="24"/>
          <w:szCs w:val="24"/>
          <w:lang w:val="en-US" w:eastAsia="zh-CN"/>
        </w:rPr>
      </w:pPr>
      <w:r>
        <w:rPr>
          <w:rFonts w:hint="eastAsia" w:ascii="宋体" w:hAnsi="宋体" w:cs="宋体"/>
          <w:b/>
          <w:bCs/>
          <w:color w:val="000000"/>
          <w:sz w:val="24"/>
          <w:szCs w:val="24"/>
          <w:lang w:val="en-US" w:eastAsia="zh-CN"/>
        </w:rPr>
        <w:t>六、发挥党员和学生干部模范带头作用，以点带面促就业</w:t>
      </w:r>
    </w:p>
    <w:p>
      <w:pPr>
        <w:pStyle w:val="11"/>
        <w:keepNext w:val="0"/>
        <w:keepLines w:val="0"/>
        <w:pageBreakBefore w:val="0"/>
        <w:widowControl/>
        <w:kinsoku/>
        <w:wordWrap/>
        <w:overflowPunct/>
        <w:topLinePunct w:val="0"/>
        <w:autoSpaceDE/>
        <w:autoSpaceDN/>
        <w:bidi w:val="0"/>
        <w:adjustRightInd/>
        <w:snapToGrid/>
        <w:spacing w:before="0" w:beforeAutospacing="0" w:after="0" w:afterAutospacing="0" w:line="360" w:lineRule="auto"/>
        <w:ind w:firstLine="481"/>
        <w:textAlignment w:val="auto"/>
        <w:rPr>
          <w:rFonts w:hint="eastAsia" w:ascii="宋体" w:hAnsi="宋体"/>
          <w:b/>
          <w:bCs/>
          <w:color w:val="000000"/>
          <w:sz w:val="24"/>
        </w:rPr>
      </w:pPr>
      <w:r>
        <w:rPr>
          <w:rFonts w:hint="eastAsia" w:ascii="宋体" w:hAnsi="宋体" w:cs="宋体"/>
          <w:b w:val="0"/>
          <w:bCs w:val="0"/>
          <w:color w:val="000000"/>
          <w:sz w:val="24"/>
          <w:szCs w:val="24"/>
          <w:lang w:val="en-US" w:eastAsia="zh-CN"/>
        </w:rPr>
        <w:t>外国语学院充分利用党员和学生干部在学生群体中的带动示范作用，鼓励党员和学生干部先就业，而后帮助带动同寝室、同班级同学积极就业。</w:t>
      </w:r>
      <w:r>
        <w:rPr>
          <w:rFonts w:hint="eastAsia" w:cs="仿宋"/>
          <w:kern w:val="2"/>
          <w:lang w:val="en-US" w:eastAsia="zh-CN"/>
        </w:rPr>
        <w:t>我院每次</w:t>
      </w:r>
      <w:r>
        <w:rPr>
          <w:rFonts w:hint="eastAsia" w:ascii="宋体" w:hAnsi="宋体" w:cs="仿宋"/>
          <w:kern w:val="2"/>
        </w:rPr>
        <w:t>都会利用党员工作群，党员大会，不忘初心牢记使命</w:t>
      </w:r>
      <w:r>
        <w:rPr>
          <w:rFonts w:hint="eastAsia" w:cs="仿宋"/>
          <w:kern w:val="2"/>
          <w:lang w:val="en-US" w:eastAsia="zh-CN"/>
        </w:rPr>
        <w:t>等</w:t>
      </w:r>
      <w:r>
        <w:rPr>
          <w:rFonts w:hint="eastAsia" w:ascii="宋体" w:hAnsi="宋体" w:cs="仿宋"/>
          <w:kern w:val="2"/>
        </w:rPr>
        <w:t>专题教育大会</w:t>
      </w:r>
      <w:r>
        <w:rPr>
          <w:rFonts w:hint="eastAsia" w:cs="仿宋"/>
          <w:kern w:val="2"/>
          <w:lang w:val="en-US" w:eastAsia="zh-CN"/>
        </w:rPr>
        <w:t>等契机</w:t>
      </w:r>
      <w:r>
        <w:rPr>
          <w:rFonts w:hint="eastAsia" w:ascii="宋体" w:hAnsi="宋体" w:cs="仿宋"/>
          <w:kern w:val="2"/>
        </w:rPr>
        <w:t>要求党员积极带头就业，营造你追我赶的就业氛围。</w:t>
      </w:r>
      <w:r>
        <w:rPr>
          <w:rFonts w:hint="eastAsia" w:cs="仿宋"/>
          <w:kern w:val="2"/>
          <w:lang w:val="en-US" w:eastAsia="zh-CN"/>
        </w:rPr>
        <w:t>2022届毕业生中党员和学生干部均实现全部就业。</w:t>
      </w:r>
    </w:p>
    <w:p>
      <w:pPr>
        <w:adjustRightInd w:val="0"/>
        <w:snapToGrid w:val="0"/>
        <w:spacing w:line="360" w:lineRule="auto"/>
        <w:ind w:left="420" w:leftChars="200"/>
        <w:rPr>
          <w:rFonts w:hint="eastAsia" w:ascii="宋体" w:hAnsi="宋体"/>
          <w:b/>
          <w:bCs/>
          <w:color w:val="000000"/>
          <w:sz w:val="24"/>
        </w:rPr>
      </w:pPr>
      <w:r>
        <w:rPr>
          <w:rFonts w:hint="eastAsia" w:ascii="宋体" w:hAnsi="宋体"/>
          <w:b/>
          <w:bCs/>
          <w:color w:val="000000"/>
          <w:sz w:val="24"/>
        </w:rPr>
        <w:t>第五部分：</w:t>
      </w:r>
      <w:r>
        <w:rPr>
          <w:rFonts w:hint="eastAsia" w:ascii="宋体" w:hAnsi="宋体"/>
          <w:b/>
          <w:bCs/>
          <w:color w:val="000000"/>
          <w:sz w:val="24"/>
          <w:lang w:val="en-US" w:eastAsia="zh-CN"/>
        </w:rPr>
        <w:t>外国语学院</w:t>
      </w:r>
      <w:r>
        <w:rPr>
          <w:rFonts w:hint="eastAsia" w:ascii="宋体" w:hAnsi="宋体"/>
          <w:b/>
          <w:bCs/>
          <w:color w:val="000000"/>
          <w:sz w:val="24"/>
        </w:rPr>
        <w:t>对就业困难、弱势群体、特殊问题毕业生帮扶情况</w:t>
      </w:r>
    </w:p>
    <w:p>
      <w:pPr>
        <w:adjustRightInd w:val="0"/>
        <w:snapToGrid w:val="0"/>
        <w:spacing w:line="360" w:lineRule="auto"/>
        <w:ind w:firstLine="480" w:firstLineChars="200"/>
        <w:rPr>
          <w:rFonts w:hint="eastAsia" w:ascii="宋体" w:hAnsi="宋体" w:eastAsia="宋体" w:cs="宋体"/>
          <w:b w:val="0"/>
          <w:bCs w:val="0"/>
          <w:color w:val="000000"/>
          <w:kern w:val="0"/>
          <w:sz w:val="24"/>
          <w:szCs w:val="24"/>
          <w:lang w:val="en-US" w:eastAsia="zh-CN" w:bidi="ar-SA"/>
        </w:rPr>
      </w:pPr>
      <w:r>
        <w:rPr>
          <w:rFonts w:hint="eastAsia" w:ascii="宋体" w:hAnsi="宋体" w:eastAsia="宋体" w:cs="宋体"/>
          <w:b w:val="0"/>
          <w:bCs w:val="0"/>
          <w:color w:val="000000"/>
          <w:kern w:val="0"/>
          <w:sz w:val="24"/>
          <w:szCs w:val="24"/>
          <w:lang w:val="en-US" w:eastAsia="zh-CN" w:bidi="ar-SA"/>
        </w:rPr>
        <w:t>为促进贫困毕业生充分就业，切实做好困难毕业生的就业帮扶工作，外国语学院坚持跟进式服务，制定2022届困难毕业生帮扶计划，为贫困毕业生送政策、送指导、送帮助、送岗位，努力确保贫困毕业生顺利就业。</w:t>
      </w:r>
    </w:p>
    <w:p>
      <w:pPr>
        <w:adjustRightInd w:val="0"/>
        <w:snapToGrid w:val="0"/>
        <w:spacing w:line="360" w:lineRule="auto"/>
        <w:ind w:firstLine="480" w:firstLineChars="200"/>
        <w:rPr>
          <w:rFonts w:hint="eastAsia" w:ascii="宋体" w:hAnsi="宋体"/>
          <w:sz w:val="24"/>
        </w:rPr>
      </w:pPr>
      <w:r>
        <w:rPr>
          <w:rFonts w:hint="eastAsia" w:ascii="宋体" w:hAnsi="宋体"/>
          <w:sz w:val="24"/>
        </w:rPr>
        <w:t>首先建立困难毕业生信息库。</w:t>
      </w:r>
      <w:r>
        <w:rPr>
          <w:rFonts w:hint="eastAsia" w:ascii="宋体" w:hAnsi="宋体"/>
          <w:sz w:val="24"/>
          <w:lang w:val="en-US" w:eastAsia="zh-CN"/>
        </w:rPr>
        <w:t>外国语学院</w:t>
      </w:r>
      <w:r>
        <w:rPr>
          <w:rFonts w:hint="eastAsia" w:ascii="宋体" w:hAnsi="宋体"/>
          <w:sz w:val="24"/>
        </w:rPr>
        <w:t>要求毕业班辅导员悉心摸查本班毕业生的基本情况，掌握本班有哪些学生是困难毕业生，建立困难毕业生信息库，做到不遗漏一位困难毕业生。掌握每位困难毕业生的基本情况、思想动态，分析他们的困难情况（身体、心理、求职技巧、家庭情况、性格特点等），实施动态管理，及时掌握困难毕业生的就业情况。经过详细排查，</w:t>
      </w:r>
      <w:r>
        <w:rPr>
          <w:rFonts w:hint="eastAsia" w:ascii="宋体" w:hAnsi="宋体"/>
          <w:sz w:val="24"/>
          <w:lang w:val="en-US" w:eastAsia="zh-CN"/>
        </w:rPr>
        <w:t>18日语</w:t>
      </w:r>
      <w:r>
        <w:rPr>
          <w:rFonts w:hint="eastAsia" w:ascii="宋体" w:hAnsi="宋体"/>
          <w:sz w:val="24"/>
        </w:rPr>
        <w:t>专业</w:t>
      </w:r>
      <w:r>
        <w:rPr>
          <w:rFonts w:hint="eastAsia" w:ascii="宋体" w:hAnsi="宋体"/>
          <w:sz w:val="24"/>
          <w:lang w:val="en-US" w:eastAsia="zh-CN"/>
        </w:rPr>
        <w:t>李璇</w:t>
      </w:r>
      <w:r>
        <w:rPr>
          <w:rFonts w:hint="eastAsia" w:ascii="宋体" w:hAnsi="宋体"/>
          <w:sz w:val="24"/>
        </w:rPr>
        <w:t>，学号：1812031027，该生家庭经济条件较困难，</w:t>
      </w:r>
      <w:r>
        <w:rPr>
          <w:rFonts w:hint="eastAsia" w:ascii="宋体" w:hAnsi="宋体"/>
          <w:sz w:val="24"/>
          <w:lang w:val="en-US" w:eastAsia="zh-CN"/>
        </w:rPr>
        <w:t>家是</w:t>
      </w:r>
      <w:r>
        <w:rPr>
          <w:rFonts w:hint="eastAsia" w:ascii="宋体" w:hAnsi="宋体"/>
          <w:sz w:val="24"/>
        </w:rPr>
        <w:t>湖南省涟源市金石镇常林村</w:t>
      </w:r>
      <w:r>
        <w:rPr>
          <w:rFonts w:hint="eastAsia" w:ascii="宋体" w:hAnsi="宋体"/>
          <w:sz w:val="24"/>
          <w:lang w:eastAsia="zh-CN"/>
        </w:rPr>
        <w:t>，</w:t>
      </w:r>
      <w:r>
        <w:rPr>
          <w:rFonts w:hint="eastAsia" w:ascii="宋体" w:hAnsi="宋体"/>
          <w:sz w:val="24"/>
        </w:rPr>
        <w:t>因需要照顾父母，工作地域有很大的限制，存在许多困难。</w:t>
      </w:r>
      <w:r>
        <w:rPr>
          <w:rFonts w:hint="eastAsia" w:ascii="宋体" w:hAnsi="宋体"/>
          <w:sz w:val="24"/>
          <w:lang w:val="en-US" w:eastAsia="zh-CN"/>
        </w:rPr>
        <w:t>外国语学院党委</w:t>
      </w:r>
      <w:r>
        <w:rPr>
          <w:rFonts w:hint="eastAsia" w:ascii="宋体" w:hAnsi="宋体"/>
          <w:sz w:val="24"/>
        </w:rPr>
        <w:t>副书记</w:t>
      </w:r>
      <w:r>
        <w:rPr>
          <w:rFonts w:hint="eastAsia" w:ascii="宋体" w:hAnsi="宋体"/>
          <w:sz w:val="24"/>
          <w:lang w:val="en-US" w:eastAsia="zh-CN"/>
        </w:rPr>
        <w:t>吴孔宝</w:t>
      </w:r>
      <w:r>
        <w:rPr>
          <w:rFonts w:hint="eastAsia" w:ascii="宋体" w:hAnsi="宋体"/>
          <w:sz w:val="24"/>
        </w:rPr>
        <w:t>老师进行“一对一”帮扶，</w:t>
      </w:r>
      <w:r>
        <w:rPr>
          <w:rFonts w:hint="eastAsia" w:ascii="宋体" w:hAnsi="宋体"/>
          <w:sz w:val="24"/>
          <w:lang w:val="en-US" w:eastAsia="zh-CN"/>
        </w:rPr>
        <w:t>首先是介绍合肥来盛日语培训学校，但该生想回家就业，其次介绍湖南长沙一家企业，但与本人家里相距较远，最后推荐湖南绿韵数字化健康科技有限公司，该生</w:t>
      </w:r>
      <w:r>
        <w:rPr>
          <w:rFonts w:hint="eastAsia" w:ascii="宋体" w:hAnsi="宋体"/>
          <w:sz w:val="24"/>
        </w:rPr>
        <w:t>终于成功就职</w:t>
      </w:r>
      <w:r>
        <w:rPr>
          <w:rFonts w:hint="eastAsia" w:ascii="宋体" w:hAnsi="宋体"/>
          <w:sz w:val="24"/>
          <w:lang w:eastAsia="zh-CN"/>
        </w:rPr>
        <w:t>，</w:t>
      </w:r>
      <w:r>
        <w:rPr>
          <w:rFonts w:hint="eastAsia" w:ascii="宋体" w:hAnsi="宋体"/>
          <w:sz w:val="24"/>
        </w:rPr>
        <w:t>最终顺利就业。</w:t>
      </w:r>
    </w:p>
    <w:p>
      <w:pPr>
        <w:adjustRightInd w:val="0"/>
        <w:snapToGrid w:val="0"/>
        <w:spacing w:line="360" w:lineRule="auto"/>
        <w:ind w:firstLine="480" w:firstLineChars="200"/>
        <w:rPr>
          <w:rFonts w:hint="eastAsia" w:ascii="宋体" w:hAnsi="宋体"/>
          <w:sz w:val="24"/>
        </w:rPr>
      </w:pPr>
      <w:r>
        <w:rPr>
          <w:rFonts w:hint="eastAsia" w:ascii="宋体" w:hAnsi="宋体"/>
          <w:sz w:val="24"/>
        </w:rPr>
        <w:t>其次建立师生“一对一”帮扶制度。对于困难毕业生，</w:t>
      </w:r>
      <w:r>
        <w:rPr>
          <w:rFonts w:hint="eastAsia" w:ascii="宋体" w:hAnsi="宋体"/>
          <w:sz w:val="24"/>
          <w:lang w:val="en-US" w:eastAsia="zh-CN"/>
        </w:rPr>
        <w:t>外国语学院</w:t>
      </w:r>
      <w:r>
        <w:rPr>
          <w:rFonts w:hint="eastAsia" w:ascii="宋体" w:hAnsi="宋体"/>
          <w:sz w:val="24"/>
        </w:rPr>
        <w:t>明确要求系部党政领导、学科骨干教师、辅导员主动参与“一对一”就业帮扶活动，为就业困难毕业生“送政策、送指导、送技能、送岗位”。</w:t>
      </w:r>
    </w:p>
    <w:p>
      <w:pPr>
        <w:adjustRightInd w:val="0"/>
        <w:snapToGrid w:val="0"/>
        <w:spacing w:line="360" w:lineRule="auto"/>
        <w:ind w:firstLine="480" w:firstLineChars="200"/>
        <w:rPr>
          <w:rFonts w:hint="eastAsia" w:ascii="宋体" w:hAnsi="宋体"/>
          <w:sz w:val="24"/>
        </w:rPr>
      </w:pPr>
      <w:r>
        <w:rPr>
          <w:rFonts w:hint="eastAsia" w:ascii="宋体" w:hAnsi="宋体"/>
          <w:sz w:val="24"/>
        </w:rPr>
        <w:t>“送政策”即帮助就业困难毕业生及时了解国家关于大学生就业的各项政策，解答相关就业问题，协助解决就业过程中遇到的困难；“送指导”即根据就业困难毕业生的实际就业能力，重点提供面对面的就业指导，帮助其规划就业方向；“送技能”即及时提供适合就业困难毕业生的各种培训、实习信息，开展个性化指导；“送岗位”即通过向用人单位重点推荐、就业基地岗位安置等措施，切实帮助就业困难毕业生尽快落实就业岗位。</w:t>
      </w:r>
    </w:p>
    <w:p>
      <w:pPr>
        <w:adjustRightInd w:val="0"/>
        <w:snapToGrid w:val="0"/>
        <w:spacing w:line="360" w:lineRule="auto"/>
        <w:ind w:firstLine="480" w:firstLineChars="200"/>
        <w:rPr>
          <w:rFonts w:hint="eastAsia" w:ascii="宋体" w:hAnsi="宋体"/>
          <w:sz w:val="24"/>
        </w:rPr>
      </w:pPr>
      <w:r>
        <w:rPr>
          <w:rFonts w:hint="eastAsia" w:ascii="宋体" w:hAnsi="宋体"/>
          <w:sz w:val="24"/>
        </w:rPr>
        <w:t>针对每位困难毕业生，</w:t>
      </w:r>
      <w:r>
        <w:rPr>
          <w:rFonts w:hint="eastAsia" w:ascii="宋体" w:hAnsi="宋体"/>
          <w:sz w:val="24"/>
          <w:lang w:val="en-US" w:eastAsia="zh-CN"/>
        </w:rPr>
        <w:t>外国语学院</w:t>
      </w:r>
      <w:r>
        <w:rPr>
          <w:rFonts w:hint="eastAsia" w:ascii="宋体" w:hAnsi="宋体"/>
          <w:sz w:val="24"/>
        </w:rPr>
        <w:t>确定帮扶责任人，实行“一对一”帮扶，并且加强对“一对一”就业帮扶活动实际成效的考核，对成功帮助就业困难学生就业的领导干部或教师，给予专项表彰和奖励；对相互推诿或消极应付者，取消年度考核评“优”资格，并在一定范围内通报批评。</w:t>
      </w:r>
    </w:p>
    <w:p>
      <w:pPr>
        <w:adjustRightInd w:val="0"/>
        <w:snapToGrid w:val="0"/>
        <w:spacing w:line="360" w:lineRule="auto"/>
        <w:ind w:firstLine="480" w:firstLineChars="200"/>
        <w:rPr>
          <w:rFonts w:hint="eastAsia" w:ascii="宋体" w:hAnsi="宋体"/>
          <w:sz w:val="24"/>
        </w:rPr>
      </w:pPr>
      <w:r>
        <w:rPr>
          <w:rFonts w:hint="eastAsia" w:ascii="宋体" w:hAnsi="宋体"/>
          <w:sz w:val="24"/>
        </w:rPr>
        <w:t>再次开展个性化就业服务和心理援助。对于存在其他原因而导致就业困难的学生，系部安排大学生健康发展与成长中心的</w:t>
      </w:r>
      <w:r>
        <w:rPr>
          <w:rFonts w:hint="eastAsia" w:ascii="宋体" w:hAnsi="宋体"/>
          <w:sz w:val="24"/>
          <w:lang w:val="en-US" w:eastAsia="zh-CN"/>
        </w:rPr>
        <w:t>谢琛</w:t>
      </w:r>
      <w:r>
        <w:rPr>
          <w:rFonts w:hint="eastAsia" w:ascii="宋体" w:hAnsi="宋体"/>
          <w:sz w:val="24"/>
        </w:rPr>
        <w:t>导师对其进行“一对一”就业咨询，根据具体问题采取就业指导措施，指导他们制作就业简历，提供就业面试培训和辅导，强化他们的就业技巧。提供“温暖系列”就业心理援助服务，聘请心理咨询师、就业导师等专业人员对存在择业心理障碍的贫困毕业生进行“一对一”专业化心理疏导，帮助他们消除紧张情绪、明确职业定位。</w:t>
      </w:r>
    </w:p>
    <w:p>
      <w:pPr>
        <w:adjustRightInd w:val="0"/>
        <w:snapToGrid w:val="0"/>
        <w:spacing w:line="360" w:lineRule="auto"/>
        <w:ind w:firstLine="480" w:firstLineChars="200"/>
        <w:rPr>
          <w:rFonts w:ascii="宋体" w:hAnsi="宋体"/>
          <w:sz w:val="24"/>
        </w:rPr>
      </w:pPr>
      <w:r>
        <w:rPr>
          <w:rFonts w:hint="eastAsia" w:ascii="宋体" w:hAnsi="宋体"/>
          <w:sz w:val="24"/>
        </w:rPr>
        <w:t>最后向就业困难毕业生发放求职经费补贴。</w:t>
      </w:r>
      <w:r>
        <w:rPr>
          <w:rFonts w:hint="eastAsia" w:ascii="宋体" w:hAnsi="宋体"/>
          <w:sz w:val="24"/>
          <w:lang w:val="en-US" w:eastAsia="zh-CN"/>
        </w:rPr>
        <w:t>外国语学院</w:t>
      </w:r>
      <w:r>
        <w:rPr>
          <w:rFonts w:hint="eastAsia" w:ascii="宋体" w:hAnsi="宋体"/>
          <w:sz w:val="24"/>
        </w:rPr>
        <w:t>向家庭困难的毕业生发放资助金，作为求职过程中的费补贴。同时积极鼓励就业困难毕业生到基层或外省市就业，在离校前落实就业岗位的，给予一定的经费用于交通和生活补助。发动校友、“双师型”教师的作用，积极推进就业困难毕业生就业工作。</w:t>
      </w:r>
      <w:r>
        <w:rPr>
          <w:rFonts w:hint="eastAsia" w:ascii="宋体" w:hAnsi="宋体"/>
          <w:sz w:val="24"/>
          <w:lang w:val="en-US" w:eastAsia="zh-CN"/>
        </w:rPr>
        <w:t>外国语学院</w:t>
      </w:r>
      <w:r>
        <w:rPr>
          <w:rFonts w:hint="eastAsia" w:ascii="宋体" w:hAnsi="宋体"/>
          <w:sz w:val="24"/>
        </w:rPr>
        <w:t>为了助推就业，广泛挖掘校友、学生家长、“双师型”教师的资源，吸引用人单位到</w:t>
      </w:r>
      <w:r>
        <w:rPr>
          <w:rFonts w:hint="eastAsia" w:ascii="宋体" w:hAnsi="宋体"/>
          <w:sz w:val="24"/>
          <w:lang w:val="en-US" w:eastAsia="zh-CN"/>
        </w:rPr>
        <w:t>我院</w:t>
      </w:r>
      <w:r>
        <w:rPr>
          <w:rFonts w:hint="eastAsia" w:ascii="宋体" w:hAnsi="宋体"/>
          <w:sz w:val="24"/>
        </w:rPr>
        <w:t>举办针对毕业生的专场招聘会，积极向用人单位推荐困难毕业生，为他们提供就业岗位。</w:t>
      </w:r>
    </w:p>
    <w:p>
      <w:pPr>
        <w:adjustRightInd w:val="0"/>
        <w:snapToGrid w:val="0"/>
        <w:spacing w:line="360" w:lineRule="auto"/>
        <w:ind w:firstLine="480" w:firstLineChars="200"/>
        <w:rPr>
          <w:rFonts w:ascii="宋体" w:hAnsi="宋体"/>
          <w:sz w:val="24"/>
        </w:rPr>
      </w:pPr>
      <w:r>
        <w:rPr>
          <w:rFonts w:hint="eastAsia" w:ascii="宋体" w:hAnsi="宋体"/>
          <w:sz w:val="24"/>
        </w:rPr>
        <w:t>由于</w:t>
      </w:r>
      <w:r>
        <w:rPr>
          <w:rFonts w:hint="eastAsia" w:ascii="宋体" w:hAnsi="宋体"/>
          <w:sz w:val="24"/>
          <w:lang w:val="en-US" w:eastAsia="zh-CN"/>
        </w:rPr>
        <w:t>外国语学院</w:t>
      </w:r>
      <w:r>
        <w:rPr>
          <w:rFonts w:hint="eastAsia" w:ascii="宋体" w:hAnsi="宋体"/>
          <w:sz w:val="24"/>
        </w:rPr>
        <w:t>领导对困难同学就业的重视和帮扶，在全</w:t>
      </w:r>
      <w:r>
        <w:rPr>
          <w:rFonts w:hint="eastAsia" w:ascii="宋体" w:hAnsi="宋体"/>
          <w:sz w:val="24"/>
          <w:lang w:val="en-US" w:eastAsia="zh-CN"/>
        </w:rPr>
        <w:t>院</w:t>
      </w:r>
      <w:r>
        <w:rPr>
          <w:rFonts w:hint="eastAsia" w:ascii="宋体" w:hAnsi="宋体"/>
          <w:sz w:val="24"/>
        </w:rPr>
        <w:t>老师的帮助下，困难学生得到了</w:t>
      </w:r>
      <w:r>
        <w:rPr>
          <w:rFonts w:hint="eastAsia" w:ascii="宋体" w:hAnsi="宋体"/>
          <w:sz w:val="24"/>
          <w:lang w:val="en-US" w:eastAsia="zh-CN"/>
        </w:rPr>
        <w:t>院</w:t>
      </w:r>
      <w:r>
        <w:rPr>
          <w:rFonts w:hint="eastAsia" w:ascii="宋体" w:hAnsi="宋体"/>
          <w:sz w:val="24"/>
        </w:rPr>
        <w:t>部的无限关怀，并且成功就业开启职业生涯。</w:t>
      </w:r>
    </w:p>
    <w:p>
      <w:pPr>
        <w:adjustRightInd w:val="0"/>
        <w:snapToGrid w:val="0"/>
        <w:spacing w:line="360" w:lineRule="auto"/>
        <w:jc w:val="center"/>
        <w:rPr>
          <w:rFonts w:hint="eastAsia" w:ascii="宋体" w:hAnsi="宋体"/>
          <w:sz w:val="24"/>
        </w:rPr>
      </w:pPr>
      <w:r>
        <w:rPr>
          <w:rFonts w:hint="eastAsia" w:ascii="宋体" w:hAnsi="宋体"/>
          <w:sz w:val="24"/>
          <w:lang w:eastAsia="zh-CN"/>
        </w:rPr>
        <w:t>表</w:t>
      </w:r>
      <w:r>
        <w:rPr>
          <w:rFonts w:hint="eastAsia" w:ascii="宋体" w:hAnsi="宋体"/>
          <w:sz w:val="24"/>
          <w:lang w:val="en-US" w:eastAsia="zh-CN"/>
        </w:rPr>
        <w:t>三</w:t>
      </w:r>
      <w:r>
        <w:rPr>
          <w:rFonts w:hint="eastAsia" w:ascii="宋体" w:hAnsi="宋体"/>
          <w:sz w:val="24"/>
          <w:lang w:eastAsia="zh-CN"/>
        </w:rPr>
        <w:t>：</w:t>
      </w:r>
      <w:r>
        <w:rPr>
          <w:rFonts w:hint="eastAsia" w:ascii="宋体" w:hAnsi="宋体"/>
          <w:sz w:val="24"/>
        </w:rPr>
        <w:t>合肥学院</w:t>
      </w:r>
      <w:r>
        <w:rPr>
          <w:rFonts w:hint="eastAsia" w:ascii="宋体" w:hAnsi="宋体"/>
          <w:sz w:val="24"/>
          <w:lang w:val="en-US" w:eastAsia="zh-CN"/>
        </w:rPr>
        <w:t>外国语学院</w:t>
      </w:r>
      <w:r>
        <w:rPr>
          <w:rFonts w:hint="eastAsia" w:ascii="宋体" w:hAnsi="宋体"/>
          <w:sz w:val="24"/>
        </w:rPr>
        <w:t>20</w:t>
      </w:r>
      <w:r>
        <w:rPr>
          <w:rFonts w:hint="eastAsia" w:ascii="宋体" w:hAnsi="宋体"/>
          <w:sz w:val="24"/>
          <w:lang w:val="en-US" w:eastAsia="zh-CN"/>
        </w:rPr>
        <w:t>22</w:t>
      </w:r>
      <w:r>
        <w:rPr>
          <w:rFonts w:hint="eastAsia" w:ascii="宋体" w:hAnsi="宋体"/>
          <w:sz w:val="24"/>
        </w:rPr>
        <w:t>届困</w:t>
      </w:r>
      <w:r>
        <w:rPr>
          <w:rFonts w:hint="eastAsia" w:ascii="宋体" w:hAnsi="宋体"/>
          <w:sz w:val="24"/>
          <w:lang w:val="en-US" w:eastAsia="zh-CN"/>
        </w:rPr>
        <w:t>难</w:t>
      </w:r>
      <w:r>
        <w:rPr>
          <w:rFonts w:hint="eastAsia" w:ascii="宋体" w:hAnsi="宋体"/>
          <w:sz w:val="24"/>
        </w:rPr>
        <w:t>生帮扶档案</w:t>
      </w:r>
    </w:p>
    <w:tbl>
      <w:tblPr>
        <w:tblStyle w:val="14"/>
        <w:tblW w:w="866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9"/>
        <w:gridCol w:w="1499"/>
        <w:gridCol w:w="946"/>
        <w:gridCol w:w="946"/>
        <w:gridCol w:w="1140"/>
        <w:gridCol w:w="1387"/>
        <w:gridCol w:w="947"/>
        <w:gridCol w:w="10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9" w:type="dxa"/>
            <w:noWrap w:val="0"/>
            <w:vAlign w:val="top"/>
          </w:tcPr>
          <w:p>
            <w:pPr>
              <w:jc w:val="left"/>
              <w:rPr>
                <w:rFonts w:hint="eastAsia" w:eastAsia="宋体"/>
                <w:vertAlign w:val="baseline"/>
                <w:lang w:val="en-US" w:eastAsia="zh-CN"/>
              </w:rPr>
            </w:pPr>
            <w:r>
              <w:rPr>
                <w:rFonts w:hint="eastAsia"/>
                <w:vertAlign w:val="baseline"/>
                <w:lang w:val="en-US" w:eastAsia="zh-CN"/>
              </w:rPr>
              <w:t>序号</w:t>
            </w:r>
          </w:p>
        </w:tc>
        <w:tc>
          <w:tcPr>
            <w:tcW w:w="1499" w:type="dxa"/>
            <w:noWrap w:val="0"/>
            <w:vAlign w:val="top"/>
          </w:tcPr>
          <w:p>
            <w:pPr>
              <w:jc w:val="left"/>
              <w:rPr>
                <w:rFonts w:hint="eastAsia" w:eastAsia="宋体"/>
                <w:vertAlign w:val="baseline"/>
                <w:lang w:val="en-US" w:eastAsia="zh-CN"/>
              </w:rPr>
            </w:pPr>
            <w:r>
              <w:rPr>
                <w:rFonts w:hint="eastAsia"/>
                <w:vertAlign w:val="baseline"/>
                <w:lang w:val="en-US" w:eastAsia="zh-CN"/>
              </w:rPr>
              <w:t>学号</w:t>
            </w:r>
          </w:p>
        </w:tc>
        <w:tc>
          <w:tcPr>
            <w:tcW w:w="946" w:type="dxa"/>
            <w:noWrap w:val="0"/>
            <w:vAlign w:val="top"/>
          </w:tcPr>
          <w:p>
            <w:pPr>
              <w:jc w:val="left"/>
              <w:rPr>
                <w:rFonts w:hint="eastAsia" w:eastAsia="宋体"/>
                <w:vertAlign w:val="baseline"/>
                <w:lang w:val="en-US" w:eastAsia="zh-CN"/>
              </w:rPr>
            </w:pPr>
            <w:r>
              <w:rPr>
                <w:rFonts w:hint="eastAsia"/>
                <w:vertAlign w:val="baseline"/>
                <w:lang w:val="en-US" w:eastAsia="zh-CN"/>
              </w:rPr>
              <w:t>姓名</w:t>
            </w:r>
          </w:p>
        </w:tc>
        <w:tc>
          <w:tcPr>
            <w:tcW w:w="946" w:type="dxa"/>
            <w:noWrap w:val="0"/>
            <w:vAlign w:val="top"/>
          </w:tcPr>
          <w:p>
            <w:pPr>
              <w:jc w:val="left"/>
              <w:rPr>
                <w:rFonts w:hint="default" w:eastAsia="宋体"/>
                <w:vertAlign w:val="baseline"/>
                <w:lang w:val="en-US" w:eastAsia="zh-CN"/>
              </w:rPr>
            </w:pPr>
            <w:r>
              <w:rPr>
                <w:rFonts w:hint="eastAsia"/>
                <w:vertAlign w:val="baseline"/>
                <w:lang w:val="en-US" w:eastAsia="zh-CN"/>
              </w:rPr>
              <w:t>性别</w:t>
            </w:r>
          </w:p>
        </w:tc>
        <w:tc>
          <w:tcPr>
            <w:tcW w:w="1140" w:type="dxa"/>
            <w:noWrap w:val="0"/>
            <w:vAlign w:val="top"/>
          </w:tcPr>
          <w:p>
            <w:pPr>
              <w:jc w:val="left"/>
              <w:rPr>
                <w:rFonts w:hint="default" w:eastAsia="宋体"/>
                <w:vertAlign w:val="baseline"/>
                <w:lang w:val="en-US" w:eastAsia="zh-CN"/>
              </w:rPr>
            </w:pPr>
            <w:r>
              <w:rPr>
                <w:rFonts w:hint="eastAsia"/>
                <w:vertAlign w:val="baseline"/>
                <w:lang w:val="en-US" w:eastAsia="zh-CN"/>
              </w:rPr>
              <w:t>专业班级</w:t>
            </w:r>
          </w:p>
        </w:tc>
        <w:tc>
          <w:tcPr>
            <w:tcW w:w="1387" w:type="dxa"/>
            <w:noWrap w:val="0"/>
            <w:vAlign w:val="top"/>
          </w:tcPr>
          <w:p>
            <w:pPr>
              <w:jc w:val="left"/>
              <w:rPr>
                <w:rFonts w:hint="default" w:eastAsia="宋体"/>
                <w:vertAlign w:val="baseline"/>
                <w:lang w:val="en-US" w:eastAsia="zh-CN"/>
              </w:rPr>
            </w:pPr>
            <w:r>
              <w:rPr>
                <w:rFonts w:hint="eastAsia"/>
                <w:vertAlign w:val="baseline"/>
                <w:lang w:val="en-US" w:eastAsia="zh-CN"/>
              </w:rPr>
              <w:t>联系电话</w:t>
            </w:r>
          </w:p>
        </w:tc>
        <w:tc>
          <w:tcPr>
            <w:tcW w:w="947" w:type="dxa"/>
            <w:noWrap w:val="0"/>
            <w:vAlign w:val="top"/>
          </w:tcPr>
          <w:p>
            <w:pPr>
              <w:jc w:val="left"/>
              <w:rPr>
                <w:rFonts w:hint="default" w:eastAsia="宋体"/>
                <w:vertAlign w:val="baseline"/>
                <w:lang w:val="en-US" w:eastAsia="zh-CN"/>
              </w:rPr>
            </w:pPr>
            <w:r>
              <w:rPr>
                <w:rFonts w:hint="eastAsia"/>
                <w:vertAlign w:val="baseline"/>
                <w:lang w:val="en-US" w:eastAsia="zh-CN"/>
              </w:rPr>
              <w:t>困难类型</w:t>
            </w:r>
          </w:p>
        </w:tc>
        <w:tc>
          <w:tcPr>
            <w:tcW w:w="1070" w:type="dxa"/>
            <w:noWrap w:val="0"/>
            <w:vAlign w:val="top"/>
          </w:tcPr>
          <w:p>
            <w:pPr>
              <w:jc w:val="left"/>
              <w:rPr>
                <w:rFonts w:hint="default" w:eastAsia="宋体"/>
                <w:vertAlign w:val="baseline"/>
                <w:lang w:val="en-US" w:eastAsia="zh-CN"/>
              </w:rPr>
            </w:pPr>
            <w:r>
              <w:rPr>
                <w:rFonts w:hint="eastAsia"/>
                <w:vertAlign w:val="baseline"/>
                <w:lang w:val="en-US" w:eastAsia="zh-CN"/>
              </w:rPr>
              <w:t>帮扶领导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4" w:hRule="atLeast"/>
        </w:trPr>
        <w:tc>
          <w:tcPr>
            <w:tcW w:w="729" w:type="dxa"/>
            <w:noWrap w:val="0"/>
            <w:vAlign w:val="top"/>
          </w:tcPr>
          <w:p>
            <w:pPr>
              <w:jc w:val="left"/>
              <w:rPr>
                <w:rFonts w:hint="eastAsia" w:eastAsia="宋体"/>
                <w:vertAlign w:val="baseline"/>
                <w:lang w:val="en-US" w:eastAsia="zh-CN"/>
              </w:rPr>
            </w:pPr>
            <w:r>
              <w:rPr>
                <w:rFonts w:hint="eastAsia"/>
                <w:vertAlign w:val="baseline"/>
                <w:lang w:val="en-US" w:eastAsia="zh-CN"/>
              </w:rPr>
              <w:t>1</w:t>
            </w:r>
          </w:p>
        </w:tc>
        <w:tc>
          <w:tcPr>
            <w:tcW w:w="1499" w:type="dxa"/>
            <w:noWrap w:val="0"/>
            <w:vAlign w:val="top"/>
          </w:tcPr>
          <w:p>
            <w:pPr>
              <w:jc w:val="left"/>
              <w:rPr>
                <w:vertAlign w:val="baseline"/>
              </w:rPr>
            </w:pPr>
            <w:r>
              <w:rPr>
                <w:rFonts w:hint="eastAsia"/>
                <w:vertAlign w:val="baseline"/>
              </w:rPr>
              <w:t>1812091013</w:t>
            </w:r>
          </w:p>
        </w:tc>
        <w:tc>
          <w:tcPr>
            <w:tcW w:w="946" w:type="dxa"/>
            <w:noWrap w:val="0"/>
            <w:vAlign w:val="top"/>
          </w:tcPr>
          <w:p>
            <w:pPr>
              <w:jc w:val="left"/>
              <w:rPr>
                <w:vertAlign w:val="baseline"/>
              </w:rPr>
            </w:pPr>
            <w:r>
              <w:rPr>
                <w:rFonts w:hint="eastAsia"/>
                <w:vertAlign w:val="baseline"/>
              </w:rPr>
              <w:t>俞琪</w:t>
            </w:r>
          </w:p>
        </w:tc>
        <w:tc>
          <w:tcPr>
            <w:tcW w:w="946" w:type="dxa"/>
            <w:noWrap w:val="0"/>
            <w:vAlign w:val="top"/>
          </w:tcPr>
          <w:p>
            <w:pPr>
              <w:jc w:val="left"/>
              <w:rPr>
                <w:rFonts w:hint="eastAsia" w:eastAsia="宋体"/>
                <w:vertAlign w:val="baseline"/>
                <w:lang w:val="en-US" w:eastAsia="zh-CN"/>
              </w:rPr>
            </w:pPr>
            <w:r>
              <w:rPr>
                <w:rFonts w:hint="eastAsia"/>
                <w:vertAlign w:val="baseline"/>
                <w:lang w:val="en-US" w:eastAsia="zh-CN"/>
              </w:rPr>
              <w:t>女</w:t>
            </w:r>
          </w:p>
        </w:tc>
        <w:tc>
          <w:tcPr>
            <w:tcW w:w="1140" w:type="dxa"/>
            <w:noWrap w:val="0"/>
            <w:vAlign w:val="top"/>
          </w:tcPr>
          <w:p>
            <w:pPr>
              <w:jc w:val="left"/>
              <w:rPr>
                <w:vertAlign w:val="baseline"/>
              </w:rPr>
            </w:pPr>
            <w:r>
              <w:rPr>
                <w:rFonts w:hint="eastAsia"/>
                <w:vertAlign w:val="baseline"/>
              </w:rPr>
              <w:t>18朝鲜语(2+2)</w:t>
            </w:r>
          </w:p>
        </w:tc>
        <w:tc>
          <w:tcPr>
            <w:tcW w:w="1387" w:type="dxa"/>
            <w:noWrap w:val="0"/>
            <w:vAlign w:val="top"/>
          </w:tcPr>
          <w:p>
            <w:pPr>
              <w:jc w:val="left"/>
              <w:rPr>
                <w:rFonts w:hint="eastAsia"/>
                <w:vertAlign w:val="baseline"/>
              </w:rPr>
            </w:pPr>
            <w:r>
              <w:rPr>
                <w:rFonts w:hint="eastAsia"/>
                <w:vertAlign w:val="baseline"/>
              </w:rPr>
              <w:t>18956946352</w:t>
            </w:r>
          </w:p>
        </w:tc>
        <w:tc>
          <w:tcPr>
            <w:tcW w:w="947" w:type="dxa"/>
            <w:noWrap w:val="0"/>
            <w:vAlign w:val="top"/>
          </w:tcPr>
          <w:p>
            <w:pPr>
              <w:jc w:val="left"/>
              <w:rPr>
                <w:rFonts w:hint="default"/>
                <w:vertAlign w:val="baseline"/>
                <w:lang w:val="en-US" w:eastAsia="zh-CN"/>
              </w:rPr>
            </w:pPr>
            <w:r>
              <w:rPr>
                <w:rFonts w:hint="eastAsia"/>
                <w:vertAlign w:val="baseline"/>
                <w:lang w:val="en-US" w:eastAsia="zh-CN"/>
              </w:rPr>
              <w:t>家庭困难</w:t>
            </w:r>
          </w:p>
        </w:tc>
        <w:tc>
          <w:tcPr>
            <w:tcW w:w="1070" w:type="dxa"/>
            <w:noWrap w:val="0"/>
            <w:vAlign w:val="top"/>
          </w:tcPr>
          <w:p>
            <w:pPr>
              <w:jc w:val="left"/>
              <w:rPr>
                <w:rFonts w:hint="eastAsia" w:eastAsia="宋体"/>
                <w:vertAlign w:val="baseline"/>
                <w:lang w:val="en-US" w:eastAsia="zh-CN"/>
              </w:rPr>
            </w:pPr>
            <w:r>
              <w:rPr>
                <w:rFonts w:hint="eastAsia"/>
                <w:vertAlign w:val="baseline"/>
                <w:lang w:val="en-US" w:eastAsia="zh-CN"/>
              </w:rPr>
              <w:t>余勇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4" w:hRule="atLeast"/>
        </w:trPr>
        <w:tc>
          <w:tcPr>
            <w:tcW w:w="729" w:type="dxa"/>
            <w:noWrap w:val="0"/>
            <w:vAlign w:val="top"/>
          </w:tcPr>
          <w:p>
            <w:pPr>
              <w:jc w:val="left"/>
              <w:rPr>
                <w:rFonts w:hint="eastAsia" w:eastAsia="宋体"/>
                <w:vertAlign w:val="baseline"/>
                <w:lang w:val="en-US" w:eastAsia="zh-CN"/>
              </w:rPr>
            </w:pPr>
            <w:r>
              <w:rPr>
                <w:rFonts w:hint="eastAsia"/>
                <w:vertAlign w:val="baseline"/>
                <w:lang w:val="en-US" w:eastAsia="zh-CN"/>
              </w:rPr>
              <w:t>2</w:t>
            </w:r>
          </w:p>
        </w:tc>
        <w:tc>
          <w:tcPr>
            <w:tcW w:w="1499" w:type="dxa"/>
            <w:noWrap w:val="0"/>
            <w:vAlign w:val="top"/>
          </w:tcPr>
          <w:p>
            <w:pPr>
              <w:jc w:val="left"/>
              <w:rPr>
                <w:vertAlign w:val="baseline"/>
              </w:rPr>
            </w:pPr>
            <w:r>
              <w:rPr>
                <w:rFonts w:hint="eastAsia"/>
                <w:vertAlign w:val="baseline"/>
              </w:rPr>
              <w:t>1812031005</w:t>
            </w:r>
          </w:p>
        </w:tc>
        <w:tc>
          <w:tcPr>
            <w:tcW w:w="946" w:type="dxa"/>
            <w:noWrap w:val="0"/>
            <w:vAlign w:val="top"/>
          </w:tcPr>
          <w:p>
            <w:pPr>
              <w:jc w:val="left"/>
              <w:rPr>
                <w:vertAlign w:val="baseline"/>
              </w:rPr>
            </w:pPr>
            <w:r>
              <w:rPr>
                <w:rFonts w:hint="eastAsia"/>
                <w:vertAlign w:val="baseline"/>
              </w:rPr>
              <w:t>余娇娇</w:t>
            </w:r>
          </w:p>
        </w:tc>
        <w:tc>
          <w:tcPr>
            <w:tcW w:w="946" w:type="dxa"/>
            <w:noWrap w:val="0"/>
            <w:vAlign w:val="top"/>
          </w:tcPr>
          <w:p>
            <w:pPr>
              <w:jc w:val="left"/>
              <w:rPr>
                <w:rFonts w:hint="eastAsia" w:eastAsia="宋体"/>
                <w:vertAlign w:val="baseline"/>
                <w:lang w:val="en-US" w:eastAsia="zh-CN"/>
              </w:rPr>
            </w:pPr>
            <w:r>
              <w:rPr>
                <w:rFonts w:hint="eastAsia"/>
                <w:vertAlign w:val="baseline"/>
                <w:lang w:val="en-US" w:eastAsia="zh-CN"/>
              </w:rPr>
              <w:t>女</w:t>
            </w:r>
          </w:p>
        </w:tc>
        <w:tc>
          <w:tcPr>
            <w:tcW w:w="1140" w:type="dxa"/>
            <w:noWrap w:val="0"/>
            <w:vAlign w:val="top"/>
          </w:tcPr>
          <w:p>
            <w:pPr>
              <w:jc w:val="left"/>
              <w:rPr>
                <w:vertAlign w:val="baseline"/>
              </w:rPr>
            </w:pPr>
            <w:r>
              <w:rPr>
                <w:rFonts w:hint="eastAsia"/>
                <w:vertAlign w:val="baseline"/>
              </w:rPr>
              <w:t>18日语</w:t>
            </w:r>
          </w:p>
        </w:tc>
        <w:tc>
          <w:tcPr>
            <w:tcW w:w="1387" w:type="dxa"/>
            <w:noWrap w:val="0"/>
            <w:vAlign w:val="top"/>
          </w:tcPr>
          <w:p>
            <w:pPr>
              <w:jc w:val="left"/>
              <w:rPr>
                <w:rFonts w:hint="eastAsia"/>
                <w:vertAlign w:val="baseline"/>
              </w:rPr>
            </w:pPr>
            <w:r>
              <w:rPr>
                <w:rFonts w:hint="eastAsia"/>
                <w:vertAlign w:val="baseline"/>
              </w:rPr>
              <w:t>18297866792</w:t>
            </w:r>
          </w:p>
        </w:tc>
        <w:tc>
          <w:tcPr>
            <w:tcW w:w="947" w:type="dxa"/>
            <w:noWrap w:val="0"/>
            <w:vAlign w:val="top"/>
          </w:tcPr>
          <w:p>
            <w:pPr>
              <w:jc w:val="left"/>
              <w:rPr>
                <w:rFonts w:hint="default"/>
                <w:vertAlign w:val="baseline"/>
                <w:lang w:val="en-US" w:eastAsia="zh-CN"/>
              </w:rPr>
            </w:pPr>
            <w:r>
              <w:rPr>
                <w:rFonts w:hint="eastAsia"/>
                <w:vertAlign w:val="baseline"/>
                <w:lang w:val="en-US" w:eastAsia="zh-CN"/>
              </w:rPr>
              <w:t>家庭困难</w:t>
            </w:r>
          </w:p>
        </w:tc>
        <w:tc>
          <w:tcPr>
            <w:tcW w:w="1070" w:type="dxa"/>
            <w:noWrap w:val="0"/>
            <w:vAlign w:val="top"/>
          </w:tcPr>
          <w:p>
            <w:pPr>
              <w:jc w:val="left"/>
              <w:rPr>
                <w:rFonts w:hint="eastAsia" w:ascii="Calibri" w:hAnsi="Calibri" w:eastAsia="宋体" w:cs="Times New Roman"/>
                <w:kern w:val="2"/>
                <w:sz w:val="21"/>
                <w:szCs w:val="24"/>
                <w:vertAlign w:val="baseline"/>
                <w:lang w:val="en-US" w:eastAsia="zh-CN" w:bidi="ar-SA"/>
              </w:rPr>
            </w:pPr>
            <w:r>
              <w:rPr>
                <w:rFonts w:hint="eastAsia"/>
                <w:vertAlign w:val="baseline"/>
                <w:lang w:val="en-US" w:eastAsia="zh-CN"/>
              </w:rPr>
              <w:t>吴孔宝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9" w:hRule="atLeast"/>
        </w:trPr>
        <w:tc>
          <w:tcPr>
            <w:tcW w:w="729" w:type="dxa"/>
            <w:noWrap w:val="0"/>
            <w:vAlign w:val="top"/>
          </w:tcPr>
          <w:p>
            <w:pPr>
              <w:jc w:val="left"/>
              <w:rPr>
                <w:rFonts w:hint="eastAsia" w:eastAsia="宋体"/>
                <w:vertAlign w:val="baseline"/>
                <w:lang w:val="en-US" w:eastAsia="zh-CN"/>
              </w:rPr>
            </w:pPr>
            <w:r>
              <w:rPr>
                <w:rFonts w:hint="eastAsia"/>
                <w:vertAlign w:val="baseline"/>
                <w:lang w:val="en-US" w:eastAsia="zh-CN"/>
              </w:rPr>
              <w:t>3</w:t>
            </w:r>
          </w:p>
        </w:tc>
        <w:tc>
          <w:tcPr>
            <w:tcW w:w="1499" w:type="dxa"/>
            <w:noWrap w:val="0"/>
            <w:vAlign w:val="top"/>
          </w:tcPr>
          <w:p>
            <w:pPr>
              <w:jc w:val="left"/>
              <w:rPr>
                <w:vertAlign w:val="baseline"/>
              </w:rPr>
            </w:pPr>
            <w:r>
              <w:rPr>
                <w:rFonts w:hint="eastAsia"/>
                <w:vertAlign w:val="baseline"/>
              </w:rPr>
              <w:t>1812031012</w:t>
            </w:r>
          </w:p>
        </w:tc>
        <w:tc>
          <w:tcPr>
            <w:tcW w:w="946" w:type="dxa"/>
            <w:noWrap w:val="0"/>
            <w:vAlign w:val="top"/>
          </w:tcPr>
          <w:p>
            <w:pPr>
              <w:jc w:val="left"/>
              <w:rPr>
                <w:vertAlign w:val="baseline"/>
              </w:rPr>
            </w:pPr>
            <w:r>
              <w:rPr>
                <w:rFonts w:hint="eastAsia"/>
                <w:vertAlign w:val="baseline"/>
              </w:rPr>
              <w:t>余丽莉</w:t>
            </w:r>
          </w:p>
        </w:tc>
        <w:tc>
          <w:tcPr>
            <w:tcW w:w="946" w:type="dxa"/>
            <w:noWrap w:val="0"/>
            <w:vAlign w:val="top"/>
          </w:tcPr>
          <w:p>
            <w:pPr>
              <w:jc w:val="left"/>
              <w:rPr>
                <w:rFonts w:hint="eastAsia" w:eastAsia="宋体"/>
                <w:vertAlign w:val="baseline"/>
                <w:lang w:val="en-US" w:eastAsia="zh-CN"/>
              </w:rPr>
            </w:pPr>
            <w:r>
              <w:rPr>
                <w:rFonts w:hint="eastAsia"/>
                <w:vertAlign w:val="baseline"/>
                <w:lang w:val="en-US" w:eastAsia="zh-CN"/>
              </w:rPr>
              <w:t>女</w:t>
            </w:r>
          </w:p>
        </w:tc>
        <w:tc>
          <w:tcPr>
            <w:tcW w:w="1140" w:type="dxa"/>
            <w:noWrap w:val="0"/>
            <w:vAlign w:val="top"/>
          </w:tcPr>
          <w:p>
            <w:pPr>
              <w:jc w:val="left"/>
              <w:rPr>
                <w:vertAlign w:val="baseline"/>
              </w:rPr>
            </w:pPr>
            <w:r>
              <w:rPr>
                <w:rFonts w:hint="eastAsia"/>
                <w:vertAlign w:val="baseline"/>
              </w:rPr>
              <w:t>18日语</w:t>
            </w:r>
          </w:p>
        </w:tc>
        <w:tc>
          <w:tcPr>
            <w:tcW w:w="1387" w:type="dxa"/>
            <w:noWrap w:val="0"/>
            <w:vAlign w:val="top"/>
          </w:tcPr>
          <w:p>
            <w:pPr>
              <w:jc w:val="left"/>
              <w:rPr>
                <w:rFonts w:hint="eastAsia"/>
                <w:vertAlign w:val="baseline"/>
              </w:rPr>
            </w:pPr>
            <w:r>
              <w:rPr>
                <w:rFonts w:hint="eastAsia"/>
                <w:vertAlign w:val="baseline"/>
              </w:rPr>
              <w:t>19855605946</w:t>
            </w:r>
          </w:p>
        </w:tc>
        <w:tc>
          <w:tcPr>
            <w:tcW w:w="947" w:type="dxa"/>
            <w:noWrap w:val="0"/>
            <w:vAlign w:val="top"/>
          </w:tcPr>
          <w:p>
            <w:pPr>
              <w:jc w:val="left"/>
              <w:rPr>
                <w:rFonts w:hint="default"/>
                <w:vertAlign w:val="baseline"/>
                <w:lang w:val="en-US" w:eastAsia="zh-CN"/>
              </w:rPr>
            </w:pPr>
            <w:r>
              <w:rPr>
                <w:rFonts w:hint="eastAsia"/>
                <w:vertAlign w:val="baseline"/>
                <w:lang w:val="en-US" w:eastAsia="zh-CN"/>
              </w:rPr>
              <w:t>家庭困难</w:t>
            </w:r>
          </w:p>
        </w:tc>
        <w:tc>
          <w:tcPr>
            <w:tcW w:w="1070" w:type="dxa"/>
            <w:noWrap w:val="0"/>
            <w:vAlign w:val="top"/>
          </w:tcPr>
          <w:p>
            <w:pPr>
              <w:jc w:val="left"/>
              <w:rPr>
                <w:rFonts w:hint="eastAsia" w:ascii="Calibri" w:hAnsi="Calibri" w:eastAsia="宋体" w:cs="Times New Roman"/>
                <w:kern w:val="2"/>
                <w:sz w:val="21"/>
                <w:szCs w:val="24"/>
                <w:vertAlign w:val="baseline"/>
                <w:lang w:val="en-US" w:eastAsia="zh-CN" w:bidi="ar-SA"/>
              </w:rPr>
            </w:pPr>
            <w:r>
              <w:rPr>
                <w:rFonts w:hint="eastAsia"/>
                <w:vertAlign w:val="baseline"/>
                <w:lang w:val="en-US" w:eastAsia="zh-CN"/>
              </w:rPr>
              <w:t>吴孔宝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9" w:type="dxa"/>
            <w:noWrap w:val="0"/>
            <w:vAlign w:val="top"/>
          </w:tcPr>
          <w:p>
            <w:pPr>
              <w:jc w:val="left"/>
              <w:rPr>
                <w:rFonts w:hint="eastAsia" w:eastAsia="宋体"/>
                <w:vertAlign w:val="baseline"/>
                <w:lang w:val="en-US" w:eastAsia="zh-CN"/>
              </w:rPr>
            </w:pPr>
            <w:r>
              <w:rPr>
                <w:rFonts w:hint="eastAsia"/>
                <w:vertAlign w:val="baseline"/>
                <w:lang w:val="en-US" w:eastAsia="zh-CN"/>
              </w:rPr>
              <w:t>4</w:t>
            </w:r>
          </w:p>
        </w:tc>
        <w:tc>
          <w:tcPr>
            <w:tcW w:w="1499" w:type="dxa"/>
            <w:noWrap w:val="0"/>
            <w:vAlign w:val="top"/>
          </w:tcPr>
          <w:p>
            <w:pPr>
              <w:jc w:val="left"/>
              <w:rPr>
                <w:vertAlign w:val="baseline"/>
              </w:rPr>
            </w:pPr>
            <w:r>
              <w:rPr>
                <w:rFonts w:hint="eastAsia"/>
                <w:vertAlign w:val="baseline"/>
              </w:rPr>
              <w:t>1812031017</w:t>
            </w:r>
          </w:p>
        </w:tc>
        <w:tc>
          <w:tcPr>
            <w:tcW w:w="946" w:type="dxa"/>
            <w:noWrap w:val="0"/>
            <w:vAlign w:val="top"/>
          </w:tcPr>
          <w:p>
            <w:pPr>
              <w:jc w:val="left"/>
              <w:rPr>
                <w:vertAlign w:val="baseline"/>
              </w:rPr>
            </w:pPr>
            <w:r>
              <w:rPr>
                <w:rFonts w:hint="eastAsia"/>
                <w:vertAlign w:val="baseline"/>
              </w:rPr>
              <w:t>陈梦玲</w:t>
            </w:r>
          </w:p>
        </w:tc>
        <w:tc>
          <w:tcPr>
            <w:tcW w:w="946" w:type="dxa"/>
            <w:noWrap w:val="0"/>
            <w:vAlign w:val="top"/>
          </w:tcPr>
          <w:p>
            <w:pPr>
              <w:jc w:val="left"/>
              <w:rPr>
                <w:rFonts w:hint="eastAsia" w:eastAsia="宋体"/>
                <w:vertAlign w:val="baseline"/>
                <w:lang w:val="en-US" w:eastAsia="zh-CN"/>
              </w:rPr>
            </w:pPr>
            <w:r>
              <w:rPr>
                <w:rFonts w:hint="eastAsia"/>
                <w:vertAlign w:val="baseline"/>
                <w:lang w:val="en-US" w:eastAsia="zh-CN"/>
              </w:rPr>
              <w:t>女</w:t>
            </w:r>
          </w:p>
        </w:tc>
        <w:tc>
          <w:tcPr>
            <w:tcW w:w="1140" w:type="dxa"/>
            <w:noWrap w:val="0"/>
            <w:vAlign w:val="top"/>
          </w:tcPr>
          <w:p>
            <w:pPr>
              <w:jc w:val="left"/>
              <w:rPr>
                <w:rFonts w:ascii="Calibri" w:hAnsi="Calibri" w:eastAsia="宋体" w:cs="Times New Roman"/>
                <w:kern w:val="2"/>
                <w:sz w:val="21"/>
                <w:szCs w:val="24"/>
                <w:vertAlign w:val="baseline"/>
                <w:lang w:val="en-US" w:eastAsia="zh-CN" w:bidi="ar-SA"/>
              </w:rPr>
            </w:pPr>
            <w:r>
              <w:rPr>
                <w:rFonts w:hint="eastAsia"/>
                <w:vertAlign w:val="baseline"/>
              </w:rPr>
              <w:t>18日语</w:t>
            </w:r>
          </w:p>
        </w:tc>
        <w:tc>
          <w:tcPr>
            <w:tcW w:w="1387" w:type="dxa"/>
            <w:noWrap w:val="0"/>
            <w:vAlign w:val="top"/>
          </w:tcPr>
          <w:p>
            <w:pPr>
              <w:jc w:val="left"/>
              <w:rPr>
                <w:rFonts w:hint="eastAsia"/>
                <w:vertAlign w:val="baseline"/>
                <w:lang w:val="en-US" w:eastAsia="zh-CN"/>
              </w:rPr>
            </w:pPr>
            <w:r>
              <w:rPr>
                <w:rFonts w:hint="eastAsia"/>
                <w:vertAlign w:val="baseline"/>
                <w:lang w:val="en-US" w:eastAsia="zh-CN"/>
              </w:rPr>
              <w:t>19956328192</w:t>
            </w:r>
          </w:p>
        </w:tc>
        <w:tc>
          <w:tcPr>
            <w:tcW w:w="947" w:type="dxa"/>
            <w:noWrap w:val="0"/>
            <w:vAlign w:val="top"/>
          </w:tcPr>
          <w:p>
            <w:pPr>
              <w:jc w:val="left"/>
              <w:rPr>
                <w:rFonts w:hint="default"/>
                <w:vertAlign w:val="baseline"/>
                <w:lang w:val="en-US" w:eastAsia="zh-CN"/>
              </w:rPr>
            </w:pPr>
            <w:r>
              <w:rPr>
                <w:rFonts w:hint="eastAsia"/>
                <w:vertAlign w:val="baseline"/>
                <w:lang w:val="en-US" w:eastAsia="zh-CN"/>
              </w:rPr>
              <w:t>家庭困难</w:t>
            </w:r>
          </w:p>
        </w:tc>
        <w:tc>
          <w:tcPr>
            <w:tcW w:w="1070" w:type="dxa"/>
            <w:noWrap w:val="0"/>
            <w:vAlign w:val="top"/>
          </w:tcPr>
          <w:p>
            <w:pPr>
              <w:jc w:val="left"/>
              <w:rPr>
                <w:rFonts w:hint="eastAsia" w:ascii="Calibri" w:hAnsi="Calibri" w:eastAsia="宋体" w:cs="Times New Roman"/>
                <w:kern w:val="2"/>
                <w:sz w:val="21"/>
                <w:szCs w:val="24"/>
                <w:vertAlign w:val="baseline"/>
                <w:lang w:val="en-US" w:eastAsia="zh-CN" w:bidi="ar-SA"/>
              </w:rPr>
            </w:pPr>
            <w:r>
              <w:rPr>
                <w:rFonts w:hint="eastAsia"/>
                <w:vertAlign w:val="baseline"/>
                <w:lang w:val="en-US" w:eastAsia="zh-CN"/>
              </w:rPr>
              <w:t>吴孔宝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9" w:type="dxa"/>
            <w:noWrap w:val="0"/>
            <w:vAlign w:val="top"/>
          </w:tcPr>
          <w:p>
            <w:pPr>
              <w:jc w:val="left"/>
              <w:rPr>
                <w:rFonts w:hint="eastAsia" w:eastAsia="宋体"/>
                <w:vertAlign w:val="baseline"/>
                <w:lang w:val="en-US" w:eastAsia="zh-CN"/>
              </w:rPr>
            </w:pPr>
            <w:r>
              <w:rPr>
                <w:rFonts w:hint="eastAsia"/>
                <w:vertAlign w:val="baseline"/>
                <w:lang w:val="en-US" w:eastAsia="zh-CN"/>
              </w:rPr>
              <w:t>5</w:t>
            </w:r>
          </w:p>
        </w:tc>
        <w:tc>
          <w:tcPr>
            <w:tcW w:w="1499" w:type="dxa"/>
            <w:noWrap w:val="0"/>
            <w:vAlign w:val="top"/>
          </w:tcPr>
          <w:p>
            <w:pPr>
              <w:jc w:val="left"/>
              <w:rPr>
                <w:vertAlign w:val="baseline"/>
              </w:rPr>
            </w:pPr>
            <w:r>
              <w:rPr>
                <w:rFonts w:hint="eastAsia"/>
                <w:vertAlign w:val="baseline"/>
              </w:rPr>
              <w:t>1812031027</w:t>
            </w:r>
          </w:p>
        </w:tc>
        <w:tc>
          <w:tcPr>
            <w:tcW w:w="946" w:type="dxa"/>
            <w:noWrap w:val="0"/>
            <w:vAlign w:val="top"/>
          </w:tcPr>
          <w:p>
            <w:pPr>
              <w:jc w:val="left"/>
              <w:rPr>
                <w:vertAlign w:val="baseline"/>
              </w:rPr>
            </w:pPr>
            <w:r>
              <w:rPr>
                <w:rFonts w:hint="eastAsia"/>
                <w:vertAlign w:val="baseline"/>
              </w:rPr>
              <w:t>李璇</w:t>
            </w:r>
          </w:p>
        </w:tc>
        <w:tc>
          <w:tcPr>
            <w:tcW w:w="946" w:type="dxa"/>
            <w:noWrap w:val="0"/>
            <w:vAlign w:val="top"/>
          </w:tcPr>
          <w:p>
            <w:pPr>
              <w:jc w:val="left"/>
              <w:rPr>
                <w:rFonts w:hint="eastAsia" w:eastAsia="宋体"/>
                <w:vertAlign w:val="baseline"/>
                <w:lang w:val="en-US" w:eastAsia="zh-CN"/>
              </w:rPr>
            </w:pPr>
            <w:r>
              <w:rPr>
                <w:rFonts w:hint="eastAsia"/>
                <w:vertAlign w:val="baseline"/>
                <w:lang w:val="en-US" w:eastAsia="zh-CN"/>
              </w:rPr>
              <w:t>女</w:t>
            </w:r>
          </w:p>
        </w:tc>
        <w:tc>
          <w:tcPr>
            <w:tcW w:w="1140" w:type="dxa"/>
            <w:noWrap w:val="0"/>
            <w:vAlign w:val="top"/>
          </w:tcPr>
          <w:p>
            <w:pPr>
              <w:jc w:val="left"/>
              <w:rPr>
                <w:rFonts w:ascii="Calibri" w:hAnsi="Calibri" w:eastAsia="宋体" w:cs="Times New Roman"/>
                <w:kern w:val="2"/>
                <w:sz w:val="21"/>
                <w:szCs w:val="24"/>
                <w:vertAlign w:val="baseline"/>
                <w:lang w:val="en-US" w:eastAsia="zh-CN" w:bidi="ar-SA"/>
              </w:rPr>
            </w:pPr>
            <w:r>
              <w:rPr>
                <w:rFonts w:hint="eastAsia"/>
                <w:vertAlign w:val="baseline"/>
              </w:rPr>
              <w:t>18日语</w:t>
            </w:r>
          </w:p>
        </w:tc>
        <w:tc>
          <w:tcPr>
            <w:tcW w:w="1387" w:type="dxa"/>
            <w:noWrap w:val="0"/>
            <w:vAlign w:val="top"/>
          </w:tcPr>
          <w:p>
            <w:pPr>
              <w:jc w:val="left"/>
              <w:rPr>
                <w:rFonts w:hint="eastAsia"/>
                <w:vertAlign w:val="baseline"/>
                <w:lang w:val="en-US" w:eastAsia="zh-CN"/>
              </w:rPr>
            </w:pPr>
            <w:r>
              <w:rPr>
                <w:rFonts w:hint="eastAsia"/>
                <w:vertAlign w:val="baseline"/>
                <w:lang w:val="en-US" w:eastAsia="zh-CN"/>
              </w:rPr>
              <w:t>18627604223</w:t>
            </w:r>
          </w:p>
        </w:tc>
        <w:tc>
          <w:tcPr>
            <w:tcW w:w="947" w:type="dxa"/>
            <w:noWrap w:val="0"/>
            <w:vAlign w:val="top"/>
          </w:tcPr>
          <w:p>
            <w:pPr>
              <w:jc w:val="left"/>
              <w:rPr>
                <w:rFonts w:hint="default"/>
                <w:vertAlign w:val="baseline"/>
                <w:lang w:val="en-US" w:eastAsia="zh-CN"/>
              </w:rPr>
            </w:pPr>
            <w:r>
              <w:rPr>
                <w:rFonts w:hint="eastAsia"/>
                <w:vertAlign w:val="baseline"/>
                <w:lang w:val="en-US" w:eastAsia="zh-CN"/>
              </w:rPr>
              <w:t>就业困难和家庭困难</w:t>
            </w:r>
          </w:p>
        </w:tc>
        <w:tc>
          <w:tcPr>
            <w:tcW w:w="1070" w:type="dxa"/>
            <w:noWrap w:val="0"/>
            <w:vAlign w:val="top"/>
          </w:tcPr>
          <w:p>
            <w:pPr>
              <w:jc w:val="left"/>
              <w:rPr>
                <w:rFonts w:hint="eastAsia" w:ascii="Calibri" w:hAnsi="Calibri" w:eastAsia="宋体" w:cs="Times New Roman"/>
                <w:kern w:val="2"/>
                <w:sz w:val="21"/>
                <w:szCs w:val="24"/>
                <w:vertAlign w:val="baseline"/>
                <w:lang w:val="en-US" w:eastAsia="zh-CN" w:bidi="ar-SA"/>
              </w:rPr>
            </w:pPr>
            <w:r>
              <w:rPr>
                <w:rFonts w:hint="eastAsia"/>
                <w:vertAlign w:val="baseline"/>
                <w:lang w:val="en-US" w:eastAsia="zh-CN"/>
              </w:rPr>
              <w:t>吴孔宝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9" w:hRule="atLeast"/>
        </w:trPr>
        <w:tc>
          <w:tcPr>
            <w:tcW w:w="729" w:type="dxa"/>
            <w:noWrap w:val="0"/>
            <w:vAlign w:val="top"/>
          </w:tcPr>
          <w:p>
            <w:pPr>
              <w:jc w:val="left"/>
              <w:rPr>
                <w:rFonts w:hint="eastAsia" w:eastAsia="宋体"/>
                <w:vertAlign w:val="baseline"/>
                <w:lang w:val="en-US" w:eastAsia="zh-CN"/>
              </w:rPr>
            </w:pPr>
            <w:r>
              <w:rPr>
                <w:rFonts w:hint="eastAsia"/>
                <w:vertAlign w:val="baseline"/>
                <w:lang w:val="en-US" w:eastAsia="zh-CN"/>
              </w:rPr>
              <w:t>6</w:t>
            </w:r>
          </w:p>
        </w:tc>
        <w:tc>
          <w:tcPr>
            <w:tcW w:w="1499" w:type="dxa"/>
            <w:noWrap w:val="0"/>
            <w:vAlign w:val="top"/>
          </w:tcPr>
          <w:p>
            <w:pPr>
              <w:jc w:val="left"/>
              <w:rPr>
                <w:vertAlign w:val="baseline"/>
              </w:rPr>
            </w:pPr>
            <w:r>
              <w:rPr>
                <w:rFonts w:hint="eastAsia"/>
                <w:vertAlign w:val="baseline"/>
              </w:rPr>
              <w:t>1812011006</w:t>
            </w:r>
          </w:p>
        </w:tc>
        <w:tc>
          <w:tcPr>
            <w:tcW w:w="946" w:type="dxa"/>
            <w:noWrap w:val="0"/>
            <w:vAlign w:val="top"/>
          </w:tcPr>
          <w:p>
            <w:pPr>
              <w:jc w:val="left"/>
              <w:rPr>
                <w:vertAlign w:val="baseline"/>
              </w:rPr>
            </w:pPr>
            <w:r>
              <w:rPr>
                <w:rFonts w:hint="eastAsia"/>
                <w:vertAlign w:val="baseline"/>
              </w:rPr>
              <w:t>许文慧</w:t>
            </w:r>
          </w:p>
        </w:tc>
        <w:tc>
          <w:tcPr>
            <w:tcW w:w="946" w:type="dxa"/>
            <w:noWrap w:val="0"/>
            <w:vAlign w:val="top"/>
          </w:tcPr>
          <w:p>
            <w:pPr>
              <w:jc w:val="left"/>
              <w:rPr>
                <w:rFonts w:hint="eastAsia" w:eastAsia="宋体"/>
                <w:vertAlign w:val="baseline"/>
                <w:lang w:val="en-US" w:eastAsia="zh-CN"/>
              </w:rPr>
            </w:pPr>
            <w:r>
              <w:rPr>
                <w:rFonts w:hint="eastAsia"/>
                <w:vertAlign w:val="baseline"/>
                <w:lang w:val="en-US" w:eastAsia="zh-CN"/>
              </w:rPr>
              <w:t>女</w:t>
            </w:r>
          </w:p>
        </w:tc>
        <w:tc>
          <w:tcPr>
            <w:tcW w:w="1140" w:type="dxa"/>
            <w:noWrap w:val="0"/>
            <w:vAlign w:val="top"/>
          </w:tcPr>
          <w:p>
            <w:pPr>
              <w:jc w:val="left"/>
              <w:rPr>
                <w:vertAlign w:val="baseline"/>
              </w:rPr>
            </w:pPr>
            <w:r>
              <w:rPr>
                <w:rFonts w:hint="eastAsia"/>
                <w:vertAlign w:val="baseline"/>
              </w:rPr>
              <w:t>18英语(1)</w:t>
            </w:r>
          </w:p>
        </w:tc>
        <w:tc>
          <w:tcPr>
            <w:tcW w:w="1387" w:type="dxa"/>
            <w:noWrap w:val="0"/>
            <w:vAlign w:val="top"/>
          </w:tcPr>
          <w:p>
            <w:pPr>
              <w:jc w:val="left"/>
              <w:rPr>
                <w:rFonts w:hint="eastAsia"/>
                <w:vertAlign w:val="baseline"/>
              </w:rPr>
            </w:pPr>
            <w:r>
              <w:rPr>
                <w:rFonts w:hint="eastAsia"/>
                <w:vertAlign w:val="baseline"/>
              </w:rPr>
              <w:t>19966520975</w:t>
            </w:r>
          </w:p>
        </w:tc>
        <w:tc>
          <w:tcPr>
            <w:tcW w:w="947" w:type="dxa"/>
            <w:noWrap w:val="0"/>
            <w:vAlign w:val="top"/>
          </w:tcPr>
          <w:p>
            <w:pPr>
              <w:jc w:val="left"/>
              <w:rPr>
                <w:rFonts w:hint="default"/>
                <w:vertAlign w:val="baseline"/>
                <w:lang w:val="en-US" w:eastAsia="zh-CN"/>
              </w:rPr>
            </w:pPr>
            <w:r>
              <w:rPr>
                <w:rFonts w:hint="eastAsia"/>
                <w:vertAlign w:val="baseline"/>
                <w:lang w:val="en-US" w:eastAsia="zh-CN"/>
              </w:rPr>
              <w:t>家庭困难</w:t>
            </w:r>
          </w:p>
        </w:tc>
        <w:tc>
          <w:tcPr>
            <w:tcW w:w="1070" w:type="dxa"/>
            <w:noWrap w:val="0"/>
            <w:vAlign w:val="top"/>
          </w:tcPr>
          <w:p>
            <w:pPr>
              <w:jc w:val="left"/>
              <w:rPr>
                <w:rFonts w:hint="default" w:ascii="Calibri" w:hAnsi="Calibri" w:eastAsia="宋体" w:cs="Times New Roman"/>
                <w:kern w:val="2"/>
                <w:sz w:val="21"/>
                <w:szCs w:val="24"/>
                <w:vertAlign w:val="baseline"/>
                <w:lang w:val="en-US" w:eastAsia="zh-CN" w:bidi="ar-SA"/>
              </w:rPr>
            </w:pPr>
            <w:r>
              <w:rPr>
                <w:rFonts w:hint="eastAsia" w:cs="Times New Roman"/>
                <w:kern w:val="2"/>
                <w:sz w:val="21"/>
                <w:szCs w:val="24"/>
                <w:vertAlign w:val="baseline"/>
                <w:lang w:val="en-US" w:eastAsia="zh-CN" w:bidi="ar-SA"/>
              </w:rPr>
              <w:t>李洁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9" w:type="dxa"/>
            <w:noWrap w:val="0"/>
            <w:vAlign w:val="top"/>
          </w:tcPr>
          <w:p>
            <w:pPr>
              <w:jc w:val="left"/>
              <w:rPr>
                <w:rFonts w:hint="eastAsia" w:eastAsia="宋体"/>
                <w:vertAlign w:val="baseline"/>
                <w:lang w:val="en-US" w:eastAsia="zh-CN"/>
              </w:rPr>
            </w:pPr>
            <w:r>
              <w:rPr>
                <w:rFonts w:hint="eastAsia"/>
                <w:vertAlign w:val="baseline"/>
                <w:lang w:val="en-US" w:eastAsia="zh-CN"/>
              </w:rPr>
              <w:t>7</w:t>
            </w:r>
          </w:p>
        </w:tc>
        <w:tc>
          <w:tcPr>
            <w:tcW w:w="1499" w:type="dxa"/>
            <w:noWrap w:val="0"/>
            <w:vAlign w:val="top"/>
          </w:tcPr>
          <w:p>
            <w:pPr>
              <w:jc w:val="left"/>
              <w:rPr>
                <w:vertAlign w:val="baseline"/>
              </w:rPr>
            </w:pPr>
            <w:r>
              <w:rPr>
                <w:rFonts w:hint="eastAsia"/>
                <w:vertAlign w:val="baseline"/>
              </w:rPr>
              <w:t>1812011016</w:t>
            </w:r>
          </w:p>
        </w:tc>
        <w:tc>
          <w:tcPr>
            <w:tcW w:w="946" w:type="dxa"/>
            <w:noWrap w:val="0"/>
            <w:vAlign w:val="top"/>
          </w:tcPr>
          <w:p>
            <w:pPr>
              <w:jc w:val="left"/>
              <w:rPr>
                <w:vertAlign w:val="baseline"/>
              </w:rPr>
            </w:pPr>
            <w:r>
              <w:rPr>
                <w:rFonts w:hint="eastAsia"/>
                <w:vertAlign w:val="baseline"/>
              </w:rPr>
              <w:t>蔡璐</w:t>
            </w:r>
          </w:p>
        </w:tc>
        <w:tc>
          <w:tcPr>
            <w:tcW w:w="946" w:type="dxa"/>
            <w:noWrap w:val="0"/>
            <w:vAlign w:val="top"/>
          </w:tcPr>
          <w:p>
            <w:pPr>
              <w:jc w:val="left"/>
              <w:rPr>
                <w:rFonts w:hint="eastAsia" w:eastAsia="宋体"/>
                <w:vertAlign w:val="baseline"/>
                <w:lang w:val="en-US" w:eastAsia="zh-CN"/>
              </w:rPr>
            </w:pPr>
            <w:r>
              <w:rPr>
                <w:rFonts w:hint="eastAsia"/>
                <w:vertAlign w:val="baseline"/>
                <w:lang w:val="en-US" w:eastAsia="zh-CN"/>
              </w:rPr>
              <w:t>女</w:t>
            </w:r>
          </w:p>
        </w:tc>
        <w:tc>
          <w:tcPr>
            <w:tcW w:w="1140" w:type="dxa"/>
            <w:noWrap w:val="0"/>
            <w:vAlign w:val="top"/>
          </w:tcPr>
          <w:p>
            <w:pPr>
              <w:jc w:val="left"/>
              <w:rPr>
                <w:rFonts w:ascii="Calibri" w:hAnsi="Calibri" w:eastAsia="宋体" w:cs="Times New Roman"/>
                <w:kern w:val="2"/>
                <w:sz w:val="21"/>
                <w:szCs w:val="24"/>
                <w:vertAlign w:val="baseline"/>
                <w:lang w:val="en-US" w:eastAsia="zh-CN" w:bidi="ar-SA"/>
              </w:rPr>
            </w:pPr>
            <w:r>
              <w:rPr>
                <w:rFonts w:hint="eastAsia"/>
                <w:vertAlign w:val="baseline"/>
              </w:rPr>
              <w:t>18英语(1)</w:t>
            </w:r>
          </w:p>
        </w:tc>
        <w:tc>
          <w:tcPr>
            <w:tcW w:w="1387" w:type="dxa"/>
            <w:noWrap w:val="0"/>
            <w:vAlign w:val="top"/>
          </w:tcPr>
          <w:p>
            <w:pPr>
              <w:jc w:val="left"/>
              <w:rPr>
                <w:rFonts w:hint="eastAsia"/>
                <w:vertAlign w:val="baseline"/>
                <w:lang w:val="en-US" w:eastAsia="zh-CN"/>
              </w:rPr>
            </w:pPr>
          </w:p>
          <w:p>
            <w:pPr>
              <w:jc w:val="left"/>
              <w:rPr>
                <w:rFonts w:hint="eastAsia"/>
                <w:vertAlign w:val="baseline"/>
                <w:lang w:val="en-US" w:eastAsia="zh-CN"/>
              </w:rPr>
            </w:pPr>
            <w:r>
              <w:rPr>
                <w:rFonts w:hint="eastAsia"/>
                <w:vertAlign w:val="baseline"/>
                <w:lang w:val="en-US" w:eastAsia="zh-CN"/>
              </w:rPr>
              <w:t>18856600692</w:t>
            </w:r>
          </w:p>
        </w:tc>
        <w:tc>
          <w:tcPr>
            <w:tcW w:w="947" w:type="dxa"/>
            <w:noWrap w:val="0"/>
            <w:vAlign w:val="top"/>
          </w:tcPr>
          <w:p>
            <w:pPr>
              <w:jc w:val="left"/>
              <w:rPr>
                <w:rFonts w:hint="default"/>
                <w:vertAlign w:val="baseline"/>
                <w:lang w:val="en-US" w:eastAsia="zh-CN"/>
              </w:rPr>
            </w:pPr>
            <w:r>
              <w:rPr>
                <w:rFonts w:hint="eastAsia"/>
                <w:vertAlign w:val="baseline"/>
                <w:lang w:val="en-US" w:eastAsia="zh-CN"/>
              </w:rPr>
              <w:t>就业困难和家庭困难</w:t>
            </w:r>
          </w:p>
        </w:tc>
        <w:tc>
          <w:tcPr>
            <w:tcW w:w="1070" w:type="dxa"/>
            <w:noWrap w:val="0"/>
            <w:vAlign w:val="top"/>
          </w:tcPr>
          <w:p>
            <w:pPr>
              <w:jc w:val="left"/>
              <w:rPr>
                <w:rFonts w:hint="default" w:ascii="Calibri" w:hAnsi="Calibri" w:eastAsia="宋体" w:cs="Times New Roman"/>
                <w:kern w:val="2"/>
                <w:sz w:val="21"/>
                <w:szCs w:val="24"/>
                <w:vertAlign w:val="baseline"/>
                <w:lang w:val="en-US" w:eastAsia="zh-CN" w:bidi="ar-SA"/>
              </w:rPr>
            </w:pPr>
            <w:r>
              <w:rPr>
                <w:rFonts w:hint="eastAsia" w:cs="Times New Roman"/>
                <w:kern w:val="2"/>
                <w:sz w:val="21"/>
                <w:szCs w:val="24"/>
                <w:vertAlign w:val="baseline"/>
                <w:lang w:val="en-US" w:eastAsia="zh-CN" w:bidi="ar-SA"/>
              </w:rPr>
              <w:t>李洁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4" w:hRule="atLeast"/>
        </w:trPr>
        <w:tc>
          <w:tcPr>
            <w:tcW w:w="729" w:type="dxa"/>
            <w:noWrap w:val="0"/>
            <w:vAlign w:val="top"/>
          </w:tcPr>
          <w:p>
            <w:pPr>
              <w:jc w:val="left"/>
              <w:rPr>
                <w:rFonts w:hint="eastAsia" w:eastAsia="宋体"/>
                <w:vertAlign w:val="baseline"/>
                <w:lang w:val="en-US" w:eastAsia="zh-CN"/>
              </w:rPr>
            </w:pPr>
            <w:r>
              <w:rPr>
                <w:rFonts w:hint="eastAsia"/>
                <w:vertAlign w:val="baseline"/>
                <w:lang w:val="en-US" w:eastAsia="zh-CN"/>
              </w:rPr>
              <w:t>8</w:t>
            </w:r>
          </w:p>
        </w:tc>
        <w:tc>
          <w:tcPr>
            <w:tcW w:w="1499" w:type="dxa"/>
            <w:noWrap w:val="0"/>
            <w:vAlign w:val="top"/>
          </w:tcPr>
          <w:p>
            <w:pPr>
              <w:jc w:val="left"/>
              <w:rPr>
                <w:vertAlign w:val="baseline"/>
              </w:rPr>
            </w:pPr>
            <w:r>
              <w:rPr>
                <w:rFonts w:hint="eastAsia"/>
                <w:vertAlign w:val="baseline"/>
              </w:rPr>
              <w:t>1812012004</w:t>
            </w:r>
          </w:p>
        </w:tc>
        <w:tc>
          <w:tcPr>
            <w:tcW w:w="946" w:type="dxa"/>
            <w:noWrap w:val="0"/>
            <w:vAlign w:val="top"/>
          </w:tcPr>
          <w:p>
            <w:pPr>
              <w:jc w:val="left"/>
              <w:rPr>
                <w:vertAlign w:val="baseline"/>
              </w:rPr>
            </w:pPr>
            <w:r>
              <w:rPr>
                <w:rFonts w:hint="eastAsia"/>
                <w:vertAlign w:val="baseline"/>
              </w:rPr>
              <w:t>吴婉</w:t>
            </w:r>
          </w:p>
        </w:tc>
        <w:tc>
          <w:tcPr>
            <w:tcW w:w="946" w:type="dxa"/>
            <w:noWrap w:val="0"/>
            <w:vAlign w:val="top"/>
          </w:tcPr>
          <w:p>
            <w:pPr>
              <w:jc w:val="left"/>
              <w:rPr>
                <w:rFonts w:hint="eastAsia" w:eastAsia="宋体"/>
                <w:vertAlign w:val="baseline"/>
                <w:lang w:val="en-US" w:eastAsia="zh-CN"/>
              </w:rPr>
            </w:pPr>
            <w:r>
              <w:rPr>
                <w:rFonts w:hint="eastAsia"/>
                <w:vertAlign w:val="baseline"/>
                <w:lang w:val="en-US" w:eastAsia="zh-CN"/>
              </w:rPr>
              <w:t>女</w:t>
            </w:r>
          </w:p>
        </w:tc>
        <w:tc>
          <w:tcPr>
            <w:tcW w:w="1140" w:type="dxa"/>
            <w:noWrap w:val="0"/>
            <w:vAlign w:val="top"/>
          </w:tcPr>
          <w:p>
            <w:pPr>
              <w:jc w:val="left"/>
              <w:rPr>
                <w:rFonts w:ascii="Calibri" w:hAnsi="Calibri" w:eastAsia="宋体" w:cs="Times New Roman"/>
                <w:kern w:val="2"/>
                <w:sz w:val="21"/>
                <w:szCs w:val="24"/>
                <w:vertAlign w:val="baseline"/>
                <w:lang w:val="en-US" w:eastAsia="zh-CN" w:bidi="ar-SA"/>
              </w:rPr>
            </w:pPr>
            <w:r>
              <w:rPr>
                <w:rFonts w:hint="eastAsia"/>
                <w:vertAlign w:val="baseline"/>
              </w:rPr>
              <w:t>18英语(</w:t>
            </w:r>
            <w:r>
              <w:rPr>
                <w:rFonts w:hint="eastAsia"/>
                <w:vertAlign w:val="baseline"/>
                <w:lang w:val="en-US" w:eastAsia="zh-CN"/>
              </w:rPr>
              <w:t>2</w:t>
            </w:r>
            <w:r>
              <w:rPr>
                <w:rFonts w:hint="eastAsia"/>
                <w:vertAlign w:val="baseline"/>
              </w:rPr>
              <w:t>)</w:t>
            </w:r>
          </w:p>
        </w:tc>
        <w:tc>
          <w:tcPr>
            <w:tcW w:w="1387" w:type="dxa"/>
            <w:noWrap w:val="0"/>
            <w:vAlign w:val="top"/>
          </w:tcPr>
          <w:p>
            <w:pPr>
              <w:jc w:val="left"/>
              <w:rPr>
                <w:rFonts w:hint="eastAsia"/>
                <w:vertAlign w:val="baseline"/>
                <w:lang w:val="en-US" w:eastAsia="zh-CN"/>
              </w:rPr>
            </w:pPr>
            <w:r>
              <w:rPr>
                <w:rFonts w:hint="eastAsia"/>
                <w:vertAlign w:val="baseline"/>
                <w:lang w:val="en-US" w:eastAsia="zh-CN"/>
              </w:rPr>
              <w:t>15375078763</w:t>
            </w:r>
          </w:p>
        </w:tc>
        <w:tc>
          <w:tcPr>
            <w:tcW w:w="947" w:type="dxa"/>
            <w:noWrap w:val="0"/>
            <w:vAlign w:val="top"/>
          </w:tcPr>
          <w:p>
            <w:pPr>
              <w:jc w:val="left"/>
              <w:rPr>
                <w:rFonts w:hint="default"/>
                <w:vertAlign w:val="baseline"/>
                <w:lang w:val="en-US" w:eastAsia="zh-CN"/>
              </w:rPr>
            </w:pPr>
            <w:r>
              <w:rPr>
                <w:rFonts w:hint="eastAsia"/>
                <w:vertAlign w:val="baseline"/>
                <w:lang w:val="en-US" w:eastAsia="zh-CN"/>
              </w:rPr>
              <w:t>家庭困难</w:t>
            </w:r>
          </w:p>
        </w:tc>
        <w:tc>
          <w:tcPr>
            <w:tcW w:w="1070" w:type="dxa"/>
            <w:noWrap w:val="0"/>
            <w:vAlign w:val="top"/>
          </w:tcPr>
          <w:p>
            <w:pPr>
              <w:jc w:val="left"/>
              <w:rPr>
                <w:rFonts w:hint="default" w:ascii="Calibri" w:hAnsi="Calibri" w:eastAsia="宋体" w:cs="Times New Roman"/>
                <w:kern w:val="2"/>
                <w:sz w:val="21"/>
                <w:szCs w:val="24"/>
                <w:vertAlign w:val="baseline"/>
                <w:lang w:val="en-US" w:eastAsia="zh-CN" w:bidi="ar-SA"/>
              </w:rPr>
            </w:pPr>
            <w:r>
              <w:rPr>
                <w:rFonts w:hint="eastAsia" w:cs="Times New Roman"/>
                <w:kern w:val="2"/>
                <w:sz w:val="21"/>
                <w:szCs w:val="24"/>
                <w:vertAlign w:val="baseline"/>
                <w:lang w:val="en-US" w:eastAsia="zh-CN" w:bidi="ar-SA"/>
              </w:rPr>
              <w:t>李洁</w:t>
            </w:r>
          </w:p>
        </w:tc>
      </w:tr>
    </w:tbl>
    <w:p>
      <w:pPr>
        <w:adjustRightInd w:val="0"/>
        <w:snapToGrid w:val="0"/>
        <w:spacing w:line="360" w:lineRule="auto"/>
        <w:rPr>
          <w:rFonts w:hint="eastAsia" w:ascii="宋体" w:hAnsi="宋体"/>
          <w:b/>
          <w:bCs/>
          <w:color w:val="000000"/>
          <w:sz w:val="24"/>
        </w:rPr>
      </w:pPr>
    </w:p>
    <w:p>
      <w:pPr>
        <w:adjustRightInd w:val="0"/>
        <w:snapToGrid w:val="0"/>
        <w:spacing w:line="360" w:lineRule="auto"/>
        <w:ind w:left="420" w:leftChars="200"/>
        <w:rPr>
          <w:rFonts w:hint="eastAsia" w:ascii="宋体" w:hAnsi="宋体"/>
          <w:b/>
          <w:bCs/>
          <w:color w:val="000000"/>
          <w:sz w:val="24"/>
        </w:rPr>
      </w:pPr>
      <w:r>
        <w:rPr>
          <w:rFonts w:hint="eastAsia" w:ascii="宋体" w:hAnsi="宋体"/>
          <w:b/>
          <w:bCs/>
          <w:color w:val="000000"/>
          <w:sz w:val="24"/>
        </w:rPr>
        <w:t>第六部分：</w:t>
      </w:r>
      <w:r>
        <w:rPr>
          <w:rFonts w:hint="eastAsia" w:ascii="宋体" w:hAnsi="宋体"/>
          <w:b/>
          <w:bCs/>
          <w:color w:val="000000"/>
          <w:sz w:val="24"/>
          <w:lang w:val="en-US" w:eastAsia="zh-CN"/>
        </w:rPr>
        <w:t>外国语学院</w:t>
      </w:r>
      <w:r>
        <w:rPr>
          <w:rFonts w:hint="eastAsia" w:ascii="宋体" w:hAnsi="宋体"/>
          <w:b/>
          <w:bCs/>
          <w:color w:val="000000"/>
          <w:sz w:val="24"/>
        </w:rPr>
        <w:t>各专业毕业生跟踪调查情况</w:t>
      </w:r>
    </w:p>
    <w:p>
      <w:pPr>
        <w:numPr>
          <w:ilvl w:val="0"/>
          <w:numId w:val="0"/>
        </w:numPr>
        <w:adjustRightInd w:val="0"/>
        <w:snapToGrid w:val="0"/>
        <w:spacing w:line="360" w:lineRule="auto"/>
        <w:ind w:firstLine="480" w:firstLineChars="200"/>
        <w:jc w:val="left"/>
        <w:rPr>
          <w:rFonts w:hint="eastAsia" w:ascii="宋体" w:hAnsi="宋体" w:cs="宋体"/>
          <w:sz w:val="24"/>
          <w:szCs w:val="24"/>
          <w:lang w:val="en-US" w:eastAsia="zh-CN"/>
        </w:rPr>
      </w:pPr>
      <w:r>
        <w:rPr>
          <w:rFonts w:hint="eastAsia" w:ascii="宋体" w:hAnsi="宋体" w:cs="宋体"/>
          <w:b w:val="0"/>
          <w:bCs w:val="0"/>
          <w:color w:val="000000"/>
          <w:kern w:val="0"/>
          <w:sz w:val="24"/>
          <w:szCs w:val="24"/>
          <w:lang w:val="en-US" w:eastAsia="zh-CN" w:bidi="ar"/>
        </w:rPr>
        <w:t>为了及时了解毕业生就业状况，进一步完善和优化我院就业指导工作，与时</w:t>
      </w:r>
      <w:r>
        <w:rPr>
          <w:rFonts w:hint="eastAsia" w:ascii="宋体" w:hAnsi="宋体" w:cs="宋体"/>
          <w:sz w:val="24"/>
          <w:szCs w:val="24"/>
          <w:lang w:val="en-US" w:eastAsia="zh-CN"/>
        </w:rPr>
        <w:t>俱进，推进教育教学改革，2022年我院对英语、德语、日语、朝鲜语四个专业的毕业生和部分用人单位进行了跟踪调查。此次跟踪调查旨在深入了解用人单位对毕业生的评价和建议，找出毕业生存在的问题，为今后更好开展毕业生就业指导工作提供参考意见。</w:t>
      </w:r>
    </w:p>
    <w:p>
      <w:pPr>
        <w:numPr>
          <w:ilvl w:val="0"/>
          <w:numId w:val="0"/>
        </w:numPr>
        <w:adjustRightInd w:val="0"/>
        <w:snapToGrid w:val="0"/>
        <w:spacing w:line="360" w:lineRule="auto"/>
        <w:ind w:firstLine="482" w:firstLineChars="200"/>
        <w:jc w:val="left"/>
        <w:rPr>
          <w:rFonts w:hint="eastAsia" w:ascii="宋体" w:hAnsi="宋体" w:cs="宋体"/>
          <w:b/>
          <w:bCs/>
          <w:sz w:val="24"/>
          <w:szCs w:val="24"/>
          <w:lang w:val="en-US" w:eastAsia="zh-CN"/>
        </w:rPr>
      </w:pPr>
      <w:r>
        <w:rPr>
          <w:rFonts w:hint="eastAsia" w:ascii="宋体" w:hAnsi="宋体" w:cs="宋体"/>
          <w:b/>
          <w:bCs/>
          <w:sz w:val="24"/>
          <w:szCs w:val="24"/>
          <w:lang w:val="en-US" w:eastAsia="zh-CN"/>
        </w:rPr>
        <w:t>一、毕业生就业去向分析</w:t>
      </w:r>
    </w:p>
    <w:p>
      <w:pPr>
        <w:adjustRightInd w:val="0"/>
        <w:snapToGrid w:val="0"/>
        <w:spacing w:line="360" w:lineRule="auto"/>
        <w:ind w:firstLine="480" w:firstLineChars="200"/>
        <w:rPr>
          <w:rFonts w:hint="default" w:ascii="宋体" w:hAnsi="宋体" w:cs="宋体"/>
          <w:sz w:val="24"/>
          <w:szCs w:val="24"/>
          <w:lang w:val="en-US" w:eastAsia="zh-CN"/>
        </w:rPr>
      </w:pPr>
      <w:r>
        <w:rPr>
          <w:rFonts w:hint="eastAsia" w:ascii="宋体" w:hAnsi="宋体" w:cs="宋体"/>
          <w:sz w:val="24"/>
          <w:szCs w:val="24"/>
          <w:lang w:val="en-US" w:eastAsia="zh-CN"/>
        </w:rPr>
        <w:t>2022</w:t>
      </w:r>
      <w:r>
        <w:rPr>
          <w:rFonts w:hint="eastAsia" w:ascii="宋体" w:hAnsi="宋体" w:cs="宋体"/>
          <w:sz w:val="24"/>
          <w:szCs w:val="24"/>
        </w:rPr>
        <w:t>年</w:t>
      </w:r>
      <w:r>
        <w:rPr>
          <w:rFonts w:hint="eastAsia" w:ascii="宋体" w:hAnsi="宋体" w:cs="宋体"/>
          <w:sz w:val="24"/>
          <w:szCs w:val="24"/>
          <w:lang w:eastAsia="zh-CN"/>
        </w:rPr>
        <w:t>度</w:t>
      </w:r>
      <w:r>
        <w:rPr>
          <w:rFonts w:hint="eastAsia" w:ascii="宋体" w:hAnsi="宋体" w:cs="宋体"/>
          <w:sz w:val="24"/>
          <w:szCs w:val="24"/>
        </w:rPr>
        <w:t>我</w:t>
      </w:r>
      <w:r>
        <w:rPr>
          <w:rFonts w:hint="eastAsia" w:ascii="宋体" w:hAnsi="宋体" w:cs="宋体"/>
          <w:sz w:val="24"/>
          <w:szCs w:val="24"/>
          <w:lang w:eastAsia="zh-CN"/>
        </w:rPr>
        <w:t>院本科</w:t>
      </w:r>
      <w:r>
        <w:rPr>
          <w:rFonts w:hint="eastAsia" w:ascii="宋体" w:hAnsi="宋体" w:cs="宋体"/>
          <w:sz w:val="24"/>
          <w:szCs w:val="24"/>
        </w:rPr>
        <w:t>毕业生共</w:t>
      </w:r>
      <w:r>
        <w:rPr>
          <w:rFonts w:hint="eastAsia" w:ascii="宋体" w:hAnsi="宋体" w:cs="宋体"/>
          <w:sz w:val="24"/>
          <w:szCs w:val="24"/>
          <w:lang w:val="en-US" w:eastAsia="zh-CN"/>
        </w:rPr>
        <w:t>184</w:t>
      </w:r>
      <w:r>
        <w:rPr>
          <w:rFonts w:hint="eastAsia" w:ascii="宋体" w:hAnsi="宋体" w:cs="宋体"/>
          <w:sz w:val="24"/>
          <w:szCs w:val="24"/>
          <w:lang w:eastAsia="zh-CN"/>
        </w:rPr>
        <w:t>人，其中</w:t>
      </w:r>
      <w:r>
        <w:rPr>
          <w:rFonts w:hint="eastAsia" w:ascii="宋体" w:hAnsi="宋体" w:cs="宋体"/>
          <w:sz w:val="24"/>
          <w:szCs w:val="24"/>
          <w:lang w:val="en-US" w:eastAsia="zh-CN"/>
        </w:rPr>
        <w:t>包括英语专业本科毕业生62人，德语专业本科毕大学业生27人，日语专业本科毕业生31人，德语2+3专业本科毕业生14人，朝鲜语2+2专业毕业生50人。截至8月31日，本科就业率为93.6448%，其中英语专业就业率92.95%，德语专业就业率100%，日语专业就业率100%，德语2+2专业就业率85.71%，朝鲜语2+2专业就业率为96%。本科生中有13人考取了国内硕士研究生，10人考取国外硕士研究生，总考研率为12.5%,考取的院校有上海外国语大学，北京第二外国语大学，吉林大学，华东政法大学，韩国汉阳大学，德国斯图加特大学等。同时，1人考取公务员，1人考上事业单位，占总数1.09%；1人应征入伍，1人“西部计划”占总数1.09%，就业质量较往年有所提升。</w:t>
      </w:r>
    </w:p>
    <w:p>
      <w:pPr>
        <w:adjustRightInd w:val="0"/>
        <w:snapToGrid w:val="0"/>
        <w:spacing w:line="360" w:lineRule="auto"/>
        <w:ind w:firstLine="482" w:firstLineChars="200"/>
        <w:rPr>
          <w:rFonts w:hint="eastAsia" w:ascii="宋体" w:hAnsi="宋体" w:cs="宋体"/>
          <w:b/>
          <w:bCs/>
          <w:sz w:val="24"/>
          <w:szCs w:val="24"/>
        </w:rPr>
      </w:pPr>
      <w:r>
        <w:rPr>
          <w:rFonts w:hint="eastAsia" w:ascii="宋体" w:hAnsi="宋体" w:cs="宋体"/>
          <w:b/>
          <w:bCs/>
          <w:sz w:val="24"/>
          <w:szCs w:val="24"/>
        </w:rPr>
        <w:t>二、</w:t>
      </w:r>
      <w:r>
        <w:rPr>
          <w:rFonts w:hint="eastAsia" w:ascii="宋体" w:hAnsi="宋体" w:cs="宋体"/>
          <w:b/>
          <w:bCs/>
          <w:sz w:val="24"/>
          <w:szCs w:val="24"/>
          <w:lang w:eastAsia="zh-CN"/>
        </w:rPr>
        <w:t>毕业生就业</w:t>
      </w:r>
      <w:r>
        <w:rPr>
          <w:rFonts w:hint="eastAsia" w:ascii="宋体" w:hAnsi="宋体" w:cs="宋体"/>
          <w:b/>
          <w:bCs/>
          <w:sz w:val="24"/>
          <w:szCs w:val="24"/>
        </w:rPr>
        <w:t>能力分析</w:t>
      </w:r>
    </w:p>
    <w:p>
      <w:pPr>
        <w:adjustRightInd w:val="0"/>
        <w:snapToGrid w:val="0"/>
        <w:spacing w:line="360" w:lineRule="auto"/>
        <w:ind w:firstLine="480" w:firstLineChars="200"/>
        <w:rPr>
          <w:rFonts w:hint="eastAsia" w:ascii="宋体" w:hAnsi="宋体" w:cs="宋体"/>
          <w:sz w:val="24"/>
          <w:szCs w:val="24"/>
        </w:rPr>
      </w:pPr>
      <w:r>
        <w:rPr>
          <w:rFonts w:hint="eastAsia" w:ascii="宋体" w:hAnsi="宋体" w:cs="宋体"/>
          <w:sz w:val="24"/>
          <w:szCs w:val="24"/>
        </w:rPr>
        <w:t>1</w:t>
      </w:r>
      <w:r>
        <w:rPr>
          <w:rFonts w:hint="eastAsia" w:ascii="宋体" w:hAnsi="宋体" w:cs="宋体"/>
          <w:sz w:val="24"/>
          <w:szCs w:val="24"/>
          <w:lang w:val="en-US" w:eastAsia="zh-CN"/>
        </w:rPr>
        <w:t>.</w:t>
      </w:r>
      <w:r>
        <w:rPr>
          <w:rFonts w:hint="eastAsia" w:ascii="宋体" w:hAnsi="宋体" w:cs="宋体"/>
          <w:sz w:val="24"/>
          <w:szCs w:val="24"/>
        </w:rPr>
        <w:t>毕业生及用人单位认可的关键能力</w:t>
      </w:r>
    </w:p>
    <w:p>
      <w:pPr>
        <w:adjustRightInd w:val="0"/>
        <w:snapToGrid w:val="0"/>
        <w:spacing w:line="360" w:lineRule="auto"/>
        <w:ind w:firstLine="480" w:firstLineChars="200"/>
        <w:rPr>
          <w:rFonts w:hint="eastAsia" w:ascii="宋体" w:hAnsi="宋体" w:cs="宋体"/>
          <w:sz w:val="24"/>
          <w:szCs w:val="24"/>
        </w:rPr>
      </w:pPr>
      <w:r>
        <w:rPr>
          <w:rFonts w:hint="eastAsia" w:ascii="宋体" w:hAnsi="宋体" w:cs="宋体"/>
          <w:sz w:val="24"/>
          <w:szCs w:val="24"/>
        </w:rPr>
        <w:t>毕业生认为口语表达能力是外语专业就业所必需的关键能力。需要提高的能力：语言输出能力、输入技能（听、读），大学期间需要取得的证书，如口笔译证书、专业等级证书。此外，良好的人际沟通和协调能力在就业竞争中也十分重要。这一结果与用人单位的反馈情况基本一致。从用人单位角度来看，对毕业生的能力素质的考查中，用人单位最为看重的是专业等级证书及实际的专业水平和能力，同时参考在校成绩及是否取得翻译资格证。因此在用人单位看来排在前两位的必备能力分别是口语表达和分析问题能力。这说明用人单位不但看注毕业生的人际沟能力，更注重分析和独立解决问题的能力。</w:t>
      </w:r>
    </w:p>
    <w:p>
      <w:pPr>
        <w:adjustRightInd w:val="0"/>
        <w:snapToGrid w:val="0"/>
        <w:spacing w:line="360" w:lineRule="auto"/>
        <w:rPr>
          <w:rFonts w:hint="eastAsia" w:ascii="宋体" w:hAnsi="宋体" w:cs="宋体"/>
          <w:sz w:val="24"/>
          <w:szCs w:val="24"/>
        </w:rPr>
      </w:pPr>
      <w:r>
        <w:rPr>
          <w:rFonts w:hint="eastAsia" w:ascii="宋体" w:hAnsi="宋体" w:cs="宋体"/>
          <w:sz w:val="24"/>
          <w:szCs w:val="24"/>
        </w:rPr>
        <w:t xml:space="preserve">    2</w:t>
      </w:r>
      <w:r>
        <w:rPr>
          <w:rFonts w:hint="eastAsia" w:ascii="宋体" w:hAnsi="宋体" w:cs="宋体"/>
          <w:sz w:val="24"/>
          <w:szCs w:val="24"/>
          <w:lang w:val="en-US" w:eastAsia="zh-CN"/>
        </w:rPr>
        <w:t>.</w:t>
      </w:r>
      <w:r>
        <w:rPr>
          <w:rFonts w:hint="eastAsia" w:ascii="宋体" w:hAnsi="宋体" w:cs="宋体"/>
          <w:sz w:val="24"/>
          <w:szCs w:val="24"/>
        </w:rPr>
        <w:t>各不同岗位对能力素质的要求</w:t>
      </w:r>
    </w:p>
    <w:p>
      <w:pPr>
        <w:adjustRightInd w:val="0"/>
        <w:snapToGrid w:val="0"/>
        <w:spacing w:line="360" w:lineRule="auto"/>
        <w:ind w:firstLine="480" w:firstLineChars="200"/>
        <w:rPr>
          <w:rFonts w:hint="eastAsia" w:ascii="宋体" w:hAnsi="宋体" w:cs="宋体"/>
          <w:sz w:val="24"/>
          <w:szCs w:val="24"/>
        </w:rPr>
      </w:pPr>
      <w:r>
        <w:rPr>
          <w:rFonts w:hint="eastAsia" w:ascii="宋体" w:hAnsi="宋体" w:cs="宋体"/>
          <w:sz w:val="24"/>
          <w:szCs w:val="24"/>
        </w:rPr>
        <w:t>从用人单位了解来看，外贸及其他公司企业最关注的前三项能力分别是：口语表达能力，人际沟通能力和分析问题的能力。对于在各级学校中从事教学工作的教师而言，书面表达，沟通能力和分析问题的能力尤其重要。在政府部分工作的公务员对外语各项基本技能（说，读，写，译）的要求基本均衡。翻译旅游公司则对口语表达和口译能力有较高要求，同时沟通能力和分析问题能力也不可忽视。</w:t>
      </w:r>
    </w:p>
    <w:p>
      <w:pPr>
        <w:adjustRightInd w:val="0"/>
        <w:snapToGrid w:val="0"/>
        <w:spacing w:line="360" w:lineRule="auto"/>
        <w:ind w:firstLine="480" w:firstLineChars="200"/>
        <w:rPr>
          <w:rFonts w:hint="eastAsia" w:ascii="宋体" w:hAnsi="宋体" w:cs="宋体"/>
          <w:sz w:val="24"/>
          <w:szCs w:val="24"/>
        </w:rPr>
      </w:pPr>
      <w:r>
        <w:rPr>
          <w:rFonts w:hint="eastAsia" w:ascii="宋体" w:hAnsi="宋体" w:cs="宋体"/>
          <w:sz w:val="24"/>
          <w:szCs w:val="24"/>
        </w:rPr>
        <w:t>3</w:t>
      </w:r>
      <w:r>
        <w:rPr>
          <w:rFonts w:hint="eastAsia" w:ascii="宋体" w:hAnsi="宋体" w:cs="宋体"/>
          <w:sz w:val="24"/>
          <w:szCs w:val="24"/>
          <w:lang w:eastAsia="zh-CN"/>
        </w:rPr>
        <w:t>.</w:t>
      </w:r>
      <w:r>
        <w:rPr>
          <w:rFonts w:hint="eastAsia" w:ascii="宋体" w:hAnsi="宋体" w:cs="宋体"/>
          <w:sz w:val="24"/>
          <w:szCs w:val="24"/>
        </w:rPr>
        <w:t>用人单位对我院英语专业毕业各能力素质评价</w:t>
      </w:r>
    </w:p>
    <w:p>
      <w:pPr>
        <w:adjustRightInd w:val="0"/>
        <w:snapToGrid w:val="0"/>
        <w:spacing w:line="360" w:lineRule="auto"/>
        <w:ind w:firstLine="480" w:firstLineChars="200"/>
        <w:rPr>
          <w:rFonts w:hint="eastAsia" w:ascii="宋体" w:hAnsi="宋体" w:cs="宋体"/>
          <w:sz w:val="24"/>
          <w:szCs w:val="24"/>
        </w:rPr>
      </w:pPr>
      <w:r>
        <w:rPr>
          <w:rFonts w:hint="eastAsia" w:ascii="宋体" w:hAnsi="宋体" w:cs="宋体"/>
          <w:sz w:val="24"/>
          <w:szCs w:val="24"/>
        </w:rPr>
        <w:t>用人单位认为我院毕业生的阅读能力，沟通能力以及书面表达能力一般，口语表达，翻译能力需要提高，分析问题能力，文学及文化素养，有较大的提升空间。用人单位对各性质的公司企业、学校及政府机构的毕业生的满意度基本一致。对于在翻译、旅游公司就业的毕业生满意度稍低。</w:t>
      </w:r>
    </w:p>
    <w:p>
      <w:pPr>
        <w:numPr>
          <w:ilvl w:val="0"/>
          <w:numId w:val="0"/>
        </w:numPr>
        <w:adjustRightInd w:val="0"/>
        <w:snapToGrid w:val="0"/>
        <w:spacing w:line="360" w:lineRule="auto"/>
        <w:ind w:leftChars="200"/>
        <w:rPr>
          <w:rFonts w:hint="eastAsia" w:ascii="宋体" w:hAnsi="宋体" w:cs="宋体"/>
          <w:sz w:val="24"/>
          <w:szCs w:val="24"/>
          <w:lang w:val="en-US" w:eastAsia="zh-CN"/>
        </w:rPr>
      </w:pPr>
      <w:r>
        <w:rPr>
          <w:rFonts w:hint="eastAsia" w:ascii="宋体" w:hAnsi="宋体" w:cs="宋体"/>
          <w:sz w:val="24"/>
          <w:szCs w:val="24"/>
          <w:lang w:val="en-US" w:eastAsia="zh-CN"/>
        </w:rPr>
        <w:t>4.毕业生对于学校工作的评价和建议</w:t>
      </w:r>
    </w:p>
    <w:p>
      <w:pPr>
        <w:numPr>
          <w:ilvl w:val="0"/>
          <w:numId w:val="0"/>
        </w:numPr>
        <w:adjustRightInd w:val="0"/>
        <w:snapToGrid w:val="0"/>
        <w:spacing w:line="360" w:lineRule="auto"/>
        <w:ind w:leftChars="200"/>
        <w:jc w:val="left"/>
        <w:rPr>
          <w:rFonts w:hint="eastAsia" w:ascii="宋体" w:hAnsi="宋体" w:cs="宋体"/>
          <w:sz w:val="24"/>
          <w:szCs w:val="24"/>
          <w:lang w:val="en-US" w:eastAsia="zh-CN"/>
        </w:rPr>
      </w:pPr>
      <w:r>
        <w:rPr>
          <w:rFonts w:hint="eastAsia" w:ascii="宋体" w:hAnsi="宋体" w:cs="宋体"/>
          <w:sz w:val="24"/>
          <w:szCs w:val="24"/>
          <w:lang w:val="en-US" w:eastAsia="zh-CN"/>
        </w:rPr>
        <w:t>在对毕业生的调查中发现，毕业生对于母校的教育教学工作及就业工作总体</w:t>
      </w:r>
    </w:p>
    <w:p>
      <w:pPr>
        <w:numPr>
          <w:ilvl w:val="0"/>
          <w:numId w:val="0"/>
        </w:numPr>
        <w:adjustRightInd w:val="0"/>
        <w:snapToGrid w:val="0"/>
        <w:spacing w:line="360" w:lineRule="auto"/>
        <w:jc w:val="left"/>
        <w:rPr>
          <w:rFonts w:hint="default" w:ascii="宋体" w:hAnsi="宋体" w:cs="宋体"/>
          <w:sz w:val="24"/>
          <w:szCs w:val="24"/>
          <w:lang w:val="en-US" w:eastAsia="zh-CN"/>
        </w:rPr>
      </w:pPr>
      <w:r>
        <w:rPr>
          <w:rFonts w:hint="eastAsia" w:ascii="宋体" w:hAnsi="宋体" w:cs="宋体"/>
          <w:sz w:val="24"/>
          <w:szCs w:val="24"/>
          <w:lang w:val="en-US" w:eastAsia="zh-CN"/>
        </w:rPr>
        <w:t>是满意的。一是认为母校注重专业知识教学和各类课外科技活动、实践活动，其中专业知识教学对于未来求职有着至关重要作用。二是认为大学期间学校对于学生思考、分析、解决问题等综合能力的培养对于学生未来的职场发展有重要意义。三是毕业生对学院专业设置和课程设置还是普遍认可的，有少数同学建议课程安排上应尽量前移，大四上学期少或者不安排课程，给考研、考公同学腾出更多时间备考。</w:t>
      </w:r>
    </w:p>
    <w:p>
      <w:pPr>
        <w:spacing w:line="360" w:lineRule="auto"/>
        <w:ind w:firstLine="482" w:firstLineChars="200"/>
        <w:rPr>
          <w:rFonts w:hint="eastAsia" w:ascii="宋体" w:hAnsi="宋体" w:eastAsia="宋体"/>
          <w:b/>
          <w:bCs/>
          <w:sz w:val="24"/>
          <w:szCs w:val="24"/>
          <w:lang w:eastAsia="zh-CN"/>
        </w:rPr>
      </w:pPr>
      <w:r>
        <w:rPr>
          <w:rFonts w:hint="eastAsia" w:ascii="宋体" w:hAnsi="宋体"/>
          <w:b/>
          <w:bCs/>
          <w:sz w:val="24"/>
          <w:szCs w:val="24"/>
        </w:rPr>
        <w:t>三</w:t>
      </w:r>
      <w:r>
        <w:rPr>
          <w:rFonts w:ascii="宋体" w:hAnsi="宋体"/>
          <w:b/>
          <w:bCs/>
          <w:sz w:val="24"/>
          <w:szCs w:val="24"/>
        </w:rPr>
        <w:t>、</w:t>
      </w:r>
      <w:r>
        <w:rPr>
          <w:rFonts w:hint="eastAsia" w:ascii="宋体" w:hAnsi="宋体"/>
          <w:b/>
          <w:bCs/>
          <w:sz w:val="24"/>
          <w:szCs w:val="24"/>
          <w:lang w:eastAsia="zh-CN"/>
        </w:rPr>
        <w:t>下一步举措</w:t>
      </w:r>
    </w:p>
    <w:p>
      <w:pPr>
        <w:spacing w:line="360" w:lineRule="auto"/>
        <w:ind w:firstLine="480" w:firstLineChars="200"/>
        <w:rPr>
          <w:rFonts w:hint="eastAsia" w:ascii="宋体" w:hAnsi="宋体"/>
          <w:sz w:val="24"/>
          <w:szCs w:val="24"/>
          <w:lang w:eastAsia="zh-CN"/>
        </w:rPr>
      </w:pPr>
      <w:r>
        <w:rPr>
          <w:rFonts w:hint="eastAsia" w:ascii="宋体" w:hAnsi="宋体"/>
          <w:sz w:val="24"/>
          <w:szCs w:val="24"/>
          <w:lang w:eastAsia="zh-CN"/>
        </w:rPr>
        <w:t>针对毕业生追踪调查的结果，结合用人单位和毕业生反馈的意见和建议，对于未来外语专业人才培养和毕业生就业提出以下解决措施。</w:t>
      </w:r>
    </w:p>
    <w:p>
      <w:pPr>
        <w:spacing w:line="360" w:lineRule="auto"/>
        <w:ind w:firstLine="480" w:firstLineChars="200"/>
        <w:rPr>
          <w:rFonts w:ascii="宋体" w:hAnsi="宋体"/>
          <w:sz w:val="24"/>
          <w:szCs w:val="24"/>
        </w:rPr>
      </w:pPr>
      <w:r>
        <w:rPr>
          <w:rFonts w:ascii="宋体" w:hAnsi="宋体"/>
          <w:sz w:val="24"/>
          <w:szCs w:val="24"/>
        </w:rPr>
        <w:t xml:space="preserve">首先，学生应积极主动提高自身的综合素质。在学好本专业的同时，要尽可能使自己拥有更多能力，比如团队合作能力、其他外语能力、软件操作能力等等。特别要提高自己自主性学习的能力，在学习知识的过程中能独立思考，对自己学习的内容有所取舍，并有一个比较明确的取舍标准。要尽早明确自己的目标，有职业规划。有目标才能有的放矢，了解达到自己的目标需要哪些能力，自己有哪些优缺点，为了实现目标需要做什么。不仅需要长期的目标，还要有短期的计划，并有条不紊地实施下去。 </w:t>
      </w:r>
    </w:p>
    <w:p>
      <w:pPr>
        <w:spacing w:line="360" w:lineRule="auto"/>
        <w:ind w:firstLine="480" w:firstLineChars="200"/>
        <w:rPr>
          <w:rFonts w:ascii="宋体" w:hAnsi="宋体"/>
          <w:sz w:val="24"/>
          <w:szCs w:val="24"/>
        </w:rPr>
      </w:pPr>
      <w:r>
        <w:rPr>
          <w:rFonts w:ascii="宋体" w:hAnsi="宋体"/>
          <w:sz w:val="24"/>
          <w:szCs w:val="24"/>
        </w:rPr>
        <w:t>其次，</w:t>
      </w:r>
      <w:r>
        <w:rPr>
          <w:rFonts w:hint="eastAsia" w:ascii="宋体" w:hAnsi="宋体"/>
          <w:sz w:val="24"/>
          <w:szCs w:val="24"/>
          <w:lang w:eastAsia="zh-CN"/>
        </w:rPr>
        <w:t>学院要</w:t>
      </w:r>
      <w:r>
        <w:rPr>
          <w:rFonts w:ascii="宋体" w:hAnsi="宋体"/>
          <w:sz w:val="24"/>
          <w:szCs w:val="24"/>
        </w:rPr>
        <w:t xml:space="preserve">结合当前人才市场的需求，及时调整教学模式。应注重口语教学，给学生制造更多的机会“开口说话”。在教学方面也应使学生更深入全面地了解所学语言国家的历史背景、文化、风俗等；要注重培养学生的自主创新能力，以培养学生的自我研究能力以及丰富的创造力；要增加国际性教育，通过讲座等方式，开阔学生的眼界。同时应充分利用学校的信息网络及校友的人脉资源，能够及时有效地将社会招聘信息传递给毕业生，帮助大学生了解就业环境；借助讲座、座谈、模拟、案例、演示等手段帮助学生了解职业市场要求，改进他们展示专业水平的能力。 </w:t>
      </w:r>
    </w:p>
    <w:p>
      <w:pPr>
        <w:spacing w:line="360" w:lineRule="auto"/>
        <w:ind w:firstLine="480" w:firstLineChars="200"/>
        <w:rPr>
          <w:rFonts w:hint="eastAsia" w:ascii="宋体" w:hAnsi="宋体"/>
          <w:sz w:val="24"/>
          <w:szCs w:val="24"/>
        </w:rPr>
      </w:pPr>
      <w:r>
        <w:rPr>
          <w:rFonts w:ascii="宋体" w:hAnsi="宋体"/>
          <w:sz w:val="24"/>
          <w:szCs w:val="24"/>
        </w:rPr>
        <w:t>据了解，目前就业市场对工具型外语类人才的需求已明显下降。而具有扎实语言功底的同时具备金融、法律、计算机、通信、商贸等知识背景的外语类毕业生却备受企业青睐。因此，即使是翻译人才也要求具备相关领域的特定知识。社会对“外语＋专业”复合型人才的需求，直接推动了高校外语类人才培养模式的改革，并依托自身教学资源纷纷进行了各具特色的探索。作为一个外语专业的学生，不仅要学好专业语言知识，更要积极探索其他专业领域，努力使自己成为复合型人才，增强自己的就业竞争力。</w:t>
      </w:r>
    </w:p>
    <w:p>
      <w:pPr>
        <w:adjustRightInd w:val="0"/>
        <w:snapToGrid w:val="0"/>
        <w:spacing w:line="360" w:lineRule="auto"/>
        <w:ind w:left="420" w:leftChars="200"/>
        <w:rPr>
          <w:rFonts w:hint="eastAsia" w:ascii="宋体" w:hAnsi="宋体" w:eastAsia="宋体" w:cs="Times New Roman"/>
          <w:b/>
          <w:bCs/>
          <w:color w:val="000000"/>
          <w:sz w:val="24"/>
        </w:rPr>
      </w:pPr>
      <w:r>
        <w:rPr>
          <w:rFonts w:hint="eastAsia" w:ascii="宋体" w:hAnsi="宋体" w:eastAsia="宋体" w:cs="Times New Roman"/>
          <w:b/>
          <w:bCs/>
          <w:color w:val="000000"/>
          <w:sz w:val="24"/>
        </w:rPr>
        <w:t>第七部分</w:t>
      </w:r>
      <w:r>
        <w:rPr>
          <w:rFonts w:hint="eastAsia" w:ascii="宋体" w:hAnsi="宋体" w:eastAsia="宋体" w:cs="Times New Roman"/>
          <w:b/>
          <w:bCs/>
          <w:color w:val="000000"/>
          <w:sz w:val="24"/>
          <w:lang w:eastAsia="zh-CN"/>
        </w:rPr>
        <w:t>：</w:t>
      </w:r>
      <w:r>
        <w:rPr>
          <w:rFonts w:hint="eastAsia" w:ascii="宋体" w:hAnsi="宋体" w:eastAsia="宋体" w:cs="Times New Roman"/>
          <w:b/>
          <w:bCs/>
          <w:color w:val="000000"/>
          <w:sz w:val="24"/>
          <w:lang w:val="en-US" w:eastAsia="zh-CN"/>
        </w:rPr>
        <w:t>外国语学院</w:t>
      </w:r>
      <w:r>
        <w:rPr>
          <w:rFonts w:hint="eastAsia" w:ascii="宋体" w:hAnsi="宋体" w:eastAsia="宋体" w:cs="Times New Roman"/>
          <w:b/>
          <w:bCs/>
          <w:color w:val="000000"/>
          <w:sz w:val="24"/>
        </w:rPr>
        <w:t>基层就业情况</w:t>
      </w:r>
    </w:p>
    <w:p>
      <w:pPr>
        <w:adjustRightInd w:val="0"/>
        <w:snapToGrid w:val="0"/>
        <w:spacing w:line="360" w:lineRule="auto"/>
        <w:ind w:firstLine="480" w:firstLineChars="200"/>
        <w:rPr>
          <w:rFonts w:hint="eastAsia" w:ascii="宋体" w:hAnsi="宋体" w:eastAsia="宋体" w:cs="宋体"/>
          <w:sz w:val="24"/>
          <w:szCs w:val="24"/>
          <w:lang w:eastAsia="zh-CN"/>
        </w:rPr>
      </w:pPr>
      <w:r>
        <w:rPr>
          <w:rFonts w:hint="eastAsia" w:ascii="宋体" w:hAnsi="宋体" w:cs="宋体"/>
          <w:sz w:val="24"/>
          <w:szCs w:val="24"/>
          <w:lang w:val="en-US" w:eastAsia="zh-CN"/>
        </w:rPr>
        <w:t>外国语学院一直以来致力于</w:t>
      </w:r>
      <w:r>
        <w:rPr>
          <w:rFonts w:hint="eastAsia" w:ascii="宋体" w:hAnsi="宋体" w:cs="宋体"/>
          <w:sz w:val="24"/>
          <w:szCs w:val="24"/>
        </w:rPr>
        <w:t>帮助大学生树立正确的就业观念，引导大学生到基层、到祖国最需要的地方建功立业</w:t>
      </w:r>
      <w:r>
        <w:rPr>
          <w:rFonts w:hint="eastAsia" w:ascii="宋体" w:hAnsi="宋体" w:cs="宋体"/>
          <w:sz w:val="24"/>
          <w:szCs w:val="24"/>
          <w:lang w:eastAsia="zh-CN"/>
        </w:rPr>
        <w:t>，</w:t>
      </w:r>
      <w:r>
        <w:rPr>
          <w:rFonts w:hint="eastAsia" w:ascii="宋体" w:hAnsi="宋体" w:cs="宋体"/>
          <w:sz w:val="24"/>
          <w:szCs w:val="24"/>
          <w:lang w:val="en-US" w:eastAsia="zh-CN"/>
        </w:rPr>
        <w:t>鼓励大学毕业参加“西部计划”、应征入伍等</w:t>
      </w:r>
      <w:r>
        <w:rPr>
          <w:rFonts w:hint="eastAsia" w:ascii="宋体" w:hAnsi="宋体" w:cs="宋体"/>
          <w:sz w:val="24"/>
          <w:szCs w:val="24"/>
          <w:lang w:eastAsia="zh-CN"/>
        </w:rPr>
        <w:t>。</w:t>
      </w:r>
      <w:r>
        <w:rPr>
          <w:rFonts w:hint="eastAsia" w:ascii="宋体" w:hAnsi="宋体" w:cs="宋体"/>
          <w:sz w:val="24"/>
          <w:szCs w:val="24"/>
        </w:rPr>
        <w:t>根据国家和学院的要求，结合我院的实际情况，</w:t>
      </w:r>
      <w:r>
        <w:rPr>
          <w:rFonts w:hint="eastAsia" w:ascii="宋体" w:hAnsi="宋体" w:cs="宋体"/>
          <w:sz w:val="24"/>
          <w:szCs w:val="24"/>
          <w:lang w:eastAsia="zh-CN"/>
        </w:rPr>
        <w:t>外国语学院制定</w:t>
      </w:r>
      <w:r>
        <w:rPr>
          <w:rFonts w:hint="eastAsia" w:ascii="宋体" w:hAnsi="宋体" w:cs="宋体"/>
          <w:sz w:val="24"/>
          <w:szCs w:val="24"/>
        </w:rPr>
        <w:t>加强引导和鼓励毕业生到基层就业的工作方案</w:t>
      </w:r>
      <w:r>
        <w:rPr>
          <w:rFonts w:hint="eastAsia" w:ascii="宋体" w:hAnsi="宋体" w:cs="宋体"/>
          <w:sz w:val="24"/>
          <w:szCs w:val="24"/>
          <w:lang w:eastAsia="zh-CN"/>
        </w:rPr>
        <w:t>。</w:t>
      </w:r>
    </w:p>
    <w:p>
      <w:pPr>
        <w:adjustRightInd w:val="0"/>
        <w:snapToGrid w:val="0"/>
        <w:spacing w:line="360" w:lineRule="auto"/>
        <w:ind w:firstLine="482" w:firstLineChars="200"/>
        <w:rPr>
          <w:rFonts w:hint="eastAsia" w:ascii="宋体" w:hAnsi="宋体" w:cs="宋体"/>
          <w:b/>
          <w:bCs/>
          <w:sz w:val="24"/>
          <w:szCs w:val="24"/>
        </w:rPr>
      </w:pPr>
      <w:r>
        <w:rPr>
          <w:rFonts w:hint="eastAsia" w:ascii="宋体" w:hAnsi="宋体" w:cs="宋体"/>
          <w:b/>
          <w:bCs/>
          <w:sz w:val="24"/>
          <w:szCs w:val="24"/>
        </w:rPr>
        <w:t>一、加强领导，构建毕业生基层就业的组织机构</w:t>
      </w:r>
    </w:p>
    <w:p>
      <w:pPr>
        <w:adjustRightInd w:val="0"/>
        <w:snapToGrid w:val="0"/>
        <w:spacing w:line="360" w:lineRule="auto"/>
        <w:ind w:firstLine="480" w:firstLineChars="200"/>
        <w:rPr>
          <w:rFonts w:hint="eastAsia" w:ascii="宋体" w:hAnsi="宋体" w:cs="宋体"/>
          <w:sz w:val="24"/>
          <w:szCs w:val="24"/>
        </w:rPr>
      </w:pPr>
      <w:r>
        <w:rPr>
          <w:rFonts w:hint="eastAsia" w:ascii="宋体" w:hAnsi="宋体" w:cs="宋体"/>
          <w:sz w:val="24"/>
          <w:szCs w:val="24"/>
          <w:lang w:eastAsia="zh-CN"/>
        </w:rPr>
        <w:t>学院</w:t>
      </w:r>
      <w:r>
        <w:rPr>
          <w:rFonts w:hint="eastAsia" w:ascii="宋体" w:hAnsi="宋体" w:cs="宋体"/>
          <w:sz w:val="24"/>
          <w:szCs w:val="24"/>
        </w:rPr>
        <w:t>领导高度重视毕业生基层就业工作，形成以院书记和系主任为核心的组织机构，充分发挥辅导员、专业教师和班主任的作用，构建促进毕业生基层就业的网络组织，动员各方力量，将毕业生到基层就业的政策引导和社会人才需求相结合，有针对性地开展好各项活动，宣传活动有计划、有总结，不断提升毕业生基层就业能力，组织开展好各类基层就业项目的具体实施工作。 </w:t>
      </w:r>
    </w:p>
    <w:p>
      <w:pPr>
        <w:adjustRightInd w:val="0"/>
        <w:snapToGrid w:val="0"/>
        <w:spacing w:line="360" w:lineRule="auto"/>
        <w:ind w:firstLine="482" w:firstLineChars="200"/>
        <w:rPr>
          <w:rFonts w:hint="eastAsia" w:ascii="宋体" w:hAnsi="宋体" w:cs="宋体"/>
          <w:b/>
          <w:bCs/>
          <w:sz w:val="24"/>
          <w:szCs w:val="24"/>
        </w:rPr>
      </w:pPr>
      <w:r>
        <w:rPr>
          <w:rFonts w:hint="eastAsia" w:ascii="宋体" w:hAnsi="宋体" w:cs="宋体"/>
          <w:b/>
          <w:bCs/>
          <w:sz w:val="24"/>
          <w:szCs w:val="24"/>
        </w:rPr>
        <w:t>二、加强毕业生教育，积极引导毕业生转变就业观念</w:t>
      </w:r>
    </w:p>
    <w:p>
      <w:pPr>
        <w:adjustRightInd w:val="0"/>
        <w:snapToGrid w:val="0"/>
        <w:spacing w:line="360" w:lineRule="auto"/>
        <w:ind w:firstLine="480" w:firstLineChars="200"/>
        <w:rPr>
          <w:rFonts w:hint="eastAsia" w:ascii="宋体" w:hAnsi="宋体" w:cs="宋体"/>
          <w:b/>
          <w:bCs/>
          <w:sz w:val="24"/>
          <w:szCs w:val="24"/>
        </w:rPr>
      </w:pPr>
      <w:r>
        <w:rPr>
          <w:rFonts w:hint="eastAsia" w:ascii="宋体" w:hAnsi="宋体" w:cs="宋体"/>
          <w:sz w:val="24"/>
          <w:szCs w:val="24"/>
        </w:rPr>
        <w:t>我院</w:t>
      </w:r>
      <w:r>
        <w:rPr>
          <w:rFonts w:hint="eastAsia" w:ascii="宋体" w:hAnsi="宋体" w:cs="宋体"/>
          <w:sz w:val="24"/>
          <w:szCs w:val="24"/>
          <w:lang w:eastAsia="zh-CN"/>
        </w:rPr>
        <w:t>认真</w:t>
      </w:r>
      <w:r>
        <w:rPr>
          <w:rFonts w:hint="eastAsia" w:ascii="宋体" w:hAnsi="宋体" w:cs="宋体"/>
          <w:sz w:val="24"/>
          <w:szCs w:val="24"/>
        </w:rPr>
        <w:t>宣传到基层就业的政策，认真贯彻落实有关政策性文件精神，教育引导学生树立正确的择业观。通过动员报告、树立典型、弘扬先进等形式，营造到基层工作光荣、到基层工作可敬的良好氛围。逐步引导广大毕业生、家长及全社会更新就业观念，营造有益于大学生到基层就业的舆论氛围和社会环境，切实把时代的召唤和国家的要求转变为广大学生的自觉行动。</w:t>
      </w:r>
    </w:p>
    <w:p>
      <w:pPr>
        <w:adjustRightInd w:val="0"/>
        <w:snapToGrid w:val="0"/>
        <w:spacing w:line="360" w:lineRule="auto"/>
        <w:ind w:firstLine="482" w:firstLineChars="200"/>
        <w:rPr>
          <w:rFonts w:hint="eastAsia" w:ascii="宋体" w:hAnsi="宋体" w:cs="宋体"/>
          <w:b/>
          <w:bCs/>
          <w:sz w:val="24"/>
          <w:szCs w:val="24"/>
        </w:rPr>
      </w:pPr>
      <w:r>
        <w:rPr>
          <w:rFonts w:hint="eastAsia" w:ascii="宋体" w:hAnsi="宋体" w:cs="宋体"/>
          <w:b/>
          <w:bCs/>
          <w:sz w:val="24"/>
          <w:szCs w:val="24"/>
        </w:rPr>
        <w:t>三、加大对先进典型的宣传力度，唱响毕业生到基层就业的主旋律</w:t>
      </w:r>
    </w:p>
    <w:p>
      <w:pPr>
        <w:adjustRightInd w:val="0"/>
        <w:snapToGrid w:val="0"/>
        <w:spacing w:line="360" w:lineRule="auto"/>
        <w:ind w:firstLine="480" w:firstLineChars="200"/>
        <w:rPr>
          <w:rFonts w:hint="eastAsia" w:ascii="宋体" w:hAnsi="宋体"/>
          <w:sz w:val="24"/>
          <w:szCs w:val="24"/>
        </w:rPr>
      </w:pPr>
      <w:r>
        <w:rPr>
          <w:rFonts w:hint="eastAsia" w:ascii="宋体" w:hAnsi="宋体"/>
          <w:sz w:val="24"/>
          <w:szCs w:val="24"/>
        </w:rPr>
        <w:t>我院充分利用</w:t>
      </w:r>
      <w:r>
        <w:rPr>
          <w:rFonts w:hint="eastAsia" w:ascii="宋体" w:hAnsi="宋体"/>
          <w:sz w:val="24"/>
          <w:szCs w:val="24"/>
          <w:lang w:eastAsia="zh-CN"/>
        </w:rPr>
        <w:t>学院</w:t>
      </w:r>
      <w:r>
        <w:rPr>
          <w:rFonts w:hint="eastAsia" w:ascii="宋体" w:hAnsi="宋体"/>
          <w:sz w:val="24"/>
          <w:szCs w:val="24"/>
        </w:rPr>
        <w:t>网站、广播、公告栏、宣传橱窗推动实施“基层就业教育工程”，在学生中深入开展以基层就业为主题的毕业生就业教育专题活动；及时更新教材内容，在就业指导课程中融入基层就业工作相关专题，向学生介绍大学生志愿服务西部计划、“三支一扶”计划、教师特设岗位计划、选聘高校毕业生到村任职政策等，了解国家政策及基层单位实际状况，对高校优秀毕业生的迫切需求等，加强学生对基层的了解；邀请在基层工作的优秀老校友回校举办“励志讲坛”，激励学生树立到西部及基层就业的决心。</w:t>
      </w:r>
    </w:p>
    <w:p>
      <w:pPr>
        <w:adjustRightInd w:val="0"/>
        <w:snapToGrid w:val="0"/>
        <w:spacing w:line="360" w:lineRule="auto"/>
        <w:ind w:firstLine="480" w:firstLineChars="200"/>
        <w:rPr>
          <w:rFonts w:hint="eastAsia" w:ascii="宋体" w:hAnsi="宋体"/>
          <w:color w:val="000000"/>
          <w:sz w:val="24"/>
          <w:lang w:val="en-US" w:eastAsia="zh-CN"/>
        </w:rPr>
      </w:pPr>
      <w:r>
        <w:rPr>
          <w:rFonts w:hint="eastAsia" w:ascii="宋体" w:hAnsi="宋体"/>
          <w:sz w:val="24"/>
          <w:szCs w:val="24"/>
          <w:lang w:val="en-US" w:eastAsia="zh-CN"/>
        </w:rPr>
        <w:t>2022年外国语学院共考取1名公务员，1名考取事业单位。</w:t>
      </w:r>
      <w:r>
        <w:rPr>
          <w:rFonts w:hint="eastAsia" w:ascii="宋体" w:hAnsi="宋体" w:eastAsia="宋体" w:cs="宋体"/>
          <w:sz w:val="24"/>
          <w:szCs w:val="24"/>
          <w:lang w:val="en-US" w:eastAsia="zh-CN"/>
        </w:rPr>
        <w:t>18朝鲜语（2+2）周琪同学考上北京海关公务员，18日语许慧同学考上海市体育局事业单位，18英语（2）陶小龙参加新疆阿拉尔的西部计划，</w:t>
      </w:r>
      <w:r>
        <w:rPr>
          <w:rFonts w:hint="eastAsia" w:ascii="宋体" w:hAnsi="宋体"/>
          <w:color w:val="000000"/>
          <w:sz w:val="24"/>
          <w:lang w:val="en-US" w:eastAsia="zh-CN"/>
        </w:rPr>
        <w:t>18英语（2）班武昱龙同学体检、政审双合格，从户籍所在地应征入伍。</w:t>
      </w:r>
    </w:p>
    <w:p>
      <w:pPr>
        <w:adjustRightInd w:val="0"/>
        <w:snapToGrid w:val="0"/>
        <w:spacing w:line="360" w:lineRule="auto"/>
        <w:ind w:firstLine="482" w:firstLineChars="200"/>
        <w:rPr>
          <w:rFonts w:hint="eastAsia" w:ascii="宋体" w:hAnsi="宋体" w:cs="宋体"/>
          <w:b/>
          <w:bCs/>
          <w:color w:val="000000"/>
          <w:kern w:val="0"/>
          <w:sz w:val="24"/>
          <w:szCs w:val="24"/>
          <w:highlight w:val="none"/>
          <w:lang w:bidi="ar"/>
        </w:rPr>
      </w:pPr>
      <w:r>
        <w:rPr>
          <w:rFonts w:hint="eastAsia" w:ascii="宋体" w:hAnsi="宋体" w:cs="宋体"/>
          <w:b/>
          <w:bCs/>
          <w:color w:val="000000"/>
          <w:kern w:val="0"/>
          <w:sz w:val="24"/>
          <w:szCs w:val="24"/>
          <w:highlight w:val="none"/>
          <w:lang w:bidi="ar"/>
        </w:rPr>
        <w:t>第八部分</w:t>
      </w:r>
      <w:r>
        <w:rPr>
          <w:rFonts w:hint="eastAsia" w:ascii="宋体" w:hAnsi="宋体" w:cs="宋体"/>
          <w:b/>
          <w:bCs/>
          <w:color w:val="000000"/>
          <w:kern w:val="0"/>
          <w:sz w:val="24"/>
          <w:szCs w:val="24"/>
          <w:highlight w:val="none"/>
          <w:lang w:eastAsia="zh-CN" w:bidi="ar"/>
        </w:rPr>
        <w:t>：</w:t>
      </w:r>
      <w:r>
        <w:rPr>
          <w:rFonts w:hint="eastAsia" w:ascii="宋体" w:hAnsi="宋体" w:cs="宋体"/>
          <w:b/>
          <w:bCs/>
          <w:color w:val="000000"/>
          <w:kern w:val="0"/>
          <w:sz w:val="24"/>
          <w:szCs w:val="24"/>
          <w:highlight w:val="none"/>
          <w:lang w:val="en-US" w:eastAsia="zh-CN" w:bidi="ar"/>
        </w:rPr>
        <w:t>外国语学院</w:t>
      </w:r>
      <w:r>
        <w:rPr>
          <w:rFonts w:hint="eastAsia" w:ascii="宋体" w:hAnsi="宋体" w:cs="宋体"/>
          <w:b/>
          <w:bCs/>
          <w:color w:val="000000"/>
          <w:kern w:val="0"/>
          <w:sz w:val="24"/>
          <w:szCs w:val="24"/>
          <w:highlight w:val="none"/>
          <w:lang w:bidi="ar"/>
        </w:rPr>
        <w:t>创业情况及典型案例</w:t>
      </w:r>
    </w:p>
    <w:p>
      <w:pPr>
        <w:adjustRightInd w:val="0"/>
        <w:snapToGrid w:val="0"/>
        <w:spacing w:line="360" w:lineRule="auto"/>
        <w:ind w:firstLine="480" w:firstLineChars="200"/>
        <w:rPr>
          <w:rFonts w:hint="eastAsia" w:ascii="宋体" w:hAnsi="宋体"/>
          <w:sz w:val="24"/>
          <w:szCs w:val="24"/>
          <w:lang w:eastAsia="zh-CN"/>
        </w:rPr>
      </w:pPr>
      <w:r>
        <w:rPr>
          <w:rFonts w:hint="eastAsia" w:ascii="宋体" w:hAnsi="宋体"/>
          <w:sz w:val="24"/>
          <w:szCs w:val="24"/>
        </w:rPr>
        <w:t>创业是创业者对自己拥有的资源或通过努力对能够拥有的资源进行优化整合，从而创造出更大经济或社会价值的过程。在当前大众创业、万众创新的背景下，</w:t>
      </w:r>
      <w:r>
        <w:rPr>
          <w:rFonts w:ascii="宋体" w:hAnsi="宋体"/>
          <w:sz w:val="24"/>
          <w:szCs w:val="24"/>
        </w:rPr>
        <w:t>为鼓励</w:t>
      </w:r>
      <w:r>
        <w:rPr>
          <w:rFonts w:hint="eastAsia" w:ascii="宋体" w:hAnsi="宋体"/>
          <w:sz w:val="24"/>
          <w:szCs w:val="24"/>
        </w:rPr>
        <w:t>我院</w:t>
      </w:r>
      <w:r>
        <w:rPr>
          <w:rFonts w:ascii="宋体" w:hAnsi="宋体"/>
          <w:sz w:val="24"/>
          <w:szCs w:val="24"/>
        </w:rPr>
        <w:t>毕业生自主创业</w:t>
      </w:r>
      <w:r>
        <w:rPr>
          <w:rFonts w:hint="eastAsia" w:ascii="宋体" w:hAnsi="宋体"/>
          <w:sz w:val="24"/>
          <w:szCs w:val="24"/>
        </w:rPr>
        <w:t>，</w:t>
      </w:r>
      <w:r>
        <w:rPr>
          <w:rFonts w:ascii="宋体" w:hAnsi="宋体"/>
          <w:sz w:val="24"/>
          <w:szCs w:val="24"/>
        </w:rPr>
        <w:t>以创业带动就业</w:t>
      </w:r>
      <w:r>
        <w:rPr>
          <w:rFonts w:hint="eastAsia" w:ascii="宋体" w:hAnsi="宋体"/>
          <w:sz w:val="24"/>
          <w:szCs w:val="24"/>
        </w:rPr>
        <w:t>，实现高质量就业，我院领导高度重视大学生群体就业创业需求，从大一</w:t>
      </w:r>
      <w:r>
        <w:rPr>
          <w:rFonts w:hint="eastAsia" w:ascii="宋体" w:hAnsi="宋体"/>
          <w:sz w:val="24"/>
          <w:szCs w:val="24"/>
          <w:lang w:eastAsia="zh-CN"/>
        </w:rPr>
        <w:t>的</w:t>
      </w:r>
      <w:r>
        <w:rPr>
          <w:rFonts w:hint="eastAsia" w:ascii="宋体" w:hAnsi="宋体"/>
          <w:sz w:val="24"/>
          <w:szCs w:val="24"/>
        </w:rPr>
        <w:t>职业生涯规划课到大四</w:t>
      </w:r>
      <w:r>
        <w:rPr>
          <w:rFonts w:hint="eastAsia" w:ascii="宋体" w:hAnsi="宋体"/>
          <w:sz w:val="24"/>
          <w:szCs w:val="24"/>
          <w:lang w:eastAsia="zh-CN"/>
        </w:rPr>
        <w:t>的</w:t>
      </w:r>
      <w:r>
        <w:rPr>
          <w:rFonts w:hint="eastAsia" w:ascii="宋体" w:hAnsi="宋体"/>
          <w:sz w:val="24"/>
          <w:szCs w:val="24"/>
        </w:rPr>
        <w:t>就业指导课</w:t>
      </w:r>
      <w:r>
        <w:rPr>
          <w:rFonts w:hint="eastAsia" w:ascii="宋体" w:hAnsi="宋体"/>
          <w:sz w:val="24"/>
          <w:szCs w:val="24"/>
          <w:lang w:eastAsia="zh-CN"/>
        </w:rPr>
        <w:t>均重视</w:t>
      </w:r>
      <w:r>
        <w:rPr>
          <w:rFonts w:hint="eastAsia" w:ascii="宋体" w:hAnsi="宋体"/>
          <w:sz w:val="24"/>
          <w:szCs w:val="24"/>
        </w:rPr>
        <w:t>创业</w:t>
      </w:r>
      <w:r>
        <w:rPr>
          <w:rFonts w:hint="eastAsia" w:ascii="宋体" w:hAnsi="宋体"/>
          <w:sz w:val="24"/>
          <w:szCs w:val="24"/>
          <w:lang w:eastAsia="zh-CN"/>
        </w:rPr>
        <w:t>内容</w:t>
      </w:r>
      <w:r>
        <w:rPr>
          <w:rFonts w:hint="eastAsia" w:ascii="宋体" w:hAnsi="宋体"/>
          <w:sz w:val="24"/>
          <w:szCs w:val="24"/>
        </w:rPr>
        <w:t>讲授。</w:t>
      </w:r>
      <w:r>
        <w:rPr>
          <w:rFonts w:hint="eastAsia" w:ascii="宋体" w:hAnsi="宋体"/>
          <w:sz w:val="24"/>
          <w:szCs w:val="24"/>
          <w:lang w:eastAsia="zh-CN"/>
        </w:rPr>
        <w:t>我院一直以来</w:t>
      </w:r>
      <w:r>
        <w:rPr>
          <w:rFonts w:hint="eastAsia" w:ascii="宋体" w:hAnsi="宋体"/>
          <w:sz w:val="24"/>
          <w:szCs w:val="24"/>
        </w:rPr>
        <w:t>全力为大学生就业创业、筑梦圆梦保驾护航，为</w:t>
      </w:r>
      <w:r>
        <w:rPr>
          <w:rFonts w:ascii="宋体" w:hAnsi="宋体"/>
          <w:sz w:val="24"/>
          <w:szCs w:val="24"/>
        </w:rPr>
        <w:t>大学生</w:t>
      </w:r>
      <w:r>
        <w:rPr>
          <w:rFonts w:hint="eastAsia" w:ascii="宋体" w:hAnsi="宋体"/>
          <w:sz w:val="24"/>
          <w:szCs w:val="24"/>
        </w:rPr>
        <w:t>宣传国家</w:t>
      </w:r>
      <w:r>
        <w:rPr>
          <w:rFonts w:ascii="宋体" w:hAnsi="宋体"/>
          <w:sz w:val="24"/>
          <w:szCs w:val="24"/>
        </w:rPr>
        <w:t>自主创业优惠政策</w:t>
      </w:r>
      <w:r>
        <w:rPr>
          <w:rFonts w:hint="eastAsia" w:ascii="宋体" w:hAnsi="宋体"/>
          <w:sz w:val="24"/>
          <w:szCs w:val="24"/>
          <w:lang w:eastAsia="zh-CN"/>
        </w:rPr>
        <w:t>。</w:t>
      </w:r>
    </w:p>
    <w:p>
      <w:pPr>
        <w:widowControl/>
        <w:adjustRightInd w:val="0"/>
        <w:snapToGrid w:val="0"/>
        <w:spacing w:before="100" w:beforeAutospacing="1" w:after="100" w:afterAutospacing="1" w:line="360" w:lineRule="auto"/>
        <w:ind w:firstLine="480" w:firstLineChars="200"/>
        <w:jc w:val="both"/>
        <w:rPr>
          <w:rFonts w:hint="eastAsia" w:ascii="宋体" w:hAnsi="宋体" w:eastAsia="宋体" w:cs="Times New Roman"/>
          <w:sz w:val="24"/>
          <w:szCs w:val="24"/>
          <w:lang w:eastAsia="zh-CN"/>
        </w:rPr>
      </w:pPr>
      <w:r>
        <w:rPr>
          <w:rFonts w:hint="eastAsia" w:ascii="宋体" w:hAnsi="宋体" w:eastAsia="宋体" w:cs="Times New Roman"/>
          <w:sz w:val="24"/>
          <w:szCs w:val="24"/>
          <w:lang w:val="en-US" w:eastAsia="zh-CN"/>
        </w:rPr>
        <w:t>18朝鲜语(2+2)的周辉辉同学，学号：1812091023，于</w:t>
      </w:r>
      <w:r>
        <w:rPr>
          <w:rFonts w:hint="eastAsia" w:ascii="宋体" w:hAnsi="宋体" w:eastAsia="宋体" w:cs="Times New Roman"/>
          <w:sz w:val="24"/>
          <w:szCs w:val="24"/>
        </w:rPr>
        <w:t>2021年06月16日成立安徽坦途文化传媒有限公司，注册地位于安徽省合肥市经济技术开发区锦绣大道99号合肥学院35栋705室，法定代表人为周辉辉。经营范围包括一般项目：个人互联网直播服务（需备案）；文艺创作；电影摄制服务；文化娱乐经纪人服务；组织文化艺术交流活动；项目策划与公关服务；摄像及视频制作服务；其他文化艺术经纪代理；会议及展览服务；日用百货销售；家用电器销售；第二类医疗器械销售；服装服饰零售；化妆品零售；个人卫生用品销售；礼品花卉销售；厨具卫具及日用杂品零售；母婴用品销售；体育用品及器材零售；箱包销售；文具用品零售；户外用品销售；珠宝首饰零售；乐器零售；玩具、动漫及游艺用品销售；互联网销售（除销售需要许可的商品）；专业设计服务；广告设计、代理；广告发布（非广播电台、电视台、报刊出版单位）；广告制作；图文设计制作；企业形象策划；市场营销策划（除许可业务外，可自主依法经营法律法规非禁止或限制的项目）许可项目：网络文化经营；营业性演出；演出经纪；广播电视节目制作经营；音像制品制作（依法须经批准的项目，经相关部门批准后方可开展经营活动）</w:t>
      </w:r>
      <w:r>
        <w:rPr>
          <w:rFonts w:hint="eastAsia" w:ascii="宋体" w:hAnsi="宋体" w:eastAsia="宋体" w:cs="Times New Roman"/>
          <w:sz w:val="24"/>
          <w:szCs w:val="24"/>
          <w:lang w:eastAsia="zh-CN"/>
        </w:rPr>
        <w:t>。</w:t>
      </w:r>
    </w:p>
    <w:p>
      <w:pPr>
        <w:keepNext w:val="0"/>
        <w:keepLines w:val="0"/>
        <w:widowControl/>
        <w:suppressLineNumbers w:val="0"/>
        <w:jc w:val="left"/>
      </w:pPr>
      <w:r>
        <w:rPr>
          <w:rFonts w:ascii="宋体" w:hAnsi="宋体" w:eastAsia="宋体" w:cs="宋体"/>
          <w:kern w:val="0"/>
          <w:sz w:val="24"/>
          <w:szCs w:val="24"/>
          <w:lang w:val="en-US" w:eastAsia="zh-CN" w:bidi="ar"/>
        </w:rPr>
        <w:fldChar w:fldCharType="begin"/>
      </w:r>
      <w:r>
        <w:rPr>
          <w:rFonts w:ascii="宋体" w:hAnsi="宋体" w:eastAsia="宋体" w:cs="宋体"/>
          <w:kern w:val="0"/>
          <w:sz w:val="24"/>
          <w:szCs w:val="24"/>
          <w:lang w:val="en-US" w:eastAsia="zh-CN" w:bidi="ar"/>
        </w:rPr>
        <w:instrText xml:space="preserve">INCLUDEPICTURE \d "C:\\Users\\pc\\AppData\\Roaming\\Tencent\\Users\\490047869\\QQ\\WinTemp\\RichOle\\2`%{(G(4DR0@RC197R6N@1B.png" \* MERGEFORMATINET </w:instrText>
      </w:r>
      <w:r>
        <w:rPr>
          <w:rFonts w:ascii="宋体" w:hAnsi="宋体" w:eastAsia="宋体" w:cs="宋体"/>
          <w:kern w:val="0"/>
          <w:sz w:val="24"/>
          <w:szCs w:val="24"/>
          <w:lang w:val="en-US" w:eastAsia="zh-CN" w:bidi="ar"/>
        </w:rPr>
        <w:fldChar w:fldCharType="separate"/>
      </w:r>
      <w:r>
        <w:rPr>
          <w:rFonts w:ascii="宋体" w:hAnsi="宋体" w:eastAsia="宋体" w:cs="宋体"/>
          <w:kern w:val="0"/>
          <w:sz w:val="24"/>
          <w:szCs w:val="24"/>
          <w:lang w:val="en-US" w:eastAsia="zh-CN" w:bidi="ar"/>
        </w:rPr>
        <w:drawing>
          <wp:inline distT="0" distB="0" distL="114300" distR="114300">
            <wp:extent cx="5876925" cy="3390900"/>
            <wp:effectExtent l="0" t="0" r="3175" b="0"/>
            <wp:docPr id="132" name="图片 5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58" descr="IMG_256"/>
                    <pic:cNvPicPr>
                      <a:picLocks noChangeAspect="1"/>
                    </pic:cNvPicPr>
                  </pic:nvPicPr>
                  <pic:blipFill>
                    <a:blip r:embed="rId108"/>
                    <a:stretch>
                      <a:fillRect/>
                    </a:stretch>
                  </pic:blipFill>
                  <pic:spPr>
                    <a:xfrm>
                      <a:off x="0" y="0"/>
                      <a:ext cx="5876925" cy="3390900"/>
                    </a:xfrm>
                    <a:prstGeom prst="rect">
                      <a:avLst/>
                    </a:prstGeom>
                    <a:noFill/>
                    <a:ln>
                      <a:noFill/>
                    </a:ln>
                  </pic:spPr>
                </pic:pic>
              </a:graphicData>
            </a:graphic>
          </wp:inline>
        </w:drawing>
      </w:r>
      <w:r>
        <w:rPr>
          <w:rFonts w:ascii="宋体" w:hAnsi="宋体" w:eastAsia="宋体" w:cs="宋体"/>
          <w:kern w:val="0"/>
          <w:sz w:val="24"/>
          <w:szCs w:val="24"/>
          <w:lang w:val="en-US" w:eastAsia="zh-CN" w:bidi="ar"/>
        </w:rPr>
        <w:fldChar w:fldCharType="end"/>
      </w:r>
    </w:p>
    <w:p>
      <w:pPr>
        <w:spacing w:line="360" w:lineRule="auto"/>
        <w:ind w:firstLine="435"/>
        <w:rPr>
          <w:rFonts w:hint="eastAsia" w:ascii="宋体" w:hAnsi="宋体" w:eastAsia="宋体" w:cs="宋体"/>
          <w:sz w:val="24"/>
          <w:szCs w:val="24"/>
          <w:lang w:eastAsia="zh-CN"/>
        </w:rPr>
      </w:pPr>
    </w:p>
    <w:p>
      <w:pPr>
        <w:spacing w:line="360" w:lineRule="auto"/>
        <w:ind w:firstLine="435"/>
        <w:rPr>
          <w:rFonts w:hint="eastAsia" w:ascii="宋体" w:hAnsi="宋体" w:cs="宋体"/>
          <w:sz w:val="24"/>
          <w:szCs w:val="24"/>
        </w:rPr>
      </w:pPr>
      <w:r>
        <w:rPr>
          <w:rFonts w:hint="eastAsia" w:ascii="宋体" w:hAnsi="宋体" w:cs="宋体"/>
          <w:sz w:val="24"/>
          <w:szCs w:val="24"/>
          <w:lang w:val="en-US" w:eastAsia="zh-CN"/>
        </w:rPr>
        <w:t>18英语(2)的刘春雷同学和17级日语陈丽妃毕业后选择创业，</w:t>
      </w:r>
      <w:r>
        <w:rPr>
          <w:rFonts w:hint="eastAsia" w:ascii="宋体" w:hAnsi="宋体" w:eastAsia="宋体" w:cs="宋体"/>
          <w:sz w:val="24"/>
          <w:szCs w:val="24"/>
        </w:rPr>
        <w:t>于2021年08月30日成立合肥经济技术开发区合院鲜花经营工作室，注册地位于安徽省合肥市经济技术开发区锦绣大道99号合肥学院新区35栋709-1室，法定代表人为陈丽妃。经营范围包括许可项目：餐饮服务；食品互联网销售；食品销售；理发服务（依法须经批准的项目，经相关部门批准后方可开展经营活动，具体经营项目以相关部门批准文件或许可证件为准）一般项目：礼品花卉销售；工艺美术品及礼仪用品销售（象牙及其制品除外）；花卉绿植租借与代管理；城市绿化管理；居民日常生活服务；日用百货销售；互联网销售（除销售需要许可的商品）；外卖递送服务；新鲜水果零售；服装服饰零售；打字复印；美甲服务；宠物食品及用品零售（除许可业务外，可自主依法经营法律法规非禁止或限制的项目）</w:t>
      </w:r>
      <w:r>
        <w:rPr>
          <w:rFonts w:hint="eastAsia" w:ascii="宋体" w:hAnsi="宋体" w:eastAsia="宋体" w:cs="宋体"/>
          <w:sz w:val="24"/>
          <w:szCs w:val="24"/>
          <w:lang w:eastAsia="zh-CN"/>
        </w:rPr>
        <w:t>。</w:t>
      </w:r>
      <w:r>
        <w:rPr>
          <w:rFonts w:hint="eastAsia" w:ascii="宋体" w:hAnsi="宋体" w:cs="宋体"/>
          <w:sz w:val="24"/>
          <w:szCs w:val="24"/>
          <w:lang w:eastAsia="zh-CN"/>
        </w:rPr>
        <w:t>从</w:t>
      </w:r>
      <w:r>
        <w:rPr>
          <w:rFonts w:hint="eastAsia" w:ascii="宋体" w:hAnsi="宋体" w:cs="宋体"/>
          <w:sz w:val="24"/>
          <w:szCs w:val="24"/>
        </w:rPr>
        <w:t>创业初期</w:t>
      </w:r>
      <w:r>
        <w:rPr>
          <w:rFonts w:hint="eastAsia" w:ascii="宋体" w:hAnsi="宋体" w:cs="宋体"/>
          <w:sz w:val="24"/>
          <w:szCs w:val="24"/>
          <w:lang w:eastAsia="zh-CN"/>
        </w:rPr>
        <w:t>试图解决合肥学院</w:t>
      </w:r>
      <w:r>
        <w:rPr>
          <w:rFonts w:hint="eastAsia" w:ascii="宋体" w:hAnsi="宋体" w:cs="宋体"/>
          <w:sz w:val="24"/>
          <w:szCs w:val="24"/>
        </w:rPr>
        <w:t>周边花店较少，</w:t>
      </w:r>
      <w:r>
        <w:rPr>
          <w:rFonts w:hint="eastAsia" w:ascii="宋体" w:hAnsi="宋体" w:cs="宋体"/>
          <w:sz w:val="24"/>
          <w:szCs w:val="24"/>
          <w:lang w:eastAsia="zh-CN"/>
        </w:rPr>
        <w:t>合院</w:t>
      </w:r>
      <w:r>
        <w:rPr>
          <w:rFonts w:hint="eastAsia" w:ascii="宋体" w:hAnsi="宋体" w:cs="宋体"/>
          <w:sz w:val="24"/>
          <w:szCs w:val="24"/>
        </w:rPr>
        <w:t>师生想买花但是找不到合适店铺</w:t>
      </w:r>
      <w:r>
        <w:rPr>
          <w:rFonts w:hint="eastAsia" w:ascii="宋体" w:hAnsi="宋体" w:cs="宋体"/>
          <w:sz w:val="24"/>
          <w:szCs w:val="24"/>
          <w:lang w:eastAsia="zh-CN"/>
        </w:rPr>
        <w:t>的困惑到如今成立了自己的工作室，建立了稳定的客户群，陈丽妃的创业故事告诉大家只要感想、敢拼、敢做，创业不是不可能。目前，合院鲜花正在稳步运营中，着重通过文案推送、小程序运营、市场拓展等渠道来进一步推动花店朝着更好的方向发展。</w:t>
      </w:r>
    </w:p>
    <w:p>
      <w:pPr>
        <w:spacing w:line="360" w:lineRule="auto"/>
        <w:ind w:firstLine="435"/>
        <w:rPr>
          <w:rFonts w:hint="eastAsia" w:ascii="宋体" w:hAnsi="宋体" w:eastAsia="宋体" w:cs="宋体"/>
          <w:sz w:val="24"/>
          <w:szCs w:val="24"/>
          <w:lang w:eastAsia="zh-CN"/>
        </w:rPr>
      </w:pPr>
    </w:p>
    <w:p>
      <w:pPr>
        <w:keepNext w:val="0"/>
        <w:keepLines w:val="0"/>
        <w:widowControl/>
        <w:suppressLineNumbers w:val="0"/>
        <w:jc w:val="left"/>
      </w:pPr>
      <w:r>
        <w:rPr>
          <w:rFonts w:ascii="宋体" w:hAnsi="宋体" w:eastAsia="宋体" w:cs="宋体"/>
          <w:kern w:val="0"/>
          <w:sz w:val="24"/>
          <w:szCs w:val="24"/>
          <w:lang w:val="en-US" w:eastAsia="zh-CN" w:bidi="ar"/>
        </w:rPr>
        <w:fldChar w:fldCharType="begin"/>
      </w:r>
      <w:r>
        <w:rPr>
          <w:rFonts w:ascii="宋体" w:hAnsi="宋体" w:eastAsia="宋体" w:cs="宋体"/>
          <w:kern w:val="0"/>
          <w:sz w:val="24"/>
          <w:szCs w:val="24"/>
          <w:lang w:val="en-US" w:eastAsia="zh-CN" w:bidi="ar"/>
        </w:rPr>
        <w:instrText xml:space="preserve">INCLUDEPICTURE \d "C:\\Users\\pc\\AppData\\Roaming\\Tencent\\Users\\490047869\\QQ\\WinTemp\\RichOle\\@_ZS43M)@R3UATC)AK8G9)H.png" \* MERGEFORMATINET </w:instrText>
      </w:r>
      <w:r>
        <w:rPr>
          <w:rFonts w:ascii="宋体" w:hAnsi="宋体" w:eastAsia="宋体" w:cs="宋体"/>
          <w:kern w:val="0"/>
          <w:sz w:val="24"/>
          <w:szCs w:val="24"/>
          <w:lang w:val="en-US" w:eastAsia="zh-CN" w:bidi="ar"/>
        </w:rPr>
        <w:fldChar w:fldCharType="separate"/>
      </w:r>
      <w:r>
        <w:rPr>
          <w:rFonts w:ascii="宋体" w:hAnsi="宋体" w:eastAsia="宋体" w:cs="宋体"/>
          <w:kern w:val="0"/>
          <w:sz w:val="24"/>
          <w:szCs w:val="24"/>
          <w:lang w:val="en-US" w:eastAsia="zh-CN" w:bidi="ar"/>
        </w:rPr>
        <w:drawing>
          <wp:inline distT="0" distB="0" distL="114300" distR="114300">
            <wp:extent cx="2516505" cy="2646045"/>
            <wp:effectExtent l="0" t="0" r="10795" b="8255"/>
            <wp:docPr id="131" name="图片 5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59" descr="IMG_256"/>
                    <pic:cNvPicPr>
                      <a:picLocks noChangeAspect="1"/>
                    </pic:cNvPicPr>
                  </pic:nvPicPr>
                  <pic:blipFill>
                    <a:blip r:embed="rId109"/>
                    <a:stretch>
                      <a:fillRect/>
                    </a:stretch>
                  </pic:blipFill>
                  <pic:spPr>
                    <a:xfrm>
                      <a:off x="0" y="0"/>
                      <a:ext cx="2516505" cy="2646045"/>
                    </a:xfrm>
                    <a:prstGeom prst="rect">
                      <a:avLst/>
                    </a:prstGeom>
                    <a:noFill/>
                    <a:ln>
                      <a:noFill/>
                    </a:ln>
                  </pic:spPr>
                </pic:pic>
              </a:graphicData>
            </a:graphic>
          </wp:inline>
        </w:drawing>
      </w:r>
      <w:r>
        <w:rPr>
          <w:rFonts w:ascii="宋体" w:hAnsi="宋体" w:eastAsia="宋体" w:cs="宋体"/>
          <w:kern w:val="0"/>
          <w:sz w:val="24"/>
          <w:szCs w:val="24"/>
          <w:lang w:val="en-US" w:eastAsia="zh-CN" w:bidi="ar"/>
        </w:rPr>
        <w:fldChar w:fldCharType="end"/>
      </w:r>
      <w:r>
        <w:rPr>
          <w:rFonts w:ascii="宋体" w:hAnsi="宋体" w:eastAsia="宋体" w:cs="宋体"/>
          <w:kern w:val="0"/>
          <w:sz w:val="24"/>
          <w:szCs w:val="24"/>
          <w:lang w:val="en-US" w:eastAsia="zh-CN" w:bidi="ar"/>
        </w:rPr>
        <w:fldChar w:fldCharType="begin"/>
      </w:r>
      <w:r>
        <w:rPr>
          <w:rFonts w:ascii="宋体" w:hAnsi="宋体" w:eastAsia="宋体" w:cs="宋体"/>
          <w:kern w:val="0"/>
          <w:sz w:val="24"/>
          <w:szCs w:val="24"/>
          <w:lang w:val="en-US" w:eastAsia="zh-CN" w:bidi="ar"/>
        </w:rPr>
        <w:instrText xml:space="preserve">INCLUDEPICTURE \d "C:\\Users\\pc\\AppData\\Roaming\\Tencent\\Users\\490047869\\QQ\\WinTemp\\RichOle\\[BPSN)SX0XC300CX2GHVB`V.png" \* MERGEFORMATINET </w:instrText>
      </w:r>
      <w:r>
        <w:rPr>
          <w:rFonts w:ascii="宋体" w:hAnsi="宋体" w:eastAsia="宋体" w:cs="宋体"/>
          <w:kern w:val="0"/>
          <w:sz w:val="24"/>
          <w:szCs w:val="24"/>
          <w:lang w:val="en-US" w:eastAsia="zh-CN" w:bidi="ar"/>
        </w:rPr>
        <w:fldChar w:fldCharType="separate"/>
      </w:r>
      <w:r>
        <w:rPr>
          <w:rFonts w:ascii="宋体" w:hAnsi="宋体" w:eastAsia="宋体" w:cs="宋体"/>
          <w:kern w:val="0"/>
          <w:sz w:val="24"/>
          <w:szCs w:val="24"/>
          <w:lang w:val="en-US" w:eastAsia="zh-CN" w:bidi="ar"/>
        </w:rPr>
        <w:drawing>
          <wp:inline distT="0" distB="0" distL="114300" distR="114300">
            <wp:extent cx="2712085" cy="2653030"/>
            <wp:effectExtent l="0" t="0" r="5715" b="1270"/>
            <wp:docPr id="133" name="图片 6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60" descr="IMG_256"/>
                    <pic:cNvPicPr>
                      <a:picLocks noChangeAspect="1"/>
                    </pic:cNvPicPr>
                  </pic:nvPicPr>
                  <pic:blipFill>
                    <a:blip r:embed="rId110"/>
                    <a:stretch>
                      <a:fillRect/>
                    </a:stretch>
                  </pic:blipFill>
                  <pic:spPr>
                    <a:xfrm>
                      <a:off x="0" y="0"/>
                      <a:ext cx="2712085" cy="2653030"/>
                    </a:xfrm>
                    <a:prstGeom prst="rect">
                      <a:avLst/>
                    </a:prstGeom>
                    <a:noFill/>
                    <a:ln>
                      <a:noFill/>
                    </a:ln>
                  </pic:spPr>
                </pic:pic>
              </a:graphicData>
            </a:graphic>
          </wp:inline>
        </w:drawing>
      </w:r>
      <w:r>
        <w:rPr>
          <w:rFonts w:ascii="宋体" w:hAnsi="宋体" w:eastAsia="宋体" w:cs="宋体"/>
          <w:kern w:val="0"/>
          <w:sz w:val="24"/>
          <w:szCs w:val="24"/>
          <w:lang w:val="en-US" w:eastAsia="zh-CN" w:bidi="ar"/>
        </w:rPr>
        <w:fldChar w:fldCharType="end"/>
      </w:r>
    </w:p>
    <w:p>
      <w:pPr>
        <w:keepNext w:val="0"/>
        <w:keepLines w:val="0"/>
        <w:widowControl/>
        <w:suppressLineNumbers w:val="0"/>
        <w:jc w:val="left"/>
      </w:pPr>
    </w:p>
    <w:p>
      <w:pPr>
        <w:keepNext w:val="0"/>
        <w:keepLines w:val="0"/>
        <w:widowControl/>
        <w:suppressLineNumbers w:val="0"/>
        <w:jc w:val="left"/>
      </w:pPr>
    </w:p>
    <w:p>
      <w:pPr>
        <w:spacing w:line="360" w:lineRule="auto"/>
        <w:ind w:firstLine="435"/>
        <w:rPr>
          <w:rFonts w:hint="eastAsia" w:ascii="宋体" w:hAnsi="宋体" w:eastAsia="宋体" w:cs="宋体"/>
          <w:sz w:val="24"/>
          <w:szCs w:val="24"/>
          <w:lang w:eastAsia="zh-CN"/>
        </w:rPr>
      </w:pPr>
    </w:p>
    <w:p>
      <w:pPr>
        <w:spacing w:line="360" w:lineRule="auto"/>
        <w:ind w:firstLine="435"/>
        <w:rPr>
          <w:rFonts w:hint="eastAsia" w:ascii="宋体" w:hAnsi="宋体" w:eastAsia="宋体" w:cs="宋体"/>
          <w:sz w:val="24"/>
          <w:szCs w:val="24"/>
          <w:lang w:eastAsia="zh-CN"/>
        </w:rPr>
      </w:pPr>
    </w:p>
    <w:p>
      <w:pPr>
        <w:spacing w:line="360" w:lineRule="auto"/>
        <w:ind w:firstLine="435"/>
        <w:rPr>
          <w:rFonts w:hint="eastAsia" w:ascii="宋体" w:hAnsi="宋体" w:eastAsia="宋体" w:cs="宋体"/>
          <w:sz w:val="24"/>
          <w:szCs w:val="24"/>
          <w:lang w:eastAsia="zh-CN"/>
        </w:rPr>
      </w:pPr>
    </w:p>
    <w:p>
      <w:pPr>
        <w:spacing w:line="360" w:lineRule="auto"/>
        <w:ind w:firstLine="435"/>
        <w:rPr>
          <w:rFonts w:hint="eastAsia" w:ascii="宋体" w:hAnsi="宋体" w:cs="宋体"/>
          <w:sz w:val="24"/>
          <w:szCs w:val="24"/>
          <w:lang w:eastAsia="zh-CN"/>
        </w:rPr>
      </w:pPr>
    </w:p>
    <w:p>
      <w:pPr>
        <w:spacing w:line="360" w:lineRule="auto"/>
        <w:ind w:firstLine="435"/>
        <w:rPr>
          <w:rFonts w:hint="eastAsia" w:ascii="宋体" w:hAnsi="宋体" w:cs="宋体"/>
          <w:sz w:val="24"/>
          <w:szCs w:val="24"/>
          <w:lang w:eastAsia="zh-CN"/>
        </w:rPr>
      </w:pPr>
    </w:p>
    <w:p>
      <w:pPr>
        <w:spacing w:line="360" w:lineRule="auto"/>
        <w:ind w:firstLine="435"/>
        <w:rPr>
          <w:rFonts w:hint="eastAsia" w:ascii="宋体" w:hAnsi="宋体" w:cs="宋体"/>
          <w:sz w:val="24"/>
          <w:szCs w:val="24"/>
          <w:lang w:eastAsia="zh-CN"/>
        </w:rPr>
      </w:pPr>
    </w:p>
    <w:p>
      <w:pPr>
        <w:spacing w:line="360" w:lineRule="auto"/>
        <w:ind w:firstLine="435"/>
        <w:rPr>
          <w:rFonts w:hint="eastAsia" w:ascii="宋体" w:hAnsi="宋体" w:cs="宋体"/>
          <w:sz w:val="24"/>
          <w:szCs w:val="24"/>
        </w:rPr>
      </w:pPr>
      <w:r>
        <w:rPr>
          <w:rFonts w:hint="eastAsia" w:ascii="宋体" w:hAnsi="宋体" w:cs="宋体"/>
          <w:sz w:val="24"/>
          <w:szCs w:val="24"/>
        </w:rPr>
        <w:t xml:space="preserve">                                               合肥学院外国</w:t>
      </w:r>
      <w:r>
        <w:rPr>
          <w:rFonts w:hint="eastAsia" w:ascii="宋体" w:hAnsi="宋体" w:cs="宋体"/>
          <w:sz w:val="24"/>
          <w:szCs w:val="24"/>
          <w:lang w:eastAsia="zh-CN"/>
        </w:rPr>
        <w:t>语学院</w:t>
      </w:r>
      <w:r>
        <w:rPr>
          <w:rFonts w:hint="eastAsia" w:ascii="宋体" w:hAnsi="宋体" w:cs="宋体"/>
          <w:sz w:val="24"/>
          <w:szCs w:val="24"/>
        </w:rPr>
        <w:t xml:space="preserve">                                                </w:t>
      </w:r>
    </w:p>
    <w:p>
      <w:pPr>
        <w:spacing w:line="360" w:lineRule="auto"/>
        <w:ind w:firstLine="6240" w:firstLineChars="2600"/>
        <w:rPr>
          <w:rFonts w:hint="eastAsia" w:ascii="宋体" w:hAnsi="宋体" w:cs="宋体"/>
          <w:sz w:val="24"/>
          <w:szCs w:val="24"/>
        </w:rPr>
      </w:pPr>
      <w:r>
        <w:rPr>
          <w:rFonts w:hint="eastAsia" w:ascii="宋体" w:hAnsi="宋体" w:cs="宋体"/>
          <w:sz w:val="24"/>
          <w:szCs w:val="24"/>
          <w:lang w:val="en-US" w:eastAsia="zh-CN"/>
        </w:rPr>
        <w:t>2022</w:t>
      </w:r>
      <w:r>
        <w:rPr>
          <w:rFonts w:hint="eastAsia" w:ascii="宋体" w:hAnsi="宋体" w:cs="宋体"/>
          <w:sz w:val="24"/>
          <w:szCs w:val="24"/>
        </w:rPr>
        <w:t>年1</w:t>
      </w:r>
      <w:r>
        <w:rPr>
          <w:rFonts w:hint="eastAsia" w:ascii="宋体" w:hAnsi="宋体" w:cs="宋体"/>
          <w:sz w:val="24"/>
          <w:szCs w:val="24"/>
          <w:lang w:val="en-US" w:eastAsia="zh-CN"/>
        </w:rPr>
        <w:t>2</w:t>
      </w:r>
      <w:r>
        <w:rPr>
          <w:rFonts w:hint="eastAsia" w:ascii="宋体" w:hAnsi="宋体" w:cs="宋体"/>
          <w:sz w:val="24"/>
          <w:szCs w:val="24"/>
        </w:rPr>
        <w:t>月</w:t>
      </w:r>
      <w:r>
        <w:rPr>
          <w:rFonts w:hint="eastAsia" w:ascii="宋体" w:hAnsi="宋体" w:cs="宋体"/>
          <w:sz w:val="24"/>
          <w:szCs w:val="24"/>
          <w:lang w:val="en-US" w:eastAsia="zh-CN"/>
        </w:rPr>
        <w:t>15</w:t>
      </w:r>
      <w:r>
        <w:rPr>
          <w:rFonts w:hint="eastAsia" w:ascii="宋体" w:hAnsi="宋体" w:cs="宋体"/>
          <w:sz w:val="24"/>
          <w:szCs w:val="24"/>
        </w:rPr>
        <w:t>日</w:t>
      </w:r>
    </w:p>
    <w:p>
      <w:pPr>
        <w:widowControl/>
        <w:jc w:val="left"/>
        <w:rPr>
          <w:rFonts w:ascii="宋体" w:hAnsi="宋体"/>
          <w:bCs/>
          <w:sz w:val="24"/>
        </w:rPr>
      </w:pPr>
      <w:r>
        <w:rPr>
          <w:rFonts w:ascii="宋体" w:hAnsi="宋体"/>
          <w:bCs/>
          <w:sz w:val="24"/>
        </w:rPr>
        <w:br w:type="page"/>
      </w:r>
    </w:p>
    <w:p>
      <w:pPr>
        <w:widowControl/>
        <w:shd w:val="clear" w:color="auto" w:fill="FFFFFF"/>
        <w:spacing w:line="360" w:lineRule="auto"/>
        <w:jc w:val="center"/>
        <w:rPr>
          <w:rFonts w:ascii="宋体" w:hAnsi="宋体" w:cs="宋体"/>
          <w:b/>
          <w:bCs/>
          <w:sz w:val="32"/>
          <w:szCs w:val="32"/>
        </w:rPr>
      </w:pPr>
      <w:r>
        <w:rPr>
          <w:rFonts w:hint="eastAsia" w:ascii="宋体" w:hAnsi="宋体" w:cs="宋体"/>
          <w:b/>
          <w:bCs/>
          <w:sz w:val="32"/>
          <w:szCs w:val="32"/>
        </w:rPr>
        <w:t>合肥学院旅游与会展学院202</w:t>
      </w:r>
      <w:r>
        <w:rPr>
          <w:rFonts w:hint="eastAsia" w:ascii="宋体" w:hAnsi="宋体" w:cs="宋体"/>
          <w:b/>
          <w:bCs/>
          <w:sz w:val="32"/>
          <w:szCs w:val="32"/>
          <w:lang w:val="en-US" w:eastAsia="zh-CN"/>
        </w:rPr>
        <w:t>2</w:t>
      </w:r>
      <w:r>
        <w:rPr>
          <w:rFonts w:hint="eastAsia" w:ascii="宋体" w:hAnsi="宋体" w:cs="宋体"/>
          <w:b/>
          <w:bCs/>
          <w:sz w:val="32"/>
          <w:szCs w:val="32"/>
        </w:rPr>
        <w:t>年就业评估自查报告</w:t>
      </w:r>
    </w:p>
    <w:p>
      <w:pPr>
        <w:keepNext w:val="0"/>
        <w:keepLines w:val="0"/>
        <w:pageBreakBefore w:val="0"/>
        <w:widowControl w:val="0"/>
        <w:numPr>
          <w:ilvl w:val="0"/>
          <w:numId w:val="0"/>
        </w:numPr>
        <w:kinsoku/>
        <w:wordWrap/>
        <w:overflowPunct/>
        <w:topLinePunct w:val="0"/>
        <w:autoSpaceDE/>
        <w:autoSpaceDN/>
        <w:bidi w:val="0"/>
        <w:adjustRightInd/>
        <w:snapToGrid/>
        <w:spacing w:before="157" w:beforeLines="50" w:after="157" w:afterLines="50" w:line="360" w:lineRule="auto"/>
        <w:ind w:firstLine="482" w:firstLineChars="200"/>
        <w:jc w:val="left"/>
        <w:textAlignment w:val="auto"/>
        <w:rPr>
          <w:rFonts w:hint="eastAsia" w:ascii="宋体" w:hAnsi="宋体"/>
          <w:b/>
          <w:sz w:val="24"/>
          <w:szCs w:val="24"/>
          <w:lang w:val="en-US" w:eastAsia="zh-CN"/>
        </w:rPr>
      </w:pPr>
      <w:r>
        <w:rPr>
          <w:rFonts w:hint="eastAsia" w:ascii="宋体" w:hAnsi="宋体"/>
          <w:b/>
          <w:sz w:val="24"/>
          <w:szCs w:val="24"/>
          <w:lang w:val="en-US" w:eastAsia="zh-CN"/>
        </w:rPr>
        <w:t>第一部分旅游与会展学院各专业就业基本情况</w:t>
      </w:r>
    </w:p>
    <w:p>
      <w:pPr>
        <w:keepNext w:val="0"/>
        <w:keepLines w:val="0"/>
        <w:pageBreakBefore w:val="0"/>
        <w:widowControl w:val="0"/>
        <w:numPr>
          <w:ilvl w:val="0"/>
          <w:numId w:val="15"/>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color w:val="000000"/>
          <w:sz w:val="24"/>
          <w:szCs w:val="24"/>
          <w:lang w:val="en-US" w:eastAsia="zh-CN"/>
        </w:rPr>
      </w:pPr>
      <w:r>
        <w:rPr>
          <w:rFonts w:hint="eastAsia" w:ascii="宋体" w:hAnsi="宋体"/>
          <w:color w:val="000000"/>
          <w:sz w:val="24"/>
          <w:szCs w:val="24"/>
          <w:lang w:val="en-US" w:eastAsia="zh-CN"/>
        </w:rPr>
        <w:t>旅游与会展学院总体就业情况</w:t>
      </w:r>
    </w:p>
    <w:p>
      <w:pPr>
        <w:keepNext w:val="0"/>
        <w:keepLines w:val="0"/>
        <w:pageBreakBefore w:val="0"/>
        <w:widowControl w:val="0"/>
        <w:numPr>
          <w:ilvl w:val="0"/>
          <w:numId w:val="0"/>
        </w:numPr>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color w:val="000000"/>
          <w:sz w:val="24"/>
          <w:szCs w:val="24"/>
        </w:rPr>
      </w:pPr>
      <w:r>
        <w:rPr>
          <w:rFonts w:hint="eastAsia" w:ascii="宋体" w:hAnsi="宋体"/>
          <w:color w:val="000000"/>
          <w:sz w:val="24"/>
          <w:szCs w:val="24"/>
        </w:rPr>
        <w:t>截至202</w:t>
      </w:r>
      <w:r>
        <w:rPr>
          <w:rFonts w:hint="eastAsia" w:ascii="宋体" w:hAnsi="宋体"/>
          <w:color w:val="000000"/>
          <w:sz w:val="24"/>
          <w:szCs w:val="24"/>
          <w:lang w:val="en-US" w:eastAsia="zh-CN"/>
        </w:rPr>
        <w:t>2</w:t>
      </w:r>
      <w:r>
        <w:rPr>
          <w:rFonts w:hint="eastAsia" w:ascii="宋体" w:hAnsi="宋体"/>
          <w:color w:val="000000"/>
          <w:sz w:val="24"/>
          <w:szCs w:val="24"/>
        </w:rPr>
        <w:t>年</w:t>
      </w:r>
      <w:r>
        <w:rPr>
          <w:rFonts w:ascii="宋体" w:hAnsi="宋体"/>
          <w:color w:val="000000"/>
          <w:sz w:val="24"/>
          <w:szCs w:val="24"/>
        </w:rPr>
        <w:t>1</w:t>
      </w:r>
      <w:r>
        <w:rPr>
          <w:rFonts w:hint="eastAsia" w:ascii="宋体" w:hAnsi="宋体"/>
          <w:color w:val="000000"/>
          <w:sz w:val="24"/>
          <w:szCs w:val="24"/>
          <w:lang w:val="en-US" w:eastAsia="zh-CN"/>
        </w:rPr>
        <w:t>2</w:t>
      </w:r>
      <w:r>
        <w:rPr>
          <w:rFonts w:hint="eastAsia" w:ascii="宋体" w:hAnsi="宋体"/>
          <w:color w:val="000000"/>
          <w:sz w:val="24"/>
          <w:szCs w:val="24"/>
        </w:rPr>
        <w:t>月</w:t>
      </w:r>
      <w:r>
        <w:rPr>
          <w:rFonts w:hint="eastAsia" w:ascii="宋体" w:hAnsi="宋体"/>
          <w:color w:val="000000"/>
          <w:sz w:val="24"/>
          <w:szCs w:val="24"/>
          <w:lang w:val="en-US" w:eastAsia="zh-CN"/>
        </w:rPr>
        <w:t>13</w:t>
      </w:r>
      <w:r>
        <w:rPr>
          <w:rFonts w:hint="eastAsia" w:ascii="宋体" w:hAnsi="宋体"/>
          <w:color w:val="000000"/>
          <w:sz w:val="24"/>
          <w:szCs w:val="24"/>
        </w:rPr>
        <w:t>日</w:t>
      </w:r>
      <w:r>
        <w:rPr>
          <w:rFonts w:hint="eastAsia" w:ascii="宋体" w:hAnsi="宋体"/>
          <w:color w:val="000000"/>
          <w:sz w:val="24"/>
          <w:szCs w:val="24"/>
          <w:lang w:eastAsia="zh-CN"/>
        </w:rPr>
        <w:t>，</w:t>
      </w:r>
      <w:r>
        <w:rPr>
          <w:rFonts w:ascii="宋体" w:hAnsi="宋体"/>
          <w:color w:val="000000"/>
          <w:sz w:val="24"/>
          <w:szCs w:val="24"/>
        </w:rPr>
        <w:t>旅游与会展学院</w:t>
      </w:r>
      <w:r>
        <w:rPr>
          <w:rFonts w:hint="eastAsia" w:ascii="宋体" w:hAnsi="宋体"/>
          <w:color w:val="000000"/>
          <w:sz w:val="24"/>
          <w:szCs w:val="24"/>
          <w:lang w:val="en-US" w:eastAsia="zh-CN"/>
        </w:rPr>
        <w:t>2022届94</w:t>
      </w:r>
      <w:r>
        <w:rPr>
          <w:rFonts w:hint="eastAsia" w:ascii="宋体" w:hAnsi="宋体"/>
          <w:color w:val="000000"/>
          <w:sz w:val="24"/>
          <w:szCs w:val="24"/>
        </w:rPr>
        <w:t>名本科应届毕业生中</w:t>
      </w:r>
      <w:r>
        <w:rPr>
          <w:rFonts w:hint="eastAsia" w:ascii="宋体" w:hAnsi="宋体"/>
          <w:color w:val="000000"/>
          <w:sz w:val="24"/>
          <w:szCs w:val="24"/>
          <w:lang w:val="en-US" w:eastAsia="zh-CN"/>
        </w:rPr>
        <w:t>88</w:t>
      </w:r>
      <w:r>
        <w:rPr>
          <w:rFonts w:hint="eastAsia" w:ascii="宋体" w:hAnsi="宋体"/>
          <w:color w:val="000000"/>
          <w:sz w:val="24"/>
          <w:szCs w:val="24"/>
        </w:rPr>
        <w:t>人已顺利就业</w:t>
      </w:r>
      <w:r>
        <w:rPr>
          <w:rFonts w:hint="eastAsia" w:ascii="宋体" w:hAnsi="宋体"/>
          <w:color w:val="000000"/>
          <w:sz w:val="24"/>
          <w:szCs w:val="24"/>
          <w:lang w:eastAsia="zh-CN"/>
        </w:rPr>
        <w:t>，</w:t>
      </w:r>
      <w:r>
        <w:rPr>
          <w:rFonts w:hint="eastAsia" w:ascii="宋体" w:hAnsi="宋体"/>
          <w:color w:val="000000"/>
          <w:sz w:val="24"/>
          <w:szCs w:val="24"/>
        </w:rPr>
        <w:t>其中</w:t>
      </w:r>
      <w:r>
        <w:rPr>
          <w:rFonts w:hint="eastAsia" w:ascii="宋体" w:hAnsi="宋体"/>
          <w:color w:val="000000"/>
          <w:sz w:val="24"/>
          <w:szCs w:val="24"/>
          <w:lang w:val="en-US" w:eastAsia="zh-CN"/>
        </w:rPr>
        <w:t>签订规范就业协议书及劳动合同人数71人，</w:t>
      </w:r>
      <w:r>
        <w:rPr>
          <w:rFonts w:hint="eastAsia" w:ascii="宋体" w:hAnsi="宋体"/>
          <w:color w:val="000000"/>
          <w:sz w:val="24"/>
          <w:szCs w:val="24"/>
        </w:rPr>
        <w:t>考取研究生1</w:t>
      </w:r>
      <w:r>
        <w:rPr>
          <w:rFonts w:hint="eastAsia" w:ascii="宋体" w:hAnsi="宋体"/>
          <w:color w:val="000000"/>
          <w:sz w:val="24"/>
          <w:szCs w:val="24"/>
          <w:lang w:val="en-US" w:eastAsia="zh-CN"/>
        </w:rPr>
        <w:t>0</w:t>
      </w:r>
      <w:r>
        <w:rPr>
          <w:rFonts w:hint="eastAsia" w:ascii="宋体" w:hAnsi="宋体"/>
          <w:color w:val="000000"/>
          <w:sz w:val="24"/>
          <w:szCs w:val="24"/>
        </w:rPr>
        <w:t>人</w:t>
      </w:r>
      <w:r>
        <w:rPr>
          <w:rFonts w:hint="eastAsia" w:ascii="宋体" w:hAnsi="宋体"/>
          <w:color w:val="000000"/>
          <w:sz w:val="24"/>
          <w:szCs w:val="24"/>
          <w:lang w:eastAsia="zh-CN"/>
        </w:rPr>
        <w:t>，</w:t>
      </w:r>
      <w:r>
        <w:rPr>
          <w:rFonts w:hint="eastAsia" w:ascii="宋体" w:hAnsi="宋体"/>
          <w:color w:val="000000"/>
          <w:sz w:val="24"/>
          <w:szCs w:val="24"/>
          <w:lang w:val="en-US" w:eastAsia="zh-CN"/>
        </w:rPr>
        <w:t>公务员、事业单位及基层项目等4人</w:t>
      </w:r>
      <w:r>
        <w:rPr>
          <w:rFonts w:hint="eastAsia" w:ascii="宋体" w:hAnsi="宋体"/>
          <w:color w:val="000000"/>
          <w:sz w:val="24"/>
          <w:szCs w:val="24"/>
          <w:lang w:eastAsia="zh-CN"/>
        </w:rPr>
        <w:t>，</w:t>
      </w:r>
      <w:r>
        <w:rPr>
          <w:rFonts w:hint="eastAsia" w:ascii="宋体" w:hAnsi="宋体"/>
          <w:color w:val="000000"/>
          <w:sz w:val="24"/>
          <w:szCs w:val="24"/>
          <w:lang w:val="en-US" w:eastAsia="zh-CN"/>
        </w:rPr>
        <w:t>应征入伍3人，</w:t>
      </w:r>
      <w:r>
        <w:rPr>
          <w:rFonts w:hint="eastAsia" w:ascii="宋体" w:hAnsi="宋体"/>
          <w:color w:val="000000"/>
          <w:sz w:val="24"/>
          <w:szCs w:val="24"/>
        </w:rPr>
        <w:t>就业率为9</w:t>
      </w:r>
      <w:r>
        <w:rPr>
          <w:rFonts w:hint="eastAsia" w:ascii="宋体" w:hAnsi="宋体"/>
          <w:color w:val="000000"/>
          <w:sz w:val="24"/>
          <w:szCs w:val="24"/>
          <w:lang w:val="en-US" w:eastAsia="zh-CN"/>
        </w:rPr>
        <w:t>3.62</w:t>
      </w:r>
      <w:r>
        <w:rPr>
          <w:rFonts w:hint="eastAsia" w:ascii="宋体" w:hAnsi="宋体"/>
          <w:color w:val="000000"/>
          <w:sz w:val="24"/>
          <w:szCs w:val="24"/>
        </w:rPr>
        <w:t>%。旅游管理专科班毕业生</w:t>
      </w:r>
      <w:r>
        <w:rPr>
          <w:rFonts w:hint="eastAsia" w:ascii="宋体" w:hAnsi="宋体"/>
          <w:color w:val="000000"/>
          <w:sz w:val="24"/>
          <w:szCs w:val="24"/>
          <w:lang w:val="en-US" w:eastAsia="zh-CN"/>
        </w:rPr>
        <w:t>2</w:t>
      </w:r>
      <w:r>
        <w:rPr>
          <w:rFonts w:hint="eastAsia" w:ascii="宋体" w:hAnsi="宋体"/>
          <w:color w:val="000000"/>
          <w:sz w:val="24"/>
          <w:szCs w:val="24"/>
        </w:rPr>
        <w:t>人</w:t>
      </w:r>
      <w:r>
        <w:rPr>
          <w:rFonts w:hint="eastAsia" w:ascii="宋体" w:hAnsi="宋体"/>
          <w:color w:val="000000"/>
          <w:sz w:val="24"/>
          <w:szCs w:val="24"/>
          <w:lang w:eastAsia="zh-CN"/>
        </w:rPr>
        <w:t>，</w:t>
      </w:r>
      <w:r>
        <w:rPr>
          <w:rFonts w:hint="eastAsia" w:ascii="宋体" w:hAnsi="宋体"/>
          <w:color w:val="000000"/>
          <w:sz w:val="24"/>
          <w:szCs w:val="24"/>
          <w:lang w:val="en-US" w:eastAsia="zh-CN"/>
        </w:rPr>
        <w:t>已全部就业，</w:t>
      </w:r>
      <w:r>
        <w:rPr>
          <w:rFonts w:hint="eastAsia" w:ascii="宋体" w:hAnsi="宋体"/>
          <w:color w:val="000000"/>
          <w:sz w:val="24"/>
          <w:szCs w:val="24"/>
        </w:rPr>
        <w:t>就业率</w:t>
      </w:r>
      <w:r>
        <w:rPr>
          <w:rFonts w:hint="eastAsia" w:ascii="宋体" w:hAnsi="宋体"/>
          <w:color w:val="000000"/>
          <w:sz w:val="24"/>
          <w:szCs w:val="24"/>
          <w:lang w:val="en-US" w:eastAsia="zh-CN"/>
        </w:rPr>
        <w:t>100</w:t>
      </w:r>
      <w:r>
        <w:rPr>
          <w:rFonts w:hint="eastAsia" w:ascii="宋体" w:hAnsi="宋体"/>
          <w:color w:val="000000"/>
          <w:sz w:val="24"/>
          <w:szCs w:val="24"/>
        </w:rPr>
        <w:t>%。</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000000"/>
          <w:sz w:val="21"/>
          <w:szCs w:val="21"/>
          <w:lang w:val="en-US" w:eastAsia="zh-CN"/>
        </w:rPr>
      </w:pPr>
      <w:r>
        <w:rPr>
          <w:rFonts w:hint="eastAsia" w:ascii="宋体" w:hAnsi="宋体" w:eastAsia="宋体" w:cs="宋体"/>
          <w:color w:val="000000"/>
          <w:sz w:val="21"/>
          <w:szCs w:val="21"/>
          <w:lang w:val="en-US" w:eastAsia="zh-CN"/>
        </w:rPr>
        <w:t>图1</w:t>
      </w:r>
      <w:r>
        <w:rPr>
          <w:rFonts w:hint="eastAsia" w:ascii="宋体" w:hAnsi="宋体" w:cs="宋体"/>
          <w:color w:val="000000"/>
          <w:sz w:val="21"/>
          <w:szCs w:val="21"/>
          <w:lang w:val="en-US" w:eastAsia="zh-CN"/>
        </w:rPr>
        <w:t xml:space="preserve"> </w:t>
      </w:r>
      <w:r>
        <w:rPr>
          <w:rFonts w:hint="eastAsia" w:ascii="宋体" w:hAnsi="宋体" w:eastAsia="宋体" w:cs="宋体"/>
          <w:color w:val="000000"/>
          <w:sz w:val="21"/>
          <w:szCs w:val="21"/>
          <w:lang w:val="en-US" w:eastAsia="zh-CN"/>
        </w:rPr>
        <w:t>旅游与会展学院</w:t>
      </w:r>
      <w:r>
        <w:rPr>
          <w:rFonts w:hint="eastAsia" w:ascii="宋体" w:hAnsi="宋体" w:cs="宋体"/>
          <w:color w:val="000000"/>
          <w:sz w:val="21"/>
          <w:szCs w:val="21"/>
          <w:lang w:val="en-US" w:eastAsia="zh-CN"/>
        </w:rPr>
        <w:t>2022届</w:t>
      </w:r>
      <w:r>
        <w:rPr>
          <w:rFonts w:hint="eastAsia" w:ascii="宋体" w:hAnsi="宋体" w:eastAsia="宋体" w:cs="宋体"/>
          <w:color w:val="000000"/>
          <w:sz w:val="21"/>
          <w:szCs w:val="21"/>
          <w:lang w:val="en-US" w:eastAsia="zh-CN"/>
        </w:rPr>
        <w:t>毕业生就业整体情况</w:t>
      </w:r>
    </w:p>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eastAsia" w:ascii="宋体" w:hAnsi="宋体" w:eastAsia="宋体"/>
          <w:color w:val="000000"/>
          <w:sz w:val="24"/>
          <w:szCs w:val="24"/>
          <w:lang w:eastAsia="zh-CN"/>
        </w:rPr>
      </w:pPr>
      <w:r>
        <w:drawing>
          <wp:inline distT="0" distB="0" distL="114300" distR="114300">
            <wp:extent cx="5039995" cy="3245485"/>
            <wp:effectExtent l="5080" t="4445" r="12700" b="7620"/>
            <wp:docPr id="28" name="图表 3" descr="7b0a202020202263686172745265734964223a202234363439393833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before="157" w:beforeLines="50" w:line="360" w:lineRule="auto"/>
        <w:ind w:firstLine="480" w:firstLineChars="200"/>
        <w:jc w:val="both"/>
        <w:textAlignment w:val="auto"/>
        <w:rPr>
          <w:rFonts w:hint="eastAsia" w:ascii="宋体" w:hAnsi="宋体" w:cs="Times New Roman"/>
          <w:color w:val="000000"/>
          <w:sz w:val="24"/>
          <w:szCs w:val="24"/>
          <w:lang w:val="en-US" w:eastAsia="zh-CN"/>
        </w:rPr>
      </w:pPr>
      <w:r>
        <w:rPr>
          <w:rFonts w:hint="eastAsia" w:ascii="宋体" w:hAnsi="宋体" w:cs="Times New Roman"/>
          <w:color w:val="000000"/>
          <w:sz w:val="24"/>
          <w:szCs w:val="24"/>
          <w:lang w:val="en-US" w:eastAsia="zh-CN"/>
        </w:rPr>
        <w:t>二、各专业就业基本情况</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cs="Times New Roman"/>
          <w:color w:val="000000"/>
          <w:sz w:val="24"/>
          <w:szCs w:val="24"/>
          <w:lang w:val="en-US" w:eastAsia="zh-CN"/>
        </w:rPr>
      </w:pPr>
      <w:r>
        <w:rPr>
          <w:rFonts w:hint="eastAsia" w:ascii="宋体" w:hAnsi="宋体" w:cs="Times New Roman"/>
          <w:color w:val="000000"/>
          <w:sz w:val="24"/>
          <w:szCs w:val="24"/>
          <w:lang w:val="en-US" w:eastAsia="zh-CN"/>
        </w:rPr>
        <w:t>本科三个专业中，酒店管理专业共29人，其中成功就业26人，就业率89.66%；旅游管理专业共30人，成功就业29人，就业率96.67%；人文地理与城乡规划专业共35人，成功就业33人，就业率94.29%。旅游管理专科共2人，就业率100%。</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cs="Times New Roman"/>
          <w:color w:val="000000"/>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cs="Times New Roman"/>
          <w:color w:val="000000"/>
          <w:sz w:val="24"/>
          <w:szCs w:val="24"/>
          <w:lang w:val="en-US" w:eastAsia="zh-CN"/>
        </w:rPr>
      </w:pPr>
    </w:p>
    <w:p>
      <w:pPr>
        <w:pStyle w:val="2"/>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cs="Times New Roman"/>
          <w:color w:val="000000"/>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color w:val="000000"/>
          <w:sz w:val="21"/>
          <w:szCs w:val="21"/>
          <w:lang w:val="en-US" w:eastAsia="zh-CN"/>
        </w:rPr>
      </w:pPr>
      <w:r>
        <w:rPr>
          <w:rFonts w:hint="eastAsia" w:ascii="宋体" w:hAnsi="宋体" w:eastAsia="宋体" w:cs="宋体"/>
          <w:color w:val="000000"/>
          <w:sz w:val="21"/>
          <w:szCs w:val="21"/>
          <w:lang w:val="en-US" w:eastAsia="zh-CN"/>
        </w:rPr>
        <w:t>表1-1 旅游与会展学院202</w:t>
      </w:r>
      <w:r>
        <w:rPr>
          <w:rFonts w:hint="eastAsia" w:ascii="宋体" w:hAnsi="宋体" w:cs="宋体"/>
          <w:color w:val="000000"/>
          <w:sz w:val="21"/>
          <w:szCs w:val="21"/>
          <w:lang w:val="en-US" w:eastAsia="zh-CN"/>
        </w:rPr>
        <w:t>2</w:t>
      </w:r>
      <w:r>
        <w:rPr>
          <w:rFonts w:hint="eastAsia" w:ascii="宋体" w:hAnsi="宋体" w:eastAsia="宋体" w:cs="宋体"/>
          <w:color w:val="000000"/>
          <w:sz w:val="21"/>
          <w:szCs w:val="21"/>
          <w:lang w:val="en-US" w:eastAsia="zh-CN"/>
        </w:rPr>
        <w:t>届毕业生就业率</w:t>
      </w:r>
    </w:p>
    <w:tbl>
      <w:tblPr>
        <w:tblStyle w:val="13"/>
        <w:tblW w:w="967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2211"/>
        <w:gridCol w:w="945"/>
        <w:gridCol w:w="1605"/>
        <w:gridCol w:w="1200"/>
        <w:gridCol w:w="1440"/>
        <w:gridCol w:w="1139"/>
        <w:gridCol w:w="1139"/>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26" w:hRule="atLeast"/>
          <w:jc w:val="center"/>
        </w:trPr>
        <w:tc>
          <w:tcPr>
            <w:tcW w:w="2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b/>
                <w:bCs/>
                <w:i w:val="0"/>
                <w:iCs w:val="0"/>
                <w:color w:val="000000"/>
                <w:kern w:val="0"/>
                <w:sz w:val="22"/>
                <w:szCs w:val="22"/>
                <w:u w:val="none"/>
                <w:lang w:val="en-US" w:eastAsia="zh-CN" w:bidi="ar"/>
              </w:rPr>
            </w:pPr>
            <w:r>
              <w:rPr>
                <w:rFonts w:hint="eastAsia" w:ascii="宋体" w:hAnsi="宋体" w:eastAsia="宋体" w:cs="宋体"/>
                <w:b/>
                <w:bCs/>
                <w:i w:val="0"/>
                <w:iCs w:val="0"/>
                <w:color w:val="000000"/>
                <w:kern w:val="0"/>
                <w:sz w:val="22"/>
                <w:szCs w:val="22"/>
                <w:u w:val="none"/>
                <w:lang w:val="en-US" w:eastAsia="zh-CN" w:bidi="ar"/>
              </w:rPr>
              <w:t>专业</w:t>
            </w:r>
          </w:p>
        </w:tc>
        <w:tc>
          <w:tcPr>
            <w:tcW w:w="9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b/>
                <w:bCs/>
                <w:i w:val="0"/>
                <w:iCs w:val="0"/>
                <w:color w:val="000000"/>
                <w:kern w:val="0"/>
                <w:sz w:val="22"/>
                <w:szCs w:val="22"/>
                <w:u w:val="none"/>
                <w:lang w:val="en-US" w:eastAsia="zh-CN" w:bidi="ar"/>
              </w:rPr>
            </w:pPr>
            <w:r>
              <w:rPr>
                <w:rFonts w:hint="eastAsia" w:ascii="宋体" w:hAnsi="宋体" w:eastAsia="宋体" w:cs="宋体"/>
                <w:b/>
                <w:bCs/>
                <w:i w:val="0"/>
                <w:iCs w:val="0"/>
                <w:color w:val="000000"/>
                <w:kern w:val="0"/>
                <w:sz w:val="22"/>
                <w:szCs w:val="22"/>
                <w:u w:val="none"/>
                <w:lang w:val="en-US" w:eastAsia="zh-CN" w:bidi="ar"/>
              </w:rPr>
              <w:t>总人数</w:t>
            </w:r>
          </w:p>
        </w:tc>
        <w:tc>
          <w:tcPr>
            <w:tcW w:w="16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000000"/>
                <w:kern w:val="0"/>
                <w:sz w:val="22"/>
                <w:szCs w:val="22"/>
                <w:u w:val="none"/>
                <w:lang w:val="en-US" w:eastAsia="zh-CN" w:bidi="ar"/>
              </w:rPr>
            </w:pPr>
            <w:r>
              <w:rPr>
                <w:rFonts w:hint="eastAsia" w:ascii="宋体" w:hAnsi="宋体" w:eastAsia="宋体" w:cs="宋体"/>
                <w:b/>
                <w:bCs/>
                <w:i w:val="0"/>
                <w:iCs w:val="0"/>
                <w:color w:val="000000"/>
                <w:kern w:val="0"/>
                <w:sz w:val="22"/>
                <w:szCs w:val="22"/>
                <w:u w:val="none"/>
                <w:lang w:val="en-US" w:eastAsia="zh-CN" w:bidi="ar"/>
              </w:rPr>
              <w:t>签订规范就业协议书及劳动合同人数</w:t>
            </w:r>
          </w:p>
        </w:tc>
        <w:tc>
          <w:tcPr>
            <w:tcW w:w="12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000000"/>
                <w:kern w:val="0"/>
                <w:sz w:val="22"/>
                <w:szCs w:val="22"/>
                <w:u w:val="none"/>
                <w:lang w:val="en-US" w:eastAsia="zh-CN" w:bidi="ar"/>
              </w:rPr>
            </w:pPr>
            <w:r>
              <w:rPr>
                <w:rFonts w:hint="eastAsia" w:ascii="宋体" w:hAnsi="宋体" w:eastAsia="宋体" w:cs="宋体"/>
                <w:b/>
                <w:bCs/>
                <w:i w:val="0"/>
                <w:iCs w:val="0"/>
                <w:color w:val="000000"/>
                <w:kern w:val="0"/>
                <w:sz w:val="22"/>
                <w:szCs w:val="22"/>
                <w:u w:val="none"/>
                <w:lang w:val="en-US" w:eastAsia="zh-CN" w:bidi="ar"/>
              </w:rPr>
              <w:t>考取研究生人数</w:t>
            </w:r>
          </w:p>
        </w:tc>
        <w:tc>
          <w:tcPr>
            <w:tcW w:w="14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000000"/>
                <w:kern w:val="0"/>
                <w:sz w:val="22"/>
                <w:szCs w:val="22"/>
                <w:u w:val="none"/>
                <w:lang w:val="en-US" w:eastAsia="zh-CN" w:bidi="ar"/>
              </w:rPr>
            </w:pPr>
            <w:r>
              <w:rPr>
                <w:rFonts w:hint="eastAsia" w:ascii="宋体" w:hAnsi="宋体" w:eastAsia="宋体" w:cs="宋体"/>
                <w:b/>
                <w:bCs/>
                <w:i w:val="0"/>
                <w:iCs w:val="0"/>
                <w:color w:val="000000"/>
                <w:kern w:val="0"/>
                <w:sz w:val="22"/>
                <w:szCs w:val="22"/>
                <w:u w:val="none"/>
                <w:lang w:val="en-US" w:eastAsia="zh-CN" w:bidi="ar"/>
              </w:rPr>
              <w:t>国家公务员、事业单位及基层项目等</w:t>
            </w:r>
          </w:p>
        </w:tc>
        <w:tc>
          <w:tcPr>
            <w:tcW w:w="11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宋体" w:hAnsi="宋体" w:eastAsia="宋体" w:cs="宋体"/>
                <w:b/>
                <w:bCs/>
                <w:i w:val="0"/>
                <w:iCs w:val="0"/>
                <w:color w:val="000000"/>
                <w:kern w:val="0"/>
                <w:sz w:val="22"/>
                <w:szCs w:val="22"/>
                <w:u w:val="none"/>
                <w:lang w:val="en-US" w:eastAsia="zh-CN" w:bidi="ar"/>
              </w:rPr>
            </w:pPr>
            <w:r>
              <w:rPr>
                <w:rFonts w:hint="eastAsia" w:ascii="宋体" w:hAnsi="宋体" w:cs="宋体"/>
                <w:b/>
                <w:bCs/>
                <w:i w:val="0"/>
                <w:iCs w:val="0"/>
                <w:color w:val="000000"/>
                <w:kern w:val="0"/>
                <w:sz w:val="22"/>
                <w:szCs w:val="22"/>
                <w:u w:val="none"/>
                <w:lang w:val="en-US" w:eastAsia="zh-CN" w:bidi="ar"/>
              </w:rPr>
              <w:t>应征入伍</w:t>
            </w:r>
          </w:p>
        </w:tc>
        <w:tc>
          <w:tcPr>
            <w:tcW w:w="11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000000"/>
                <w:kern w:val="0"/>
                <w:sz w:val="22"/>
                <w:szCs w:val="22"/>
                <w:u w:val="none"/>
                <w:lang w:val="en-US" w:eastAsia="zh-CN" w:bidi="ar"/>
              </w:rPr>
            </w:pPr>
            <w:r>
              <w:rPr>
                <w:rFonts w:hint="eastAsia" w:ascii="宋体" w:hAnsi="宋体" w:eastAsia="宋体" w:cs="宋体"/>
                <w:b/>
                <w:bCs/>
                <w:i w:val="0"/>
                <w:iCs w:val="0"/>
                <w:color w:val="000000"/>
                <w:kern w:val="0"/>
                <w:sz w:val="22"/>
                <w:szCs w:val="22"/>
                <w:u w:val="none"/>
                <w:lang w:val="en-US" w:eastAsia="zh-CN" w:bidi="ar"/>
              </w:rPr>
              <w:t>就业率（%）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6" w:hRule="atLeast"/>
          <w:jc w:val="center"/>
        </w:trPr>
        <w:tc>
          <w:tcPr>
            <w:tcW w:w="2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t>酒店管理</w:t>
            </w:r>
          </w:p>
        </w:tc>
        <w:tc>
          <w:tcPr>
            <w:tcW w:w="9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宋体" w:hAnsi="宋体" w:eastAsia="宋体" w:cs="宋体"/>
                <w:i w:val="0"/>
                <w:iCs w:val="0"/>
                <w:color w:val="000000" w:themeColor="text1"/>
                <w:kern w:val="0"/>
                <w:sz w:val="22"/>
                <w:szCs w:val="22"/>
                <w:u w:val="none"/>
                <w:lang w:val="en-US" w:eastAsia="zh-CN" w:bidi="ar"/>
                <w14:textFill>
                  <w14:solidFill>
                    <w14:schemeClr w14:val="tx1"/>
                  </w14:solidFill>
                </w14:textFill>
              </w:rPr>
            </w:pPr>
            <w:r>
              <w:rPr>
                <w:rFonts w:hint="eastAsia" w:ascii="宋体" w:hAnsi="宋体" w:cs="宋体"/>
                <w:i w:val="0"/>
                <w:iCs w:val="0"/>
                <w:color w:val="000000" w:themeColor="text1"/>
                <w:kern w:val="0"/>
                <w:sz w:val="22"/>
                <w:szCs w:val="22"/>
                <w:u w:val="none"/>
                <w:lang w:val="en-US" w:eastAsia="zh-CN" w:bidi="ar"/>
                <w14:textFill>
                  <w14:solidFill>
                    <w14:schemeClr w14:val="tx1"/>
                  </w14:solidFill>
                </w14:textFill>
              </w:rPr>
              <w:t>29</w:t>
            </w:r>
          </w:p>
        </w:tc>
        <w:tc>
          <w:tcPr>
            <w:tcW w:w="16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宋体" w:hAnsi="宋体" w:eastAsia="宋体" w:cs="宋体"/>
                <w:i w:val="0"/>
                <w:iCs w:val="0"/>
                <w:color w:val="000000" w:themeColor="text1"/>
                <w:kern w:val="0"/>
                <w:sz w:val="22"/>
                <w:szCs w:val="22"/>
                <w:u w:val="none"/>
                <w:lang w:val="en-US" w:eastAsia="zh-CN" w:bidi="ar"/>
                <w14:textFill>
                  <w14:solidFill>
                    <w14:schemeClr w14:val="tx1"/>
                  </w14:solidFill>
                </w14:textFill>
              </w:rPr>
            </w:pPr>
            <w:r>
              <w:rPr>
                <w:rFonts w:hint="eastAsia" w:ascii="宋体" w:hAnsi="宋体" w:cs="宋体"/>
                <w:i w:val="0"/>
                <w:iCs w:val="0"/>
                <w:color w:val="000000" w:themeColor="text1"/>
                <w:kern w:val="0"/>
                <w:sz w:val="22"/>
                <w:szCs w:val="22"/>
                <w:u w:val="none"/>
                <w:lang w:val="en-US" w:eastAsia="zh-CN" w:bidi="ar"/>
                <w14:textFill>
                  <w14:solidFill>
                    <w14:schemeClr w14:val="tx1"/>
                  </w14:solidFill>
                </w14:textFill>
              </w:rPr>
              <w:t>25</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pPr>
            <w:r>
              <w:rPr>
                <w:rFonts w:hint="eastAsia" w:ascii="宋体" w:hAnsi="宋体" w:cs="宋体"/>
                <w:i w:val="0"/>
                <w:iCs w:val="0"/>
                <w:color w:val="000000" w:themeColor="text1"/>
                <w:kern w:val="0"/>
                <w:sz w:val="22"/>
                <w:szCs w:val="22"/>
                <w:u w:val="none"/>
                <w:lang w:val="en-US" w:eastAsia="zh-CN" w:bidi="ar"/>
                <w14:textFill>
                  <w14:solidFill>
                    <w14:schemeClr w14:val="tx1"/>
                  </w14:solidFill>
                </w14:textFill>
              </w:rPr>
              <w:t>0</w:t>
            </w:r>
          </w:p>
        </w:tc>
        <w:tc>
          <w:tcPr>
            <w:tcW w:w="14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pPr>
            <w:r>
              <w:rPr>
                <w:rFonts w:hint="eastAsia" w:ascii="宋体" w:hAnsi="宋体" w:cs="宋体"/>
                <w:i w:val="0"/>
                <w:iCs w:val="0"/>
                <w:color w:val="000000" w:themeColor="text1"/>
                <w:kern w:val="0"/>
                <w:sz w:val="22"/>
                <w:szCs w:val="22"/>
                <w:u w:val="none"/>
                <w:lang w:val="en-US" w:eastAsia="zh-CN" w:bidi="ar"/>
                <w14:textFill>
                  <w14:solidFill>
                    <w14:schemeClr w14:val="tx1"/>
                  </w14:solidFill>
                </w14:textFill>
              </w:rPr>
              <w:t>0</w:t>
            </w:r>
          </w:p>
        </w:tc>
        <w:tc>
          <w:tcPr>
            <w:tcW w:w="113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宋体" w:hAnsi="宋体" w:eastAsia="宋体" w:cs="宋体"/>
                <w:i w:val="0"/>
                <w:iCs w:val="0"/>
                <w:color w:val="000000" w:themeColor="text1"/>
                <w:kern w:val="0"/>
                <w:sz w:val="22"/>
                <w:szCs w:val="22"/>
                <w:u w:val="none"/>
                <w:lang w:val="en-US" w:eastAsia="zh-CN" w:bidi="ar"/>
                <w14:textFill>
                  <w14:solidFill>
                    <w14:schemeClr w14:val="tx1"/>
                  </w14:solidFill>
                </w14:textFill>
              </w:rPr>
            </w:pPr>
            <w:r>
              <w:rPr>
                <w:rFonts w:hint="eastAsia" w:ascii="宋体" w:hAnsi="宋体" w:cs="宋体"/>
                <w:i w:val="0"/>
                <w:iCs w:val="0"/>
                <w:color w:val="000000" w:themeColor="text1"/>
                <w:kern w:val="0"/>
                <w:sz w:val="22"/>
                <w:szCs w:val="22"/>
                <w:u w:val="none"/>
                <w:lang w:val="en-US" w:eastAsia="zh-CN" w:bidi="ar"/>
                <w14:textFill>
                  <w14:solidFill>
                    <w14:schemeClr w14:val="tx1"/>
                  </w14:solidFill>
                </w14:textFill>
              </w:rPr>
              <w:t>1</w:t>
            </w:r>
          </w:p>
        </w:tc>
        <w:tc>
          <w:tcPr>
            <w:tcW w:w="113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pPr>
            <w:r>
              <w:rPr>
                <w:rFonts w:hint="eastAsia" w:ascii="宋体" w:hAnsi="宋体" w:cs="宋体"/>
                <w:i w:val="0"/>
                <w:iCs w:val="0"/>
                <w:color w:val="000000" w:themeColor="text1"/>
                <w:kern w:val="0"/>
                <w:sz w:val="22"/>
                <w:szCs w:val="22"/>
                <w:u w:val="none"/>
                <w:lang w:val="en-US" w:eastAsia="zh-CN" w:bidi="ar"/>
                <w14:textFill>
                  <w14:solidFill>
                    <w14:schemeClr w14:val="tx1"/>
                  </w14:solidFill>
                </w14:textFill>
              </w:rPr>
              <w:t>89.66</w:t>
            </w:r>
            <w: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6" w:hRule="atLeast"/>
          <w:jc w:val="center"/>
        </w:trPr>
        <w:tc>
          <w:tcPr>
            <w:tcW w:w="2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旅游管理</w:t>
            </w:r>
          </w:p>
        </w:tc>
        <w:tc>
          <w:tcPr>
            <w:tcW w:w="9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宋体" w:hAnsi="宋体" w:eastAsia="宋体" w:cs="宋体"/>
                <w:i w:val="0"/>
                <w:iCs w:val="0"/>
                <w:color w:val="000000"/>
                <w:kern w:val="0"/>
                <w:sz w:val="22"/>
                <w:szCs w:val="22"/>
                <w:u w:val="none"/>
                <w:lang w:val="en-US" w:eastAsia="zh-CN" w:bidi="ar"/>
              </w:rPr>
            </w:pPr>
            <w:r>
              <w:rPr>
                <w:rFonts w:hint="eastAsia" w:ascii="宋体" w:hAnsi="宋体" w:cs="宋体"/>
                <w:i w:val="0"/>
                <w:iCs w:val="0"/>
                <w:color w:val="000000"/>
                <w:kern w:val="0"/>
                <w:sz w:val="22"/>
                <w:szCs w:val="22"/>
                <w:u w:val="none"/>
                <w:lang w:val="en-US" w:eastAsia="zh-CN" w:bidi="ar"/>
              </w:rPr>
              <w:t>30</w:t>
            </w:r>
          </w:p>
        </w:tc>
        <w:tc>
          <w:tcPr>
            <w:tcW w:w="16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23</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3</w:t>
            </w:r>
          </w:p>
        </w:tc>
        <w:tc>
          <w:tcPr>
            <w:tcW w:w="14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2</w:t>
            </w:r>
          </w:p>
        </w:tc>
        <w:tc>
          <w:tcPr>
            <w:tcW w:w="113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1</w:t>
            </w:r>
          </w:p>
        </w:tc>
        <w:tc>
          <w:tcPr>
            <w:tcW w:w="113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96.67%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6" w:hRule="atLeast"/>
          <w:jc w:val="center"/>
        </w:trPr>
        <w:tc>
          <w:tcPr>
            <w:tcW w:w="2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t>人文地理与城乡规划</w:t>
            </w:r>
          </w:p>
        </w:tc>
        <w:tc>
          <w:tcPr>
            <w:tcW w:w="9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宋体" w:hAnsi="宋体" w:eastAsia="宋体" w:cs="宋体"/>
                <w:i w:val="0"/>
                <w:iCs w:val="0"/>
                <w:color w:val="000000" w:themeColor="text1"/>
                <w:kern w:val="0"/>
                <w:sz w:val="22"/>
                <w:szCs w:val="22"/>
                <w:u w:val="none"/>
                <w:lang w:val="en-US" w:eastAsia="zh-CN" w:bidi="ar"/>
                <w14:textFill>
                  <w14:solidFill>
                    <w14:schemeClr w14:val="tx1"/>
                  </w14:solidFill>
                </w14:textFill>
              </w:rPr>
            </w:pPr>
            <w:r>
              <w:rPr>
                <w:rFonts w:hint="eastAsia" w:ascii="宋体" w:hAnsi="宋体" w:cs="宋体"/>
                <w:i w:val="0"/>
                <w:iCs w:val="0"/>
                <w:color w:val="000000" w:themeColor="text1"/>
                <w:kern w:val="0"/>
                <w:sz w:val="22"/>
                <w:szCs w:val="22"/>
                <w:u w:val="none"/>
                <w:lang w:val="en-US" w:eastAsia="zh-CN" w:bidi="ar"/>
                <w14:textFill>
                  <w14:solidFill>
                    <w14:schemeClr w14:val="tx1"/>
                  </w14:solidFill>
                </w14:textFill>
              </w:rPr>
              <w:t>35</w:t>
            </w:r>
          </w:p>
        </w:tc>
        <w:tc>
          <w:tcPr>
            <w:tcW w:w="16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宋体" w:hAnsi="宋体" w:eastAsia="宋体" w:cs="宋体"/>
                <w:i w:val="0"/>
                <w:iCs w:val="0"/>
                <w:color w:val="000000" w:themeColor="text1"/>
                <w:kern w:val="0"/>
                <w:sz w:val="22"/>
                <w:szCs w:val="22"/>
                <w:u w:val="none"/>
                <w:lang w:val="en-US" w:eastAsia="zh-CN" w:bidi="ar"/>
                <w14:textFill>
                  <w14:solidFill>
                    <w14:schemeClr w14:val="tx1"/>
                  </w14:solidFill>
                </w14:textFill>
              </w:rPr>
            </w:pPr>
            <w:r>
              <w:rPr>
                <w:rFonts w:hint="eastAsia" w:ascii="宋体" w:hAnsi="宋体" w:cs="宋体"/>
                <w:i w:val="0"/>
                <w:iCs w:val="0"/>
                <w:color w:val="000000" w:themeColor="text1"/>
                <w:kern w:val="0"/>
                <w:sz w:val="22"/>
                <w:szCs w:val="22"/>
                <w:u w:val="none"/>
                <w:lang w:val="en-US" w:eastAsia="zh-CN" w:bidi="ar"/>
                <w14:textFill>
                  <w14:solidFill>
                    <w14:schemeClr w14:val="tx1"/>
                  </w14:solidFill>
                </w14:textFill>
              </w:rPr>
              <w:t>23</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pPr>
            <w:r>
              <w:rPr>
                <w:rFonts w:hint="eastAsia" w:ascii="宋体" w:hAnsi="宋体" w:cs="宋体"/>
                <w:i w:val="0"/>
                <w:iCs w:val="0"/>
                <w:color w:val="000000" w:themeColor="text1"/>
                <w:kern w:val="0"/>
                <w:sz w:val="22"/>
                <w:szCs w:val="22"/>
                <w:u w:val="none"/>
                <w:lang w:val="en-US" w:eastAsia="zh-CN" w:bidi="ar"/>
                <w14:textFill>
                  <w14:solidFill>
                    <w14:schemeClr w14:val="tx1"/>
                  </w14:solidFill>
                </w14:textFill>
              </w:rPr>
              <w:t>7</w:t>
            </w:r>
          </w:p>
        </w:tc>
        <w:tc>
          <w:tcPr>
            <w:tcW w:w="14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pPr>
            <w:r>
              <w:rPr>
                <w:rFonts w:hint="eastAsia" w:ascii="宋体" w:hAnsi="宋体" w:cs="宋体"/>
                <w:i w:val="0"/>
                <w:iCs w:val="0"/>
                <w:color w:val="000000" w:themeColor="text1"/>
                <w:kern w:val="0"/>
                <w:sz w:val="22"/>
                <w:szCs w:val="22"/>
                <w:u w:val="none"/>
                <w:lang w:val="en-US" w:eastAsia="zh-CN" w:bidi="ar"/>
                <w14:textFill>
                  <w14:solidFill>
                    <w14:schemeClr w14:val="tx1"/>
                  </w14:solidFill>
                </w14:textFill>
              </w:rPr>
              <w:t>2</w:t>
            </w:r>
          </w:p>
        </w:tc>
        <w:tc>
          <w:tcPr>
            <w:tcW w:w="113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宋体" w:hAnsi="宋体" w:eastAsia="宋体" w:cs="宋体"/>
                <w:i w:val="0"/>
                <w:iCs w:val="0"/>
                <w:color w:val="000000" w:themeColor="text1"/>
                <w:kern w:val="0"/>
                <w:sz w:val="22"/>
                <w:szCs w:val="22"/>
                <w:u w:val="none"/>
                <w:lang w:val="en-US" w:eastAsia="zh-CN" w:bidi="ar"/>
                <w14:textFill>
                  <w14:solidFill>
                    <w14:schemeClr w14:val="tx1"/>
                  </w14:solidFill>
                </w14:textFill>
              </w:rPr>
            </w:pPr>
            <w:r>
              <w:rPr>
                <w:rFonts w:hint="eastAsia" w:ascii="宋体" w:hAnsi="宋体" w:cs="宋体"/>
                <w:i w:val="0"/>
                <w:iCs w:val="0"/>
                <w:color w:val="000000" w:themeColor="text1"/>
                <w:kern w:val="0"/>
                <w:sz w:val="22"/>
                <w:szCs w:val="22"/>
                <w:u w:val="none"/>
                <w:lang w:val="en-US" w:eastAsia="zh-CN" w:bidi="ar"/>
                <w14:textFill>
                  <w14:solidFill>
                    <w14:schemeClr w14:val="tx1"/>
                  </w14:solidFill>
                </w14:textFill>
              </w:rPr>
              <w:t>1</w:t>
            </w:r>
          </w:p>
        </w:tc>
        <w:tc>
          <w:tcPr>
            <w:tcW w:w="113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pPr>
            <w:r>
              <w:rPr>
                <w:rFonts w:hint="eastAsia" w:ascii="宋体" w:hAnsi="宋体" w:cs="宋体"/>
                <w:i w:val="0"/>
                <w:iCs w:val="0"/>
                <w:color w:val="000000" w:themeColor="text1"/>
                <w:kern w:val="0"/>
                <w:sz w:val="22"/>
                <w:szCs w:val="22"/>
                <w:u w:val="none"/>
                <w:lang w:val="en-US" w:eastAsia="zh-CN" w:bidi="ar"/>
                <w14:textFill>
                  <w14:solidFill>
                    <w14:schemeClr w14:val="tx1"/>
                  </w14:solidFill>
                </w14:textFill>
              </w:rPr>
              <w:t>94.29</w:t>
            </w:r>
            <w: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56" w:hRule="atLeast"/>
          <w:jc w:val="center"/>
        </w:trPr>
        <w:tc>
          <w:tcPr>
            <w:tcW w:w="2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宋体" w:hAnsi="宋体" w:eastAsia="宋体" w:cs="宋体"/>
                <w:i w:val="0"/>
                <w:iCs w:val="0"/>
                <w:color w:val="000000" w:themeColor="text1"/>
                <w:kern w:val="0"/>
                <w:sz w:val="22"/>
                <w:szCs w:val="22"/>
                <w:u w:val="none"/>
                <w:lang w:val="en-US" w:eastAsia="zh-CN" w:bidi="ar"/>
                <w14:textFill>
                  <w14:solidFill>
                    <w14:schemeClr w14:val="tx1"/>
                  </w14:solidFill>
                </w14:textFill>
              </w:rPr>
            </w:pPr>
            <w:r>
              <w:rPr>
                <w:rFonts w:hint="eastAsia" w:ascii="宋体" w:hAnsi="宋体" w:cs="宋体"/>
                <w:i w:val="0"/>
                <w:iCs w:val="0"/>
                <w:color w:val="000000" w:themeColor="text1"/>
                <w:kern w:val="0"/>
                <w:sz w:val="22"/>
                <w:szCs w:val="22"/>
                <w:u w:val="none"/>
                <w:lang w:val="en-US" w:eastAsia="zh-CN" w:bidi="ar"/>
                <w14:textFill>
                  <w14:solidFill>
                    <w14:schemeClr w14:val="tx1"/>
                  </w14:solidFill>
                </w14:textFill>
              </w:rPr>
              <w:t>专科</w:t>
            </w:r>
          </w:p>
        </w:tc>
        <w:tc>
          <w:tcPr>
            <w:tcW w:w="9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宋体" w:hAnsi="宋体" w:cs="宋体"/>
                <w:i w:val="0"/>
                <w:iCs w:val="0"/>
                <w:color w:val="000000" w:themeColor="text1"/>
                <w:kern w:val="0"/>
                <w:sz w:val="22"/>
                <w:szCs w:val="22"/>
                <w:u w:val="none"/>
                <w:lang w:val="en-US" w:eastAsia="zh-CN" w:bidi="ar"/>
                <w14:textFill>
                  <w14:solidFill>
                    <w14:schemeClr w14:val="tx1"/>
                  </w14:solidFill>
                </w14:textFill>
              </w:rPr>
            </w:pPr>
            <w:r>
              <w:rPr>
                <w:rFonts w:hint="eastAsia" w:ascii="宋体" w:hAnsi="宋体" w:cs="宋体"/>
                <w:i w:val="0"/>
                <w:iCs w:val="0"/>
                <w:color w:val="000000" w:themeColor="text1"/>
                <w:kern w:val="0"/>
                <w:sz w:val="22"/>
                <w:szCs w:val="22"/>
                <w:u w:val="none"/>
                <w:lang w:val="en-US" w:eastAsia="zh-CN" w:bidi="ar"/>
                <w14:textFill>
                  <w14:solidFill>
                    <w14:schemeClr w14:val="tx1"/>
                  </w14:solidFill>
                </w14:textFill>
              </w:rPr>
              <w:t>2</w:t>
            </w:r>
          </w:p>
        </w:tc>
        <w:tc>
          <w:tcPr>
            <w:tcW w:w="16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宋体" w:hAnsi="宋体" w:eastAsia="宋体" w:cs="宋体"/>
                <w:i w:val="0"/>
                <w:iCs w:val="0"/>
                <w:color w:val="000000" w:themeColor="text1"/>
                <w:kern w:val="0"/>
                <w:sz w:val="22"/>
                <w:szCs w:val="22"/>
                <w:u w:val="none"/>
                <w:lang w:val="en-US" w:eastAsia="zh-CN" w:bidi="ar"/>
                <w14:textFill>
                  <w14:solidFill>
                    <w14:schemeClr w14:val="tx1"/>
                  </w14:solidFill>
                </w14:textFill>
              </w:rPr>
            </w:pPr>
            <w:r>
              <w:rPr>
                <w:rFonts w:hint="eastAsia" w:ascii="宋体" w:hAnsi="宋体" w:cs="宋体"/>
                <w:i w:val="0"/>
                <w:iCs w:val="0"/>
                <w:color w:val="000000" w:themeColor="text1"/>
                <w:kern w:val="0"/>
                <w:sz w:val="22"/>
                <w:szCs w:val="22"/>
                <w:u w:val="none"/>
                <w:lang w:val="en-US" w:eastAsia="zh-CN" w:bidi="ar"/>
                <w14:textFill>
                  <w14:solidFill>
                    <w14:schemeClr w14:val="tx1"/>
                  </w14:solidFill>
                </w14:textFill>
              </w:rPr>
              <w:t>2</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宋体" w:hAnsi="宋体" w:eastAsia="宋体" w:cs="宋体"/>
                <w:i w:val="0"/>
                <w:iCs w:val="0"/>
                <w:color w:val="000000" w:themeColor="text1"/>
                <w:kern w:val="0"/>
                <w:sz w:val="22"/>
                <w:szCs w:val="22"/>
                <w:u w:val="none"/>
                <w:lang w:val="en-US" w:eastAsia="zh-CN" w:bidi="ar"/>
                <w14:textFill>
                  <w14:solidFill>
                    <w14:schemeClr w14:val="tx1"/>
                  </w14:solidFill>
                </w14:textFill>
              </w:rPr>
            </w:pPr>
            <w:r>
              <w:rPr>
                <w:rFonts w:hint="eastAsia" w:ascii="宋体" w:hAnsi="宋体" w:cs="宋体"/>
                <w:i w:val="0"/>
                <w:iCs w:val="0"/>
                <w:color w:val="000000" w:themeColor="text1"/>
                <w:kern w:val="0"/>
                <w:sz w:val="22"/>
                <w:szCs w:val="22"/>
                <w:u w:val="none"/>
                <w:lang w:val="en-US" w:eastAsia="zh-CN" w:bidi="ar"/>
                <w14:textFill>
                  <w14:solidFill>
                    <w14:schemeClr w14:val="tx1"/>
                  </w14:solidFill>
                </w14:textFill>
              </w:rPr>
              <w:t>0</w:t>
            </w:r>
          </w:p>
        </w:tc>
        <w:tc>
          <w:tcPr>
            <w:tcW w:w="14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宋体" w:hAnsi="宋体" w:eastAsia="宋体" w:cs="宋体"/>
                <w:i w:val="0"/>
                <w:iCs w:val="0"/>
                <w:color w:val="000000" w:themeColor="text1"/>
                <w:kern w:val="0"/>
                <w:sz w:val="22"/>
                <w:szCs w:val="22"/>
                <w:u w:val="none"/>
                <w:lang w:val="en-US" w:eastAsia="zh-CN" w:bidi="ar"/>
                <w14:textFill>
                  <w14:solidFill>
                    <w14:schemeClr w14:val="tx1"/>
                  </w14:solidFill>
                </w14:textFill>
              </w:rPr>
            </w:pPr>
            <w:r>
              <w:rPr>
                <w:rFonts w:hint="eastAsia" w:ascii="宋体" w:hAnsi="宋体" w:cs="宋体"/>
                <w:i w:val="0"/>
                <w:iCs w:val="0"/>
                <w:color w:val="000000" w:themeColor="text1"/>
                <w:kern w:val="0"/>
                <w:sz w:val="22"/>
                <w:szCs w:val="22"/>
                <w:u w:val="none"/>
                <w:lang w:val="en-US" w:eastAsia="zh-CN" w:bidi="ar"/>
                <w14:textFill>
                  <w14:solidFill>
                    <w14:schemeClr w14:val="tx1"/>
                  </w14:solidFill>
                </w14:textFill>
              </w:rPr>
              <w:t>0</w:t>
            </w:r>
          </w:p>
        </w:tc>
        <w:tc>
          <w:tcPr>
            <w:tcW w:w="113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宋体" w:hAnsi="宋体" w:eastAsia="宋体" w:cs="宋体"/>
                <w:i w:val="0"/>
                <w:iCs w:val="0"/>
                <w:color w:val="000000" w:themeColor="text1"/>
                <w:kern w:val="0"/>
                <w:sz w:val="22"/>
                <w:szCs w:val="22"/>
                <w:u w:val="none"/>
                <w:lang w:val="en-US" w:eastAsia="zh-CN" w:bidi="ar"/>
                <w14:textFill>
                  <w14:solidFill>
                    <w14:schemeClr w14:val="tx1"/>
                  </w14:solidFill>
                </w14:textFill>
              </w:rPr>
            </w:pPr>
            <w:r>
              <w:rPr>
                <w:rFonts w:hint="eastAsia" w:ascii="宋体" w:hAnsi="宋体" w:cs="宋体"/>
                <w:i w:val="0"/>
                <w:iCs w:val="0"/>
                <w:color w:val="000000" w:themeColor="text1"/>
                <w:kern w:val="0"/>
                <w:sz w:val="22"/>
                <w:szCs w:val="22"/>
                <w:u w:val="none"/>
                <w:lang w:val="en-US" w:eastAsia="zh-CN" w:bidi="ar"/>
                <w14:textFill>
                  <w14:solidFill>
                    <w14:schemeClr w14:val="tx1"/>
                  </w14:solidFill>
                </w14:textFill>
              </w:rPr>
              <w:t>0</w:t>
            </w:r>
          </w:p>
        </w:tc>
        <w:tc>
          <w:tcPr>
            <w:tcW w:w="113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宋体" w:hAnsi="宋体" w:eastAsia="宋体" w:cs="宋体"/>
                <w:i w:val="0"/>
                <w:iCs w:val="0"/>
                <w:color w:val="000000" w:themeColor="text1"/>
                <w:kern w:val="0"/>
                <w:sz w:val="22"/>
                <w:szCs w:val="22"/>
                <w:u w:val="none"/>
                <w:lang w:val="en-US" w:eastAsia="zh-CN" w:bidi="ar"/>
                <w14:textFill>
                  <w14:solidFill>
                    <w14:schemeClr w14:val="tx1"/>
                  </w14:solidFill>
                </w14:textFill>
              </w:rPr>
            </w:pPr>
            <w:r>
              <w:rPr>
                <w:rFonts w:hint="eastAsia" w:ascii="宋体" w:hAnsi="宋体" w:cs="宋体"/>
                <w:i w:val="0"/>
                <w:iCs w:val="0"/>
                <w:color w:val="000000" w:themeColor="text1"/>
                <w:kern w:val="0"/>
                <w:sz w:val="22"/>
                <w:szCs w:val="22"/>
                <w:u w:val="none"/>
                <w:lang w:val="en-US" w:eastAsia="zh-CN" w:bidi="ar"/>
                <w14:textFill>
                  <w14:solidFill>
                    <w14:schemeClr w14:val="tx1"/>
                  </w14:solidFill>
                </w14:textFill>
              </w:rPr>
              <w:t>100%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56" w:hRule="atLeast"/>
          <w:jc w:val="center"/>
        </w:trPr>
        <w:tc>
          <w:tcPr>
            <w:tcW w:w="22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t>总计</w:t>
            </w:r>
          </w:p>
        </w:tc>
        <w:tc>
          <w:tcPr>
            <w:tcW w:w="9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宋体" w:hAnsi="宋体" w:eastAsia="宋体" w:cs="宋体"/>
                <w:i w:val="0"/>
                <w:iCs w:val="0"/>
                <w:color w:val="000000" w:themeColor="text1"/>
                <w:kern w:val="0"/>
                <w:sz w:val="22"/>
                <w:szCs w:val="22"/>
                <w:u w:val="none"/>
                <w:lang w:val="en-US" w:eastAsia="zh-CN" w:bidi="ar"/>
                <w14:textFill>
                  <w14:solidFill>
                    <w14:schemeClr w14:val="tx1"/>
                  </w14:solidFill>
                </w14:textFill>
              </w:rPr>
            </w:pPr>
            <w:r>
              <w:rPr>
                <w:rFonts w:hint="eastAsia" w:ascii="宋体" w:hAnsi="宋体" w:cs="宋体"/>
                <w:i w:val="0"/>
                <w:iCs w:val="0"/>
                <w:color w:val="000000" w:themeColor="text1"/>
                <w:kern w:val="0"/>
                <w:sz w:val="22"/>
                <w:szCs w:val="22"/>
                <w:u w:val="none"/>
                <w:lang w:val="en-US" w:eastAsia="zh-CN" w:bidi="ar"/>
                <w14:textFill>
                  <w14:solidFill>
                    <w14:schemeClr w14:val="tx1"/>
                  </w14:solidFill>
                </w14:textFill>
              </w:rPr>
              <w:t>96</w:t>
            </w:r>
          </w:p>
        </w:tc>
        <w:tc>
          <w:tcPr>
            <w:tcW w:w="16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宋体" w:hAnsi="宋体" w:eastAsia="宋体" w:cs="宋体"/>
                <w:i w:val="0"/>
                <w:iCs w:val="0"/>
                <w:color w:val="000000" w:themeColor="text1"/>
                <w:kern w:val="0"/>
                <w:sz w:val="22"/>
                <w:szCs w:val="22"/>
                <w:u w:val="none"/>
                <w:lang w:val="en-US" w:eastAsia="zh-CN" w:bidi="ar"/>
                <w14:textFill>
                  <w14:solidFill>
                    <w14:schemeClr w14:val="tx1"/>
                  </w14:solidFill>
                </w14:textFill>
              </w:rPr>
            </w:pPr>
            <w:r>
              <w:rPr>
                <w:rFonts w:hint="eastAsia" w:ascii="宋体" w:hAnsi="宋体" w:cs="宋体"/>
                <w:i w:val="0"/>
                <w:iCs w:val="0"/>
                <w:color w:val="000000" w:themeColor="text1"/>
                <w:kern w:val="0"/>
                <w:sz w:val="22"/>
                <w:szCs w:val="22"/>
                <w:u w:val="none"/>
                <w:lang w:val="en-US" w:eastAsia="zh-CN" w:bidi="ar"/>
                <w14:textFill>
                  <w14:solidFill>
                    <w14:schemeClr w14:val="tx1"/>
                  </w14:solidFill>
                </w14:textFill>
              </w:rPr>
              <w:t>73</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宋体" w:hAnsi="宋体" w:eastAsia="宋体" w:cs="宋体"/>
                <w:i w:val="0"/>
                <w:iCs w:val="0"/>
                <w:color w:val="000000" w:themeColor="text1"/>
                <w:kern w:val="0"/>
                <w:sz w:val="22"/>
                <w:szCs w:val="22"/>
                <w:u w:val="none"/>
                <w:lang w:val="en-US" w:eastAsia="zh-CN" w:bidi="ar"/>
                <w14:textFill>
                  <w14:solidFill>
                    <w14:schemeClr w14:val="tx1"/>
                  </w14:solidFill>
                </w14:textFill>
              </w:rPr>
            </w:pPr>
            <w:r>
              <w:rPr>
                <w:rFonts w:hint="eastAsia" w:ascii="宋体" w:hAnsi="宋体" w:cs="宋体"/>
                <w:i w:val="0"/>
                <w:iCs w:val="0"/>
                <w:color w:val="000000" w:themeColor="text1"/>
                <w:kern w:val="0"/>
                <w:sz w:val="22"/>
                <w:szCs w:val="22"/>
                <w:u w:val="none"/>
                <w:lang w:val="en-US" w:eastAsia="zh-CN" w:bidi="ar"/>
                <w14:textFill>
                  <w14:solidFill>
                    <w14:schemeClr w14:val="tx1"/>
                  </w14:solidFill>
                </w14:textFill>
              </w:rPr>
              <w:t>10</w:t>
            </w:r>
          </w:p>
        </w:tc>
        <w:tc>
          <w:tcPr>
            <w:tcW w:w="14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pPr>
            <w:r>
              <w:rPr>
                <w:rFonts w:hint="eastAsia" w:ascii="宋体" w:hAnsi="宋体" w:cs="宋体"/>
                <w:i w:val="0"/>
                <w:iCs w:val="0"/>
                <w:color w:val="000000" w:themeColor="text1"/>
                <w:kern w:val="0"/>
                <w:sz w:val="22"/>
                <w:szCs w:val="22"/>
                <w:u w:val="none"/>
                <w:lang w:val="en-US" w:eastAsia="zh-CN" w:bidi="ar"/>
                <w14:textFill>
                  <w14:solidFill>
                    <w14:schemeClr w14:val="tx1"/>
                  </w14:solidFill>
                </w14:textFill>
              </w:rPr>
              <w:t>4</w:t>
            </w:r>
          </w:p>
        </w:tc>
        <w:tc>
          <w:tcPr>
            <w:tcW w:w="113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宋体" w:hAnsi="宋体" w:eastAsia="宋体" w:cs="宋体"/>
                <w:i w:val="0"/>
                <w:iCs w:val="0"/>
                <w:color w:val="000000" w:themeColor="text1"/>
                <w:kern w:val="0"/>
                <w:sz w:val="22"/>
                <w:szCs w:val="22"/>
                <w:u w:val="none"/>
                <w:lang w:val="en-US" w:eastAsia="zh-CN" w:bidi="ar"/>
                <w14:textFill>
                  <w14:solidFill>
                    <w14:schemeClr w14:val="tx1"/>
                  </w14:solidFill>
                </w14:textFill>
              </w:rPr>
            </w:pPr>
            <w:r>
              <w:rPr>
                <w:rFonts w:hint="eastAsia" w:ascii="宋体" w:hAnsi="宋体" w:cs="宋体"/>
                <w:i w:val="0"/>
                <w:iCs w:val="0"/>
                <w:color w:val="000000" w:themeColor="text1"/>
                <w:kern w:val="0"/>
                <w:sz w:val="22"/>
                <w:szCs w:val="22"/>
                <w:u w:val="none"/>
                <w:lang w:val="en-US" w:eastAsia="zh-CN" w:bidi="ar"/>
                <w14:textFill>
                  <w14:solidFill>
                    <w14:schemeClr w14:val="tx1"/>
                  </w14:solidFill>
                </w14:textFill>
              </w:rPr>
              <w:t>3</w:t>
            </w:r>
          </w:p>
        </w:tc>
        <w:tc>
          <w:tcPr>
            <w:tcW w:w="113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pPr>
            <w:r>
              <w:rPr>
                <w:rFonts w:hint="eastAsia" w:ascii="宋体" w:hAnsi="宋体" w:cs="宋体"/>
                <w:i w:val="0"/>
                <w:iCs w:val="0"/>
                <w:color w:val="000000" w:themeColor="text1"/>
                <w:kern w:val="0"/>
                <w:sz w:val="22"/>
                <w:szCs w:val="22"/>
                <w:u w:val="none"/>
                <w:lang w:val="en-US" w:eastAsia="zh-CN" w:bidi="ar"/>
                <w14:textFill>
                  <w14:solidFill>
                    <w14:schemeClr w14:val="tx1"/>
                  </w14:solidFill>
                </w14:textFill>
              </w:rPr>
              <w:t>93.75</w:t>
            </w:r>
            <w: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t>%</w:t>
            </w:r>
          </w:p>
        </w:tc>
      </w:tr>
    </w:tbl>
    <w:p>
      <w:pPr>
        <w:keepNext w:val="0"/>
        <w:keepLines w:val="0"/>
        <w:pageBreakBefore w:val="0"/>
        <w:widowControl w:val="0"/>
        <w:numPr>
          <w:ilvl w:val="0"/>
          <w:numId w:val="16"/>
        </w:numPr>
        <w:kinsoku/>
        <w:wordWrap/>
        <w:overflowPunct/>
        <w:topLinePunct w:val="0"/>
        <w:autoSpaceDE/>
        <w:autoSpaceDN/>
        <w:bidi w:val="0"/>
        <w:adjustRightInd/>
        <w:snapToGrid/>
        <w:spacing w:before="313" w:beforeLines="100" w:after="157" w:afterLines="50" w:line="360" w:lineRule="auto"/>
        <w:ind w:firstLine="482" w:firstLineChars="200"/>
        <w:jc w:val="left"/>
        <w:textAlignment w:val="auto"/>
        <w:rPr>
          <w:rFonts w:hint="eastAsia" w:ascii="宋体" w:hAnsi="宋体"/>
          <w:b/>
          <w:sz w:val="24"/>
          <w:szCs w:val="24"/>
          <w:lang w:val="en-US" w:eastAsia="zh-CN"/>
        </w:rPr>
      </w:pPr>
      <w:r>
        <w:rPr>
          <w:rFonts w:hint="eastAsia" w:ascii="宋体" w:hAnsi="宋体"/>
          <w:b/>
          <w:sz w:val="24"/>
          <w:szCs w:val="24"/>
          <w:lang w:val="en-US" w:eastAsia="zh-CN"/>
        </w:rPr>
        <w:t>旅游与会展学院各专业就业结构分析情况</w:t>
      </w:r>
    </w:p>
    <w:p>
      <w:pPr>
        <w:keepNext w:val="0"/>
        <w:keepLines w:val="0"/>
        <w:pageBreakBefore w:val="0"/>
        <w:widowControl w:val="0"/>
        <w:numPr>
          <w:ilvl w:val="0"/>
          <w:numId w:val="17"/>
        </w:numPr>
        <w:kinsoku/>
        <w:wordWrap/>
        <w:overflowPunct/>
        <w:topLinePunct w:val="0"/>
        <w:autoSpaceDE/>
        <w:autoSpaceDN/>
        <w:bidi w:val="0"/>
        <w:adjustRightInd/>
        <w:snapToGrid/>
        <w:spacing w:after="157" w:afterLines="50" w:line="360" w:lineRule="auto"/>
        <w:ind w:firstLine="480" w:firstLineChars="200"/>
        <w:jc w:val="left"/>
        <w:textAlignment w:val="auto"/>
        <w:rPr>
          <w:rFonts w:hint="eastAsia" w:ascii="宋体" w:hAnsi="宋体"/>
          <w:b w:val="0"/>
          <w:bCs/>
          <w:sz w:val="24"/>
          <w:szCs w:val="24"/>
          <w:lang w:val="en-US" w:eastAsia="zh-CN"/>
        </w:rPr>
      </w:pPr>
      <w:r>
        <w:rPr>
          <w:rFonts w:hint="eastAsia" w:ascii="宋体" w:hAnsi="宋体"/>
          <w:b w:val="0"/>
          <w:bCs/>
          <w:sz w:val="24"/>
          <w:szCs w:val="24"/>
          <w:lang w:val="en-US" w:eastAsia="zh-CN"/>
        </w:rPr>
        <w:t>就业类型结构分析</w:t>
      </w:r>
    </w:p>
    <w:p>
      <w:pPr>
        <w:keepNext w:val="0"/>
        <w:keepLines w:val="0"/>
        <w:pageBreakBefore w:val="0"/>
        <w:widowControl w:val="0"/>
        <w:numPr>
          <w:ilvl w:val="0"/>
          <w:numId w:val="0"/>
        </w:numPr>
        <w:kinsoku/>
        <w:wordWrap/>
        <w:overflowPunct/>
        <w:topLinePunct w:val="0"/>
        <w:autoSpaceDE/>
        <w:autoSpaceDN/>
        <w:bidi w:val="0"/>
        <w:adjustRightInd/>
        <w:snapToGrid/>
        <w:spacing w:before="157" w:beforeLines="50" w:line="240" w:lineRule="auto"/>
        <w:ind w:firstLine="0" w:firstLineChars="0"/>
        <w:jc w:val="center"/>
        <w:textAlignment w:val="auto"/>
        <w:rPr>
          <w:rFonts w:hint="eastAsia" w:ascii="宋体" w:hAnsi="宋体"/>
          <w:b w:val="0"/>
          <w:bCs/>
          <w:sz w:val="24"/>
          <w:szCs w:val="24"/>
          <w:lang w:val="en-US" w:eastAsia="zh-CN"/>
        </w:rPr>
      </w:pPr>
      <w:r>
        <w:rPr>
          <w:rFonts w:hint="eastAsia" w:ascii="宋体" w:hAnsi="宋体" w:eastAsia="宋体" w:cs="宋体"/>
          <w:color w:val="000000"/>
          <w:sz w:val="21"/>
          <w:szCs w:val="21"/>
          <w:lang w:val="en-US" w:eastAsia="zh-CN"/>
        </w:rPr>
        <w:t>表</w:t>
      </w:r>
      <w:r>
        <w:rPr>
          <w:rFonts w:hint="eastAsia" w:ascii="宋体" w:hAnsi="宋体" w:cs="宋体"/>
          <w:color w:val="000000"/>
          <w:sz w:val="21"/>
          <w:szCs w:val="21"/>
          <w:lang w:val="en-US" w:eastAsia="zh-CN"/>
        </w:rPr>
        <w:t>2</w:t>
      </w:r>
      <w:r>
        <w:rPr>
          <w:rFonts w:hint="eastAsia" w:ascii="宋体" w:hAnsi="宋体" w:eastAsia="宋体" w:cs="宋体"/>
          <w:color w:val="000000"/>
          <w:sz w:val="21"/>
          <w:szCs w:val="21"/>
          <w:lang w:val="en-US" w:eastAsia="zh-CN"/>
        </w:rPr>
        <w:t>-1 旅游与会展学院202</w:t>
      </w:r>
      <w:r>
        <w:rPr>
          <w:rFonts w:hint="eastAsia" w:ascii="宋体" w:hAnsi="宋体" w:cs="宋体"/>
          <w:color w:val="000000"/>
          <w:sz w:val="21"/>
          <w:szCs w:val="21"/>
          <w:lang w:val="en-US" w:eastAsia="zh-CN"/>
        </w:rPr>
        <w:t>2</w:t>
      </w:r>
      <w:r>
        <w:rPr>
          <w:rFonts w:hint="eastAsia" w:ascii="宋体" w:hAnsi="宋体" w:eastAsia="宋体" w:cs="宋体"/>
          <w:color w:val="000000"/>
          <w:sz w:val="21"/>
          <w:szCs w:val="21"/>
          <w:lang w:val="en-US" w:eastAsia="zh-CN"/>
        </w:rPr>
        <w:t>届毕业生</w:t>
      </w:r>
      <w:r>
        <w:rPr>
          <w:rFonts w:hint="eastAsia" w:ascii="宋体" w:hAnsi="宋体" w:cs="宋体"/>
          <w:color w:val="000000"/>
          <w:sz w:val="21"/>
          <w:szCs w:val="21"/>
          <w:lang w:val="en-US" w:eastAsia="zh-CN"/>
        </w:rPr>
        <w:t>就业类型结构</w:t>
      </w:r>
    </w:p>
    <w:tbl>
      <w:tblPr>
        <w:tblStyle w:val="13"/>
        <w:tblW w:w="8433"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2196"/>
        <w:gridCol w:w="567"/>
        <w:gridCol w:w="567"/>
        <w:gridCol w:w="567"/>
        <w:gridCol w:w="567"/>
        <w:gridCol w:w="567"/>
        <w:gridCol w:w="567"/>
        <w:gridCol w:w="567"/>
        <w:gridCol w:w="567"/>
        <w:gridCol w:w="567"/>
        <w:gridCol w:w="567"/>
        <w:gridCol w:w="567"/>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atLeast"/>
          <w:jc w:val="center"/>
        </w:trPr>
        <w:tc>
          <w:tcPr>
            <w:tcW w:w="2196"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ascii="等线" w:hAnsi="等线" w:eastAsia="等线" w:cs="等线"/>
                <w:i w:val="0"/>
                <w:iCs w:val="0"/>
                <w:color w:val="000000"/>
                <w:sz w:val="28"/>
                <w:szCs w:val="28"/>
                <w:u w:val="none"/>
              </w:rPr>
            </w:pPr>
            <w:r>
              <w:rPr>
                <w:sz w:val="28"/>
              </w:rPr>
              <mc:AlternateContent>
                <mc:Choice Requires="wps">
                  <w:drawing>
                    <wp:anchor distT="0" distB="0" distL="114300" distR="114300" simplePos="0" relativeHeight="251665408" behindDoc="0" locked="0" layoutInCell="1" allowOverlap="1">
                      <wp:simplePos x="0" y="0"/>
                      <wp:positionH relativeFrom="column">
                        <wp:posOffset>-59690</wp:posOffset>
                      </wp:positionH>
                      <wp:positionV relativeFrom="paragraph">
                        <wp:posOffset>-2540</wp:posOffset>
                      </wp:positionV>
                      <wp:extent cx="1395095" cy="1395095"/>
                      <wp:effectExtent l="3175" t="3175" r="11430" b="11430"/>
                      <wp:wrapNone/>
                      <wp:docPr id="32" name="直接连接符 32"/>
                      <wp:cNvGraphicFramePr/>
                      <a:graphic xmlns:a="http://schemas.openxmlformats.org/drawingml/2006/main">
                        <a:graphicData uri="http://schemas.microsoft.com/office/word/2010/wordprocessingShape">
                          <wps:wsp>
                            <wps:cNvCnPr/>
                            <wps:spPr>
                              <a:xfrm>
                                <a:off x="1111250" y="4185285"/>
                                <a:ext cx="1395095" cy="1395095"/>
                              </a:xfrm>
                              <a:prstGeom prst="line">
                                <a:avLst/>
                              </a:prstGeom>
                              <a:ln w="63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4.7pt;margin-top:-0.2pt;height:109.85pt;width:109.85pt;z-index:251665408;mso-width-relative:page;mso-height-relative:page;" filled="f" stroked="t" coordsize="21600,21600" o:gfxdata="UEsDBAoAAAAAAIdO4kAAAAAAAAAAAAAAAAAEAAAAZHJzL1BLAwQUAAAACACHTuJAG744hNUAAAAI&#10;AQAADwAAAGRycy9kb3ducmV2LnhtbE2PzU7DQAyE70i8w8pI3NrdtKi0IZsKVeIK6g/i6iQmich6&#10;o+ymDTw97glOY2tG48/ZdnKdOtMQWs8WkrkBRVz6quXawun4MluDChG5ws4zWfimANv89ibDtPIX&#10;3tP5EGslJRxStNDE2Kdah7Ihh2Hue2LxPv3gMMo61Loa8CLlrtMLY1baYctyocGedg2VX4fRWRjp&#10;+PaDj+8fhTPT6fl1x/v1iq29v0vME6hIU/wLwxVf0CEXpsKPXAXVWZhtHiQpKiL2IjFLUMV12CxB&#10;55n+/0D+C1BLAwQUAAAACACHTuJAJkloZecBAACtAwAADgAAAGRycy9lMm9Eb2MueG1srVPNbhMx&#10;EL4j8Q6W72Q3CanSVTY9NCoXBJGAB5h4vbuW/CePm01eghdA4gYnjtx5G8pjMPamLW0vPeCD1575&#10;/Hm+z7Ori4PRbC8DKmdrPp2UnEkrXKNsV/NPH69eLTnDCLYB7ays+VEiv1i/fLEafCVnrne6kYER&#10;icVq8DXvY/RVUaDopQGcOC8tJVsXDETahq5oAgzEbnQxK8uzYnCh8cEJiUjRzZjkJ8bwHELXtkrI&#10;jRPXRto4sgapIZIk7JVHvs7Vtq0U8X3booxM15yUxjzTJbTepblYr6DqAvheiVMJ8JwSHmkyoCxd&#10;eke1gQjsOqgnVEaJ4NC1cSKcKUYh2RFSMS0fefOhBy+zFrIa/Z3p+P9oxbv9NjDV1Hw+48yCoRe/&#10;+fLz9+dvf359pfnmx3dGGbJp8FgR+tJuw2mHfhuS5kMbTPqSGnaglqIxW5DBx5q/ni4Xs+VitFke&#10;IhMJMD9flOcLzgQhbjfEWdxT+YDxjXSGpUXNtbLJB6hg/xbjCL2FpLB1V0prikOlLRtqfjZP9EDt&#10;2VJb0NJ4koi24wx0R30vYsiE6LRq0uF0FkO3u9SB7SF1Sx6pcqrrASzdvAHsR1xOnWDaEjoZNVqT&#10;VjvXHLNjOU6vmPlOHZfa5N99Pn3/l63/Al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Bu+OITVAAAA&#10;CAEAAA8AAAAAAAAAAQAgAAAAIgAAAGRycy9kb3ducmV2LnhtbFBLAQIUABQAAAAIAIdO4kAmSWhl&#10;5wEAAK0DAAAOAAAAAAAAAAEAIAAAACQBAABkcnMvZTJvRG9jLnhtbFBLBQYAAAAABgAGAFkBAAB9&#10;BQAAAAA=&#10;">
                      <v:fill on="f" focussize="0,0"/>
                      <v:stroke weight="0.05pt" color="#000000 [3213]" joinstyle="round"/>
                      <v:imagedata o:title=""/>
                      <o:lock v:ext="edit" aspectratio="f"/>
                    </v:line>
                  </w:pict>
                </mc:Fallback>
              </mc:AlternateContent>
            </w:r>
          </w:p>
        </w:tc>
        <w:tc>
          <w:tcPr>
            <w:tcW w:w="567"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总人数</w:t>
            </w:r>
          </w:p>
        </w:tc>
        <w:tc>
          <w:tcPr>
            <w:tcW w:w="567"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就业数</w:t>
            </w:r>
          </w:p>
        </w:tc>
        <w:tc>
          <w:tcPr>
            <w:tcW w:w="567"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升学</w:t>
            </w:r>
          </w:p>
        </w:tc>
        <w:tc>
          <w:tcPr>
            <w:tcW w:w="567"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公务员</w:t>
            </w:r>
          </w:p>
        </w:tc>
        <w:tc>
          <w:tcPr>
            <w:tcW w:w="567"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cs="宋体"/>
                <w:b/>
                <w:bCs/>
                <w:i w:val="0"/>
                <w:iCs w:val="0"/>
                <w:color w:val="000000"/>
                <w:kern w:val="0"/>
                <w:sz w:val="22"/>
                <w:szCs w:val="22"/>
                <w:u w:val="none"/>
                <w:lang w:val="en-US" w:eastAsia="zh-CN" w:bidi="ar"/>
              </w:rPr>
              <w:t>选调生</w:t>
            </w:r>
          </w:p>
        </w:tc>
        <w:tc>
          <w:tcPr>
            <w:tcW w:w="567" w:type="dxa"/>
            <w:vMerge w:val="restart"/>
            <w:tcBorders>
              <w:top w:val="single" w:color="000000" w:sz="4" w:space="0"/>
              <w:left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宋体" w:hAnsi="宋体" w:eastAsia="宋体" w:cs="宋体"/>
                <w:b/>
                <w:bCs/>
                <w:i w:val="0"/>
                <w:iCs w:val="0"/>
                <w:color w:val="000000"/>
                <w:kern w:val="0"/>
                <w:sz w:val="22"/>
                <w:szCs w:val="22"/>
                <w:u w:val="none"/>
                <w:lang w:val="en-US" w:eastAsia="zh-CN" w:bidi="ar"/>
              </w:rPr>
            </w:pPr>
            <w:r>
              <w:rPr>
                <w:rFonts w:hint="eastAsia" w:ascii="宋体" w:hAnsi="宋体" w:cs="宋体"/>
                <w:b/>
                <w:bCs/>
                <w:i w:val="0"/>
                <w:iCs w:val="0"/>
                <w:color w:val="000000"/>
                <w:kern w:val="0"/>
                <w:sz w:val="22"/>
                <w:szCs w:val="22"/>
                <w:u w:val="none"/>
                <w:lang w:val="en-US" w:eastAsia="zh-CN" w:bidi="ar"/>
              </w:rPr>
              <w:t>农村科技特派员</w:t>
            </w:r>
          </w:p>
        </w:tc>
        <w:tc>
          <w:tcPr>
            <w:tcW w:w="567" w:type="dxa"/>
            <w:vMerge w:val="restart"/>
            <w:tcBorders>
              <w:top w:val="single" w:color="000000" w:sz="4" w:space="0"/>
              <w:left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宋体" w:hAnsi="宋体" w:eastAsia="宋体" w:cs="宋体"/>
                <w:b/>
                <w:bCs/>
                <w:i w:val="0"/>
                <w:iCs w:val="0"/>
                <w:color w:val="000000"/>
                <w:kern w:val="0"/>
                <w:sz w:val="22"/>
                <w:szCs w:val="22"/>
                <w:u w:val="none"/>
                <w:lang w:val="en-US" w:eastAsia="zh-CN" w:bidi="ar"/>
              </w:rPr>
            </w:pPr>
            <w:r>
              <w:rPr>
                <w:rFonts w:hint="eastAsia" w:ascii="宋体" w:hAnsi="宋体" w:cs="宋体"/>
                <w:b/>
                <w:bCs/>
                <w:i w:val="0"/>
                <w:iCs w:val="0"/>
                <w:color w:val="000000"/>
                <w:kern w:val="0"/>
                <w:sz w:val="22"/>
                <w:szCs w:val="22"/>
                <w:u w:val="none"/>
                <w:lang w:val="en-US" w:eastAsia="zh-CN" w:bidi="ar"/>
              </w:rPr>
              <w:t>新疆专招</w:t>
            </w:r>
          </w:p>
        </w:tc>
        <w:tc>
          <w:tcPr>
            <w:tcW w:w="567"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当兵入伍</w:t>
            </w:r>
          </w:p>
        </w:tc>
        <w:tc>
          <w:tcPr>
            <w:tcW w:w="1701"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企业就业</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348" w:hRule="atLeast"/>
          <w:jc w:val="center"/>
        </w:trPr>
        <w:tc>
          <w:tcPr>
            <w:tcW w:w="2196"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等线" w:hAnsi="等线" w:eastAsia="等线" w:cs="等线"/>
                <w:i w:val="0"/>
                <w:iCs w:val="0"/>
                <w:color w:val="000000"/>
                <w:sz w:val="28"/>
                <w:szCs w:val="28"/>
                <w:u w:val="none"/>
              </w:rPr>
            </w:pPr>
          </w:p>
        </w:tc>
        <w:tc>
          <w:tcPr>
            <w:tcW w:w="56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bCs/>
                <w:i w:val="0"/>
                <w:iCs w:val="0"/>
                <w:color w:val="000000"/>
                <w:sz w:val="22"/>
                <w:szCs w:val="22"/>
                <w:u w:val="none"/>
              </w:rPr>
            </w:pPr>
          </w:p>
        </w:tc>
        <w:tc>
          <w:tcPr>
            <w:tcW w:w="56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bCs/>
                <w:i w:val="0"/>
                <w:iCs w:val="0"/>
                <w:color w:val="000000"/>
                <w:sz w:val="22"/>
                <w:szCs w:val="22"/>
                <w:u w:val="none"/>
              </w:rPr>
            </w:pPr>
          </w:p>
        </w:tc>
        <w:tc>
          <w:tcPr>
            <w:tcW w:w="56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bCs/>
                <w:i w:val="0"/>
                <w:iCs w:val="0"/>
                <w:color w:val="000000"/>
                <w:sz w:val="22"/>
                <w:szCs w:val="22"/>
                <w:u w:val="none"/>
              </w:rPr>
            </w:pPr>
          </w:p>
        </w:tc>
        <w:tc>
          <w:tcPr>
            <w:tcW w:w="56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bCs/>
                <w:i w:val="0"/>
                <w:iCs w:val="0"/>
                <w:color w:val="000000"/>
                <w:sz w:val="22"/>
                <w:szCs w:val="22"/>
                <w:u w:val="none"/>
              </w:rPr>
            </w:pPr>
          </w:p>
        </w:tc>
        <w:tc>
          <w:tcPr>
            <w:tcW w:w="56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bCs/>
                <w:i w:val="0"/>
                <w:iCs w:val="0"/>
                <w:color w:val="000000"/>
                <w:sz w:val="22"/>
                <w:szCs w:val="22"/>
                <w:u w:val="none"/>
              </w:rPr>
            </w:pPr>
          </w:p>
        </w:tc>
        <w:tc>
          <w:tcPr>
            <w:tcW w:w="567" w:type="dxa"/>
            <w:vMerge w:val="continue"/>
            <w:tcBorders>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bCs/>
                <w:i w:val="0"/>
                <w:iCs w:val="0"/>
                <w:color w:val="000000"/>
                <w:sz w:val="22"/>
                <w:szCs w:val="22"/>
                <w:u w:val="none"/>
              </w:rPr>
            </w:pPr>
          </w:p>
        </w:tc>
        <w:tc>
          <w:tcPr>
            <w:tcW w:w="567" w:type="dxa"/>
            <w:vMerge w:val="continue"/>
            <w:tcBorders>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bCs/>
                <w:i w:val="0"/>
                <w:iCs w:val="0"/>
                <w:color w:val="000000"/>
                <w:sz w:val="22"/>
                <w:szCs w:val="22"/>
                <w:u w:val="none"/>
              </w:rPr>
            </w:pPr>
          </w:p>
        </w:tc>
        <w:tc>
          <w:tcPr>
            <w:tcW w:w="56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b/>
                <w:bCs/>
                <w:i w:val="0"/>
                <w:iCs w:val="0"/>
                <w:color w:val="000000"/>
                <w:sz w:val="22"/>
                <w:szCs w:val="22"/>
                <w:u w:val="none"/>
              </w:rPr>
            </w:pPr>
          </w:p>
        </w:tc>
        <w:tc>
          <w:tcPr>
            <w:tcW w:w="5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国企</w:t>
            </w:r>
          </w:p>
        </w:tc>
        <w:tc>
          <w:tcPr>
            <w:tcW w:w="5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三资企业</w:t>
            </w:r>
          </w:p>
        </w:tc>
        <w:tc>
          <w:tcPr>
            <w:tcW w:w="5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其他企业</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atLeast"/>
          <w:jc w:val="center"/>
        </w:trPr>
        <w:tc>
          <w:tcPr>
            <w:tcW w:w="21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sz w:val="22"/>
                <w:szCs w:val="22"/>
                <w:u w:val="none"/>
                <w14:textFill>
                  <w14:solidFill>
                    <w14:schemeClr w14:val="tx1"/>
                  </w14:solidFill>
                </w14:textFill>
              </w:rPr>
            </w:pPr>
            <w: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t>酒店管理</w:t>
            </w:r>
          </w:p>
        </w:tc>
        <w:tc>
          <w:tcPr>
            <w:tcW w:w="5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sz w:val="22"/>
                <w:szCs w:val="22"/>
                <w:u w:val="none"/>
                <w14:textFill>
                  <w14:solidFill>
                    <w14:schemeClr w14:val="tx1"/>
                  </w14:solidFill>
                </w14:textFill>
              </w:rPr>
            </w:pPr>
            <w:r>
              <w:rPr>
                <w:rFonts w:hint="eastAsia" w:ascii="宋体" w:hAnsi="宋体" w:cs="宋体"/>
                <w:i w:val="0"/>
                <w:iCs w:val="0"/>
                <w:color w:val="000000" w:themeColor="text1"/>
                <w:kern w:val="0"/>
                <w:sz w:val="22"/>
                <w:szCs w:val="22"/>
                <w:u w:val="none"/>
                <w:lang w:val="en-US" w:eastAsia="zh-CN" w:bidi="ar"/>
                <w14:textFill>
                  <w14:solidFill>
                    <w14:schemeClr w14:val="tx1"/>
                  </w14:solidFill>
                </w14:textFill>
              </w:rPr>
              <w:t>29</w:t>
            </w:r>
          </w:p>
        </w:tc>
        <w:tc>
          <w:tcPr>
            <w:tcW w:w="5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宋体" w:hAnsi="宋体" w:eastAsia="宋体" w:cs="宋体"/>
                <w:i w:val="0"/>
                <w:iCs w:val="0"/>
                <w:color w:val="000000" w:themeColor="text1"/>
                <w:sz w:val="22"/>
                <w:szCs w:val="22"/>
                <w:u w:val="none"/>
                <w:lang w:val="en-US"/>
                <w14:textFill>
                  <w14:solidFill>
                    <w14:schemeClr w14:val="tx1"/>
                  </w14:solidFill>
                </w14:textFill>
              </w:rPr>
            </w:pPr>
            <w:r>
              <w:rPr>
                <w:rFonts w:hint="eastAsia" w:ascii="宋体" w:hAnsi="宋体" w:cs="宋体"/>
                <w:i w:val="0"/>
                <w:iCs w:val="0"/>
                <w:color w:val="000000" w:themeColor="text1"/>
                <w:kern w:val="0"/>
                <w:sz w:val="22"/>
                <w:szCs w:val="22"/>
                <w:u w:val="none"/>
                <w:lang w:val="en-US" w:eastAsia="zh-CN" w:bidi="ar"/>
                <w14:textFill>
                  <w14:solidFill>
                    <w14:schemeClr w14:val="tx1"/>
                  </w14:solidFill>
                </w14:textFill>
              </w:rPr>
              <w:t>26</w:t>
            </w:r>
          </w:p>
        </w:tc>
        <w:tc>
          <w:tcPr>
            <w:tcW w:w="5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sz w:val="22"/>
                <w:szCs w:val="22"/>
                <w:u w:val="none"/>
                <w14:textFill>
                  <w14:solidFill>
                    <w14:schemeClr w14:val="tx1"/>
                  </w14:solidFill>
                </w14:textFill>
              </w:rPr>
            </w:pPr>
            <w:r>
              <w:rPr>
                <w:rFonts w:hint="eastAsia" w:ascii="宋体" w:hAnsi="宋体" w:cs="宋体"/>
                <w:i w:val="0"/>
                <w:iCs w:val="0"/>
                <w:color w:val="000000" w:themeColor="text1"/>
                <w:kern w:val="0"/>
                <w:sz w:val="22"/>
                <w:szCs w:val="22"/>
                <w:u w:val="none"/>
                <w:lang w:val="en-US" w:eastAsia="zh-CN" w:bidi="ar"/>
                <w14:textFill>
                  <w14:solidFill>
                    <w14:schemeClr w14:val="tx1"/>
                  </w14:solidFill>
                </w14:textFill>
              </w:rPr>
              <w:t>0</w:t>
            </w:r>
          </w:p>
        </w:tc>
        <w:tc>
          <w:tcPr>
            <w:tcW w:w="5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sz w:val="22"/>
                <w:szCs w:val="22"/>
                <w:u w:val="none"/>
                <w14:textFill>
                  <w14:solidFill>
                    <w14:schemeClr w14:val="tx1"/>
                  </w14:solidFill>
                </w14:textFill>
              </w:rPr>
            </w:pPr>
            <w:r>
              <w:rPr>
                <w:rFonts w:hint="eastAsia" w:ascii="宋体" w:hAnsi="宋体" w:cs="宋体"/>
                <w:i w:val="0"/>
                <w:iCs w:val="0"/>
                <w:color w:val="000000" w:themeColor="text1"/>
                <w:kern w:val="0"/>
                <w:sz w:val="22"/>
                <w:szCs w:val="22"/>
                <w:u w:val="none"/>
                <w:lang w:val="en-US" w:eastAsia="zh-CN" w:bidi="ar"/>
                <w14:textFill>
                  <w14:solidFill>
                    <w14:schemeClr w14:val="tx1"/>
                  </w14:solidFill>
                </w14:textFill>
              </w:rPr>
              <w:t>0</w:t>
            </w:r>
          </w:p>
        </w:tc>
        <w:tc>
          <w:tcPr>
            <w:tcW w:w="5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sz w:val="22"/>
                <w:szCs w:val="22"/>
                <w:u w:val="none"/>
                <w14:textFill>
                  <w14:solidFill>
                    <w14:schemeClr w14:val="tx1"/>
                  </w14:solidFill>
                </w14:textFill>
              </w:rPr>
            </w:pPr>
            <w: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t>0</w:t>
            </w:r>
          </w:p>
        </w:tc>
        <w:tc>
          <w:tcPr>
            <w:tcW w:w="5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宋体" w:hAnsi="宋体" w:eastAsia="宋体" w:cs="宋体"/>
                <w:i w:val="0"/>
                <w:iCs w:val="0"/>
                <w:color w:val="000000" w:themeColor="text1"/>
                <w:kern w:val="0"/>
                <w:sz w:val="22"/>
                <w:szCs w:val="22"/>
                <w:u w:val="none"/>
                <w:lang w:val="en-US" w:eastAsia="zh-CN" w:bidi="ar"/>
                <w14:textFill>
                  <w14:solidFill>
                    <w14:schemeClr w14:val="tx1"/>
                  </w14:solidFill>
                </w14:textFill>
              </w:rPr>
            </w:pPr>
            <w:r>
              <w:rPr>
                <w:rFonts w:hint="eastAsia" w:ascii="宋体" w:hAnsi="宋体" w:cs="宋体"/>
                <w:i w:val="0"/>
                <w:iCs w:val="0"/>
                <w:color w:val="000000" w:themeColor="text1"/>
                <w:kern w:val="0"/>
                <w:sz w:val="22"/>
                <w:szCs w:val="22"/>
                <w:u w:val="none"/>
                <w:lang w:val="en-US" w:eastAsia="zh-CN" w:bidi="ar"/>
                <w14:textFill>
                  <w14:solidFill>
                    <w14:schemeClr w14:val="tx1"/>
                  </w14:solidFill>
                </w14:textFill>
              </w:rPr>
              <w:t>0</w:t>
            </w:r>
          </w:p>
        </w:tc>
        <w:tc>
          <w:tcPr>
            <w:tcW w:w="5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宋体" w:hAnsi="宋体" w:cs="宋体"/>
                <w:i w:val="0"/>
                <w:iCs w:val="0"/>
                <w:color w:val="000000" w:themeColor="text1"/>
                <w:kern w:val="0"/>
                <w:sz w:val="22"/>
                <w:szCs w:val="22"/>
                <w:u w:val="none"/>
                <w:lang w:val="en-US" w:eastAsia="zh-CN" w:bidi="ar"/>
                <w14:textFill>
                  <w14:solidFill>
                    <w14:schemeClr w14:val="tx1"/>
                  </w14:solidFill>
                </w14:textFill>
              </w:rPr>
            </w:pPr>
            <w:r>
              <w:rPr>
                <w:rFonts w:hint="eastAsia" w:ascii="宋体" w:hAnsi="宋体" w:cs="宋体"/>
                <w:i w:val="0"/>
                <w:iCs w:val="0"/>
                <w:color w:val="000000" w:themeColor="text1"/>
                <w:kern w:val="0"/>
                <w:sz w:val="22"/>
                <w:szCs w:val="22"/>
                <w:u w:val="none"/>
                <w:lang w:val="en-US" w:eastAsia="zh-CN" w:bidi="ar"/>
                <w14:textFill>
                  <w14:solidFill>
                    <w14:schemeClr w14:val="tx1"/>
                  </w14:solidFill>
                </w14:textFill>
              </w:rPr>
              <w:t>0</w:t>
            </w:r>
          </w:p>
        </w:tc>
        <w:tc>
          <w:tcPr>
            <w:tcW w:w="5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sz w:val="22"/>
                <w:szCs w:val="22"/>
                <w:u w:val="none"/>
                <w14:textFill>
                  <w14:solidFill>
                    <w14:schemeClr w14:val="tx1"/>
                  </w14:solidFill>
                </w14:textFill>
              </w:rPr>
            </w:pPr>
            <w:r>
              <w:rPr>
                <w:rFonts w:hint="eastAsia" w:ascii="宋体" w:hAnsi="宋体" w:cs="宋体"/>
                <w:i w:val="0"/>
                <w:iCs w:val="0"/>
                <w:color w:val="000000" w:themeColor="text1"/>
                <w:kern w:val="0"/>
                <w:sz w:val="22"/>
                <w:szCs w:val="22"/>
                <w:u w:val="none"/>
                <w:lang w:val="en-US" w:eastAsia="zh-CN" w:bidi="ar"/>
                <w14:textFill>
                  <w14:solidFill>
                    <w14:schemeClr w14:val="tx1"/>
                  </w14:solidFill>
                </w14:textFill>
              </w:rPr>
              <w:t>1</w:t>
            </w:r>
          </w:p>
        </w:tc>
        <w:tc>
          <w:tcPr>
            <w:tcW w:w="5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sz w:val="22"/>
                <w:szCs w:val="22"/>
                <w:u w:val="none"/>
                <w14:textFill>
                  <w14:solidFill>
                    <w14:schemeClr w14:val="tx1"/>
                  </w14:solidFill>
                </w14:textFill>
              </w:rPr>
            </w:pPr>
            <w: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t>0</w:t>
            </w:r>
          </w:p>
        </w:tc>
        <w:tc>
          <w:tcPr>
            <w:tcW w:w="5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sz w:val="22"/>
                <w:szCs w:val="22"/>
                <w:u w:val="none"/>
                <w14:textFill>
                  <w14:solidFill>
                    <w14:schemeClr w14:val="tx1"/>
                  </w14:solidFill>
                </w14:textFill>
              </w:rPr>
            </w:pPr>
            <w: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t>1</w:t>
            </w:r>
          </w:p>
        </w:tc>
        <w:tc>
          <w:tcPr>
            <w:tcW w:w="5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宋体" w:hAnsi="宋体" w:eastAsia="宋体" w:cs="宋体"/>
                <w:i w:val="0"/>
                <w:iCs w:val="0"/>
                <w:color w:val="000000" w:themeColor="text1"/>
                <w:sz w:val="22"/>
                <w:szCs w:val="22"/>
                <w:u w:val="none"/>
                <w:lang w:val="en-US"/>
                <w14:textFill>
                  <w14:solidFill>
                    <w14:schemeClr w14:val="tx1"/>
                  </w14:solidFill>
                </w14:textFill>
              </w:rPr>
            </w:pPr>
            <w:r>
              <w:rPr>
                <w:rFonts w:hint="eastAsia" w:ascii="宋体" w:hAnsi="宋体" w:cs="宋体"/>
                <w:i w:val="0"/>
                <w:iCs w:val="0"/>
                <w:color w:val="000000" w:themeColor="text1"/>
                <w:kern w:val="0"/>
                <w:sz w:val="22"/>
                <w:szCs w:val="22"/>
                <w:u w:val="none"/>
                <w:lang w:val="en-US" w:eastAsia="zh-CN" w:bidi="ar"/>
                <w14:textFill>
                  <w14:solidFill>
                    <w14:schemeClr w14:val="tx1"/>
                  </w14:solidFill>
                </w14:textFill>
              </w:rPr>
              <w:t>24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atLeast"/>
          <w:jc w:val="center"/>
        </w:trPr>
        <w:tc>
          <w:tcPr>
            <w:tcW w:w="21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t>旅游管理</w:t>
            </w:r>
          </w:p>
        </w:tc>
        <w:tc>
          <w:tcPr>
            <w:tcW w:w="5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pPr>
            <w:r>
              <w:rPr>
                <w:rFonts w:hint="eastAsia" w:ascii="宋体" w:hAnsi="宋体" w:cs="宋体"/>
                <w:i w:val="0"/>
                <w:iCs w:val="0"/>
                <w:color w:val="000000"/>
                <w:kern w:val="0"/>
                <w:sz w:val="22"/>
                <w:szCs w:val="22"/>
                <w:u w:val="none"/>
                <w:lang w:val="en-US" w:eastAsia="zh-CN" w:bidi="ar"/>
              </w:rPr>
              <w:t>30</w:t>
            </w:r>
          </w:p>
        </w:tc>
        <w:tc>
          <w:tcPr>
            <w:tcW w:w="5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宋体" w:hAnsi="宋体" w:eastAsia="宋体" w:cs="宋体"/>
                <w:i w:val="0"/>
                <w:iCs w:val="0"/>
                <w:color w:val="000000" w:themeColor="text1"/>
                <w:kern w:val="0"/>
                <w:sz w:val="22"/>
                <w:szCs w:val="22"/>
                <w:u w:val="none"/>
                <w:lang w:val="en-US" w:eastAsia="zh-CN" w:bidi="ar"/>
                <w14:textFill>
                  <w14:solidFill>
                    <w14:schemeClr w14:val="tx1"/>
                  </w14:solidFill>
                </w14:textFill>
              </w:rPr>
            </w:pPr>
            <w:r>
              <w:rPr>
                <w:rFonts w:hint="eastAsia" w:ascii="宋体" w:hAnsi="宋体" w:eastAsia="宋体" w:cs="宋体"/>
                <w:i w:val="0"/>
                <w:iCs w:val="0"/>
                <w:color w:val="000000"/>
                <w:kern w:val="0"/>
                <w:sz w:val="22"/>
                <w:szCs w:val="22"/>
                <w:u w:val="none"/>
                <w:lang w:val="en-US" w:eastAsia="zh-CN" w:bidi="ar"/>
              </w:rPr>
              <w:t>29</w:t>
            </w:r>
          </w:p>
        </w:tc>
        <w:tc>
          <w:tcPr>
            <w:tcW w:w="5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pPr>
            <w:r>
              <w:rPr>
                <w:rFonts w:hint="eastAsia" w:ascii="宋体" w:hAnsi="宋体" w:eastAsia="宋体" w:cs="宋体"/>
                <w:i w:val="0"/>
                <w:iCs w:val="0"/>
                <w:color w:val="000000"/>
                <w:kern w:val="0"/>
                <w:sz w:val="22"/>
                <w:szCs w:val="22"/>
                <w:u w:val="none"/>
                <w:lang w:val="en-US" w:eastAsia="zh-CN" w:bidi="ar"/>
              </w:rPr>
              <w:t>3</w:t>
            </w:r>
          </w:p>
        </w:tc>
        <w:tc>
          <w:tcPr>
            <w:tcW w:w="5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t>1</w:t>
            </w:r>
          </w:p>
        </w:tc>
        <w:tc>
          <w:tcPr>
            <w:tcW w:w="5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t>0</w:t>
            </w:r>
          </w:p>
        </w:tc>
        <w:tc>
          <w:tcPr>
            <w:tcW w:w="5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宋体" w:hAnsi="宋体" w:eastAsia="宋体" w:cs="宋体"/>
                <w:i w:val="0"/>
                <w:iCs w:val="0"/>
                <w:color w:val="000000" w:themeColor="text1"/>
                <w:kern w:val="0"/>
                <w:sz w:val="22"/>
                <w:szCs w:val="22"/>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t>1</w:t>
            </w:r>
          </w:p>
        </w:tc>
        <w:tc>
          <w:tcPr>
            <w:tcW w:w="5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宋体" w:hAnsi="宋体" w:eastAsia="宋体" w:cs="宋体"/>
                <w:i w:val="0"/>
                <w:iCs w:val="0"/>
                <w:color w:val="000000" w:themeColor="text1"/>
                <w:kern w:val="0"/>
                <w:sz w:val="22"/>
                <w:szCs w:val="22"/>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t>0</w:t>
            </w:r>
          </w:p>
        </w:tc>
        <w:tc>
          <w:tcPr>
            <w:tcW w:w="5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t>1</w:t>
            </w:r>
          </w:p>
        </w:tc>
        <w:tc>
          <w:tcPr>
            <w:tcW w:w="5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t>1</w:t>
            </w:r>
          </w:p>
        </w:tc>
        <w:tc>
          <w:tcPr>
            <w:tcW w:w="5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t>0</w:t>
            </w:r>
          </w:p>
        </w:tc>
        <w:tc>
          <w:tcPr>
            <w:tcW w:w="5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宋体" w:hAnsi="宋体" w:eastAsia="宋体" w:cs="宋体"/>
                <w:i w:val="0"/>
                <w:iCs w:val="0"/>
                <w:color w:val="000000" w:themeColor="text1"/>
                <w:kern w:val="0"/>
                <w:sz w:val="22"/>
                <w:szCs w:val="22"/>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t>22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atLeast"/>
          <w:jc w:val="center"/>
        </w:trPr>
        <w:tc>
          <w:tcPr>
            <w:tcW w:w="21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sz w:val="22"/>
                <w:szCs w:val="22"/>
                <w:u w:val="none"/>
                <w14:textFill>
                  <w14:solidFill>
                    <w14:schemeClr w14:val="tx1"/>
                  </w14:solidFill>
                </w14:textFill>
              </w:rPr>
            </w:pPr>
            <w: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t>人文地理与城乡规划</w:t>
            </w:r>
          </w:p>
        </w:tc>
        <w:tc>
          <w:tcPr>
            <w:tcW w:w="5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sz w:val="22"/>
                <w:szCs w:val="22"/>
                <w:u w:val="none"/>
                <w14:textFill>
                  <w14:solidFill>
                    <w14:schemeClr w14:val="tx1"/>
                  </w14:solidFill>
                </w14:textFill>
              </w:rPr>
            </w:pPr>
            <w:r>
              <w:rPr>
                <w:rFonts w:hint="eastAsia" w:ascii="宋体" w:hAnsi="宋体" w:cs="宋体"/>
                <w:i w:val="0"/>
                <w:iCs w:val="0"/>
                <w:color w:val="000000" w:themeColor="text1"/>
                <w:kern w:val="0"/>
                <w:sz w:val="22"/>
                <w:szCs w:val="22"/>
                <w:u w:val="none"/>
                <w:lang w:val="en-US" w:eastAsia="zh-CN" w:bidi="ar"/>
                <w14:textFill>
                  <w14:solidFill>
                    <w14:schemeClr w14:val="tx1"/>
                  </w14:solidFill>
                </w14:textFill>
              </w:rPr>
              <w:t>35</w:t>
            </w:r>
          </w:p>
        </w:tc>
        <w:tc>
          <w:tcPr>
            <w:tcW w:w="5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宋体" w:hAnsi="宋体" w:eastAsia="宋体" w:cs="宋体"/>
                <w:i w:val="0"/>
                <w:iCs w:val="0"/>
                <w:color w:val="000000" w:themeColor="text1"/>
                <w:sz w:val="22"/>
                <w:szCs w:val="22"/>
                <w:u w:val="none"/>
                <w:lang w:val="en-US"/>
                <w14:textFill>
                  <w14:solidFill>
                    <w14:schemeClr w14:val="tx1"/>
                  </w14:solidFill>
                </w14:textFill>
              </w:rPr>
            </w:pPr>
            <w:r>
              <w:rPr>
                <w:rFonts w:hint="eastAsia" w:ascii="宋体" w:hAnsi="宋体" w:cs="宋体"/>
                <w:i w:val="0"/>
                <w:iCs w:val="0"/>
                <w:color w:val="000000" w:themeColor="text1"/>
                <w:kern w:val="0"/>
                <w:sz w:val="22"/>
                <w:szCs w:val="22"/>
                <w:u w:val="none"/>
                <w:lang w:val="en-US" w:eastAsia="zh-CN" w:bidi="ar"/>
                <w14:textFill>
                  <w14:solidFill>
                    <w14:schemeClr w14:val="tx1"/>
                  </w14:solidFill>
                </w14:textFill>
              </w:rPr>
              <w:t>33</w:t>
            </w:r>
          </w:p>
        </w:tc>
        <w:tc>
          <w:tcPr>
            <w:tcW w:w="5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sz w:val="22"/>
                <w:szCs w:val="22"/>
                <w:u w:val="none"/>
                <w14:textFill>
                  <w14:solidFill>
                    <w14:schemeClr w14:val="tx1"/>
                  </w14:solidFill>
                </w14:textFill>
              </w:rPr>
            </w:pPr>
            <w:r>
              <w:rPr>
                <w:rFonts w:hint="eastAsia" w:ascii="宋体" w:hAnsi="宋体" w:cs="宋体"/>
                <w:i w:val="0"/>
                <w:iCs w:val="0"/>
                <w:color w:val="000000" w:themeColor="text1"/>
                <w:kern w:val="0"/>
                <w:sz w:val="22"/>
                <w:szCs w:val="22"/>
                <w:u w:val="none"/>
                <w:lang w:val="en-US" w:eastAsia="zh-CN" w:bidi="ar"/>
                <w14:textFill>
                  <w14:solidFill>
                    <w14:schemeClr w14:val="tx1"/>
                  </w14:solidFill>
                </w14:textFill>
              </w:rPr>
              <w:t>7</w:t>
            </w:r>
          </w:p>
        </w:tc>
        <w:tc>
          <w:tcPr>
            <w:tcW w:w="5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sz w:val="22"/>
                <w:szCs w:val="22"/>
                <w:u w:val="none"/>
                <w14:textFill>
                  <w14:solidFill>
                    <w14:schemeClr w14:val="tx1"/>
                  </w14:solidFill>
                </w14:textFill>
              </w:rPr>
            </w:pPr>
            <w:r>
              <w:rPr>
                <w:rFonts w:hint="eastAsia" w:ascii="宋体" w:hAnsi="宋体" w:cs="宋体"/>
                <w:i w:val="0"/>
                <w:iCs w:val="0"/>
                <w:color w:val="000000" w:themeColor="text1"/>
                <w:kern w:val="0"/>
                <w:sz w:val="22"/>
                <w:szCs w:val="22"/>
                <w:u w:val="none"/>
                <w:lang w:val="en-US" w:eastAsia="zh-CN" w:bidi="ar"/>
                <w14:textFill>
                  <w14:solidFill>
                    <w14:schemeClr w14:val="tx1"/>
                  </w14:solidFill>
                </w14:textFill>
              </w:rPr>
              <w:t>0</w:t>
            </w:r>
          </w:p>
        </w:tc>
        <w:tc>
          <w:tcPr>
            <w:tcW w:w="5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sz w:val="22"/>
                <w:szCs w:val="22"/>
                <w:u w:val="none"/>
                <w14:textFill>
                  <w14:solidFill>
                    <w14:schemeClr w14:val="tx1"/>
                  </w14:solidFill>
                </w14:textFill>
              </w:rPr>
            </w:pPr>
            <w:r>
              <w:rPr>
                <w:rFonts w:hint="eastAsia" w:ascii="宋体" w:hAnsi="宋体" w:cs="宋体"/>
                <w:i w:val="0"/>
                <w:iCs w:val="0"/>
                <w:color w:val="000000" w:themeColor="text1"/>
                <w:kern w:val="0"/>
                <w:sz w:val="22"/>
                <w:szCs w:val="22"/>
                <w:u w:val="none"/>
                <w:lang w:val="en-US" w:eastAsia="zh-CN" w:bidi="ar"/>
                <w14:textFill>
                  <w14:solidFill>
                    <w14:schemeClr w14:val="tx1"/>
                  </w14:solidFill>
                </w14:textFill>
              </w:rPr>
              <w:t>1</w:t>
            </w:r>
          </w:p>
        </w:tc>
        <w:tc>
          <w:tcPr>
            <w:tcW w:w="5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宋体" w:hAnsi="宋体" w:eastAsia="宋体" w:cs="宋体"/>
                <w:i w:val="0"/>
                <w:iCs w:val="0"/>
                <w:color w:val="000000" w:themeColor="text1"/>
                <w:kern w:val="0"/>
                <w:sz w:val="22"/>
                <w:szCs w:val="22"/>
                <w:u w:val="none"/>
                <w:lang w:val="en-US" w:eastAsia="zh-CN" w:bidi="ar"/>
                <w14:textFill>
                  <w14:solidFill>
                    <w14:schemeClr w14:val="tx1"/>
                  </w14:solidFill>
                </w14:textFill>
              </w:rPr>
            </w:pPr>
            <w:r>
              <w:rPr>
                <w:rFonts w:hint="eastAsia" w:ascii="宋体" w:hAnsi="宋体" w:cs="宋体"/>
                <w:i w:val="0"/>
                <w:iCs w:val="0"/>
                <w:color w:val="000000" w:themeColor="text1"/>
                <w:kern w:val="0"/>
                <w:sz w:val="22"/>
                <w:szCs w:val="22"/>
                <w:u w:val="none"/>
                <w:lang w:val="en-US" w:eastAsia="zh-CN" w:bidi="ar"/>
                <w14:textFill>
                  <w14:solidFill>
                    <w14:schemeClr w14:val="tx1"/>
                  </w14:solidFill>
                </w14:textFill>
              </w:rPr>
              <w:t>0</w:t>
            </w:r>
          </w:p>
        </w:tc>
        <w:tc>
          <w:tcPr>
            <w:tcW w:w="5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宋体" w:hAnsi="宋体" w:eastAsia="宋体" w:cs="宋体"/>
                <w:i w:val="0"/>
                <w:iCs w:val="0"/>
                <w:color w:val="000000" w:themeColor="text1"/>
                <w:kern w:val="0"/>
                <w:sz w:val="22"/>
                <w:szCs w:val="22"/>
                <w:u w:val="none"/>
                <w:lang w:val="en-US" w:eastAsia="zh-CN" w:bidi="ar"/>
                <w14:textFill>
                  <w14:solidFill>
                    <w14:schemeClr w14:val="tx1"/>
                  </w14:solidFill>
                </w14:textFill>
              </w:rPr>
            </w:pPr>
            <w:r>
              <w:rPr>
                <w:rFonts w:hint="eastAsia" w:ascii="宋体" w:hAnsi="宋体" w:cs="宋体"/>
                <w:i w:val="0"/>
                <w:iCs w:val="0"/>
                <w:color w:val="000000" w:themeColor="text1"/>
                <w:kern w:val="0"/>
                <w:sz w:val="22"/>
                <w:szCs w:val="22"/>
                <w:u w:val="none"/>
                <w:lang w:val="en-US" w:eastAsia="zh-CN" w:bidi="ar"/>
                <w14:textFill>
                  <w14:solidFill>
                    <w14:schemeClr w14:val="tx1"/>
                  </w14:solidFill>
                </w14:textFill>
              </w:rPr>
              <w:t>1</w:t>
            </w:r>
          </w:p>
        </w:tc>
        <w:tc>
          <w:tcPr>
            <w:tcW w:w="5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sz w:val="22"/>
                <w:szCs w:val="22"/>
                <w:u w:val="none"/>
                <w14:textFill>
                  <w14:solidFill>
                    <w14:schemeClr w14:val="tx1"/>
                  </w14:solidFill>
                </w14:textFill>
              </w:rPr>
            </w:pPr>
            <w: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t>1</w:t>
            </w:r>
          </w:p>
        </w:tc>
        <w:tc>
          <w:tcPr>
            <w:tcW w:w="5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sz w:val="22"/>
                <w:szCs w:val="22"/>
                <w:u w:val="none"/>
                <w14:textFill>
                  <w14:solidFill>
                    <w14:schemeClr w14:val="tx1"/>
                  </w14:solidFill>
                </w14:textFill>
              </w:rPr>
            </w:pPr>
            <w: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t>1</w:t>
            </w:r>
          </w:p>
        </w:tc>
        <w:tc>
          <w:tcPr>
            <w:tcW w:w="5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sz w:val="22"/>
                <w:szCs w:val="22"/>
                <w:u w:val="none"/>
                <w14:textFill>
                  <w14:solidFill>
                    <w14:schemeClr w14:val="tx1"/>
                  </w14:solidFill>
                </w14:textFill>
              </w:rPr>
            </w:pPr>
            <w: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t>0</w:t>
            </w:r>
          </w:p>
        </w:tc>
        <w:tc>
          <w:tcPr>
            <w:tcW w:w="5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宋体" w:hAnsi="宋体" w:eastAsia="宋体" w:cs="宋体"/>
                <w:i w:val="0"/>
                <w:iCs w:val="0"/>
                <w:color w:val="000000" w:themeColor="text1"/>
                <w:sz w:val="22"/>
                <w:szCs w:val="22"/>
                <w:u w:val="none"/>
                <w:lang w:val="en-US"/>
                <w14:textFill>
                  <w14:solidFill>
                    <w14:schemeClr w14:val="tx1"/>
                  </w14:solidFill>
                </w14:textFill>
              </w:rPr>
            </w:pPr>
            <w:r>
              <w:rPr>
                <w:rFonts w:hint="eastAsia" w:ascii="宋体" w:hAnsi="宋体" w:cs="宋体"/>
                <w:i w:val="0"/>
                <w:iCs w:val="0"/>
                <w:color w:val="000000" w:themeColor="text1"/>
                <w:kern w:val="0"/>
                <w:sz w:val="22"/>
                <w:szCs w:val="22"/>
                <w:u w:val="none"/>
                <w:lang w:val="en-US" w:eastAsia="zh-CN" w:bidi="ar"/>
                <w14:textFill>
                  <w14:solidFill>
                    <w14:schemeClr w14:val="tx1"/>
                  </w14:solidFill>
                </w14:textFill>
              </w:rPr>
              <w:t>22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atLeast"/>
          <w:jc w:val="center"/>
        </w:trPr>
        <w:tc>
          <w:tcPr>
            <w:tcW w:w="21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sz w:val="22"/>
                <w:szCs w:val="22"/>
                <w:u w:val="none"/>
                <w14:textFill>
                  <w14:solidFill>
                    <w14:schemeClr w14:val="tx1"/>
                  </w14:solidFill>
                </w14:textFill>
              </w:rPr>
            </w:pPr>
            <w: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t>旅游管理专科</w:t>
            </w:r>
          </w:p>
        </w:tc>
        <w:tc>
          <w:tcPr>
            <w:tcW w:w="5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sz w:val="22"/>
                <w:szCs w:val="22"/>
                <w:u w:val="none"/>
                <w14:textFill>
                  <w14:solidFill>
                    <w14:schemeClr w14:val="tx1"/>
                  </w14:solidFill>
                </w14:textFill>
              </w:rPr>
            </w:pPr>
            <w:r>
              <w:rPr>
                <w:rFonts w:hint="eastAsia" w:ascii="宋体" w:hAnsi="宋体" w:cs="宋体"/>
                <w:i w:val="0"/>
                <w:iCs w:val="0"/>
                <w:color w:val="000000" w:themeColor="text1"/>
                <w:kern w:val="0"/>
                <w:sz w:val="22"/>
                <w:szCs w:val="22"/>
                <w:u w:val="none"/>
                <w:lang w:val="en-US" w:eastAsia="zh-CN" w:bidi="ar"/>
                <w14:textFill>
                  <w14:solidFill>
                    <w14:schemeClr w14:val="tx1"/>
                  </w14:solidFill>
                </w14:textFill>
              </w:rPr>
              <w:t>2</w:t>
            </w:r>
          </w:p>
        </w:tc>
        <w:tc>
          <w:tcPr>
            <w:tcW w:w="5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sz w:val="22"/>
                <w:szCs w:val="22"/>
                <w:u w:val="none"/>
                <w14:textFill>
                  <w14:solidFill>
                    <w14:schemeClr w14:val="tx1"/>
                  </w14:solidFill>
                </w14:textFill>
              </w:rPr>
            </w:pPr>
            <w:r>
              <w:rPr>
                <w:rFonts w:hint="eastAsia" w:ascii="宋体" w:hAnsi="宋体" w:cs="宋体"/>
                <w:i w:val="0"/>
                <w:iCs w:val="0"/>
                <w:color w:val="000000" w:themeColor="text1"/>
                <w:kern w:val="0"/>
                <w:sz w:val="22"/>
                <w:szCs w:val="22"/>
                <w:u w:val="none"/>
                <w:lang w:val="en-US" w:eastAsia="zh-CN" w:bidi="ar"/>
                <w14:textFill>
                  <w14:solidFill>
                    <w14:schemeClr w14:val="tx1"/>
                  </w14:solidFill>
                </w14:textFill>
              </w:rPr>
              <w:t>2</w:t>
            </w:r>
          </w:p>
        </w:tc>
        <w:tc>
          <w:tcPr>
            <w:tcW w:w="5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sz w:val="22"/>
                <w:szCs w:val="22"/>
                <w:u w:val="none"/>
                <w14:textFill>
                  <w14:solidFill>
                    <w14:schemeClr w14:val="tx1"/>
                  </w14:solidFill>
                </w14:textFill>
              </w:rPr>
            </w:pPr>
            <w:r>
              <w:rPr>
                <w:rFonts w:hint="eastAsia" w:ascii="宋体" w:hAnsi="宋体" w:cs="宋体"/>
                <w:i w:val="0"/>
                <w:iCs w:val="0"/>
                <w:color w:val="000000" w:themeColor="text1"/>
                <w:kern w:val="0"/>
                <w:sz w:val="22"/>
                <w:szCs w:val="22"/>
                <w:u w:val="none"/>
                <w:lang w:val="en-US" w:eastAsia="zh-CN" w:bidi="ar"/>
                <w14:textFill>
                  <w14:solidFill>
                    <w14:schemeClr w14:val="tx1"/>
                  </w14:solidFill>
                </w14:textFill>
              </w:rPr>
              <w:t>0</w:t>
            </w:r>
          </w:p>
        </w:tc>
        <w:tc>
          <w:tcPr>
            <w:tcW w:w="5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sz w:val="22"/>
                <w:szCs w:val="22"/>
                <w:u w:val="none"/>
                <w14:textFill>
                  <w14:solidFill>
                    <w14:schemeClr w14:val="tx1"/>
                  </w14:solidFill>
                </w14:textFill>
              </w:rPr>
            </w:pPr>
            <w: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t>0</w:t>
            </w:r>
          </w:p>
        </w:tc>
        <w:tc>
          <w:tcPr>
            <w:tcW w:w="5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sz w:val="22"/>
                <w:szCs w:val="22"/>
                <w:u w:val="none"/>
                <w14:textFill>
                  <w14:solidFill>
                    <w14:schemeClr w14:val="tx1"/>
                  </w14:solidFill>
                </w14:textFill>
              </w:rPr>
            </w:pPr>
            <w: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t>0</w:t>
            </w:r>
          </w:p>
        </w:tc>
        <w:tc>
          <w:tcPr>
            <w:tcW w:w="5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宋体" w:hAnsi="宋体" w:eastAsia="宋体" w:cs="宋体"/>
                <w:i w:val="0"/>
                <w:iCs w:val="0"/>
                <w:color w:val="000000" w:themeColor="text1"/>
                <w:kern w:val="0"/>
                <w:sz w:val="22"/>
                <w:szCs w:val="22"/>
                <w:u w:val="none"/>
                <w:lang w:val="en-US" w:eastAsia="zh-CN" w:bidi="ar"/>
                <w14:textFill>
                  <w14:solidFill>
                    <w14:schemeClr w14:val="tx1"/>
                  </w14:solidFill>
                </w14:textFill>
              </w:rPr>
            </w:pPr>
            <w:r>
              <w:rPr>
                <w:rFonts w:hint="eastAsia" w:ascii="宋体" w:hAnsi="宋体" w:cs="宋体"/>
                <w:i w:val="0"/>
                <w:iCs w:val="0"/>
                <w:color w:val="000000" w:themeColor="text1"/>
                <w:kern w:val="0"/>
                <w:sz w:val="22"/>
                <w:szCs w:val="22"/>
                <w:u w:val="none"/>
                <w:lang w:val="en-US" w:eastAsia="zh-CN" w:bidi="ar"/>
                <w14:textFill>
                  <w14:solidFill>
                    <w14:schemeClr w14:val="tx1"/>
                  </w14:solidFill>
                </w14:textFill>
              </w:rPr>
              <w:t>0</w:t>
            </w:r>
          </w:p>
        </w:tc>
        <w:tc>
          <w:tcPr>
            <w:tcW w:w="5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宋体" w:hAnsi="宋体" w:eastAsia="宋体" w:cs="宋体"/>
                <w:i w:val="0"/>
                <w:iCs w:val="0"/>
                <w:color w:val="000000" w:themeColor="text1"/>
                <w:kern w:val="0"/>
                <w:sz w:val="22"/>
                <w:szCs w:val="22"/>
                <w:u w:val="none"/>
                <w:lang w:val="en-US" w:eastAsia="zh-CN" w:bidi="ar"/>
                <w14:textFill>
                  <w14:solidFill>
                    <w14:schemeClr w14:val="tx1"/>
                  </w14:solidFill>
                </w14:textFill>
              </w:rPr>
            </w:pPr>
            <w:r>
              <w:rPr>
                <w:rFonts w:hint="eastAsia" w:ascii="宋体" w:hAnsi="宋体" w:cs="宋体"/>
                <w:i w:val="0"/>
                <w:iCs w:val="0"/>
                <w:color w:val="000000" w:themeColor="text1"/>
                <w:kern w:val="0"/>
                <w:sz w:val="22"/>
                <w:szCs w:val="22"/>
                <w:u w:val="none"/>
                <w:lang w:val="en-US" w:eastAsia="zh-CN" w:bidi="ar"/>
                <w14:textFill>
                  <w14:solidFill>
                    <w14:schemeClr w14:val="tx1"/>
                  </w14:solidFill>
                </w14:textFill>
              </w:rPr>
              <w:t>0</w:t>
            </w:r>
          </w:p>
        </w:tc>
        <w:tc>
          <w:tcPr>
            <w:tcW w:w="5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sz w:val="22"/>
                <w:szCs w:val="22"/>
                <w:u w:val="none"/>
                <w14:textFill>
                  <w14:solidFill>
                    <w14:schemeClr w14:val="tx1"/>
                  </w14:solidFill>
                </w14:textFill>
              </w:rPr>
            </w:pPr>
            <w: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t>0</w:t>
            </w:r>
          </w:p>
        </w:tc>
        <w:tc>
          <w:tcPr>
            <w:tcW w:w="5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sz w:val="22"/>
                <w:szCs w:val="22"/>
                <w:u w:val="none"/>
                <w14:textFill>
                  <w14:solidFill>
                    <w14:schemeClr w14:val="tx1"/>
                  </w14:solidFill>
                </w14:textFill>
              </w:rPr>
            </w:pPr>
            <w: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t>0</w:t>
            </w:r>
          </w:p>
        </w:tc>
        <w:tc>
          <w:tcPr>
            <w:tcW w:w="5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sz w:val="22"/>
                <w:szCs w:val="22"/>
                <w:u w:val="none"/>
                <w14:textFill>
                  <w14:solidFill>
                    <w14:schemeClr w14:val="tx1"/>
                  </w14:solidFill>
                </w14:textFill>
              </w:rPr>
            </w:pPr>
            <w: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t>0</w:t>
            </w:r>
          </w:p>
        </w:tc>
        <w:tc>
          <w:tcPr>
            <w:tcW w:w="5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sz w:val="22"/>
                <w:szCs w:val="22"/>
                <w:u w:val="none"/>
                <w14:textFill>
                  <w14:solidFill>
                    <w14:schemeClr w14:val="tx1"/>
                  </w14:solidFill>
                </w14:textFill>
              </w:rPr>
            </w:pPr>
            <w:r>
              <w:rPr>
                <w:rFonts w:hint="eastAsia" w:ascii="宋体" w:hAnsi="宋体" w:cs="宋体"/>
                <w:i w:val="0"/>
                <w:iCs w:val="0"/>
                <w:color w:val="000000" w:themeColor="text1"/>
                <w:kern w:val="0"/>
                <w:sz w:val="22"/>
                <w:szCs w:val="22"/>
                <w:u w:val="none"/>
                <w:lang w:val="en-US" w:eastAsia="zh-CN" w:bidi="ar"/>
                <w14:textFill>
                  <w14:solidFill>
                    <w14:schemeClr w14:val="tx1"/>
                  </w14:solidFill>
                </w14:textFill>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atLeast"/>
          <w:jc w:val="center"/>
        </w:trPr>
        <w:tc>
          <w:tcPr>
            <w:tcW w:w="21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sz w:val="22"/>
                <w:szCs w:val="22"/>
                <w:u w:val="none"/>
                <w14:textFill>
                  <w14:solidFill>
                    <w14:schemeClr w14:val="tx1"/>
                  </w14:solidFill>
                </w14:textFill>
              </w:rPr>
            </w:pPr>
            <w: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t>总计</w:t>
            </w:r>
          </w:p>
        </w:tc>
        <w:tc>
          <w:tcPr>
            <w:tcW w:w="5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sz w:val="22"/>
                <w:szCs w:val="22"/>
                <w:u w:val="none"/>
                <w14:textFill>
                  <w14:solidFill>
                    <w14:schemeClr w14:val="tx1"/>
                  </w14:solidFill>
                </w14:textFill>
              </w:rPr>
            </w:pPr>
            <w:r>
              <w:rPr>
                <w:rFonts w:hint="eastAsia" w:ascii="宋体" w:hAnsi="宋体" w:cs="宋体"/>
                <w:i w:val="0"/>
                <w:iCs w:val="0"/>
                <w:color w:val="000000" w:themeColor="text1"/>
                <w:kern w:val="0"/>
                <w:sz w:val="22"/>
                <w:szCs w:val="22"/>
                <w:u w:val="none"/>
                <w:lang w:val="en-US" w:eastAsia="zh-CN" w:bidi="ar"/>
                <w14:textFill>
                  <w14:solidFill>
                    <w14:schemeClr w14:val="tx1"/>
                  </w14:solidFill>
                </w14:textFill>
              </w:rPr>
              <w:t>96</w:t>
            </w:r>
          </w:p>
        </w:tc>
        <w:tc>
          <w:tcPr>
            <w:tcW w:w="5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宋体" w:hAnsi="宋体" w:eastAsia="宋体" w:cs="宋体"/>
                <w:i w:val="0"/>
                <w:iCs w:val="0"/>
                <w:color w:val="000000" w:themeColor="text1"/>
                <w:sz w:val="22"/>
                <w:szCs w:val="22"/>
                <w:u w:val="none"/>
                <w:lang w:val="en-US"/>
                <w14:textFill>
                  <w14:solidFill>
                    <w14:schemeClr w14:val="tx1"/>
                  </w14:solidFill>
                </w14:textFill>
              </w:rPr>
            </w:pPr>
            <w:r>
              <w:rPr>
                <w:rFonts w:hint="eastAsia" w:ascii="宋体" w:hAnsi="宋体" w:cs="宋体"/>
                <w:i w:val="0"/>
                <w:iCs w:val="0"/>
                <w:color w:val="000000" w:themeColor="text1"/>
                <w:kern w:val="0"/>
                <w:sz w:val="22"/>
                <w:szCs w:val="22"/>
                <w:u w:val="none"/>
                <w:lang w:val="en-US" w:eastAsia="zh-CN" w:bidi="ar"/>
                <w14:textFill>
                  <w14:solidFill>
                    <w14:schemeClr w14:val="tx1"/>
                  </w14:solidFill>
                </w14:textFill>
              </w:rPr>
              <w:t>90</w:t>
            </w:r>
          </w:p>
        </w:tc>
        <w:tc>
          <w:tcPr>
            <w:tcW w:w="5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sz w:val="22"/>
                <w:szCs w:val="22"/>
                <w:u w:val="none"/>
                <w14:textFill>
                  <w14:solidFill>
                    <w14:schemeClr w14:val="tx1"/>
                  </w14:solidFill>
                </w14:textFill>
              </w:rPr>
            </w:pPr>
            <w:r>
              <w:rPr>
                <w:rFonts w:hint="eastAsia" w:ascii="宋体" w:hAnsi="宋体" w:cs="宋体"/>
                <w:i w:val="0"/>
                <w:iCs w:val="0"/>
                <w:color w:val="000000" w:themeColor="text1"/>
                <w:kern w:val="0"/>
                <w:sz w:val="22"/>
                <w:szCs w:val="22"/>
                <w:u w:val="none"/>
                <w:lang w:val="en-US" w:eastAsia="zh-CN" w:bidi="ar"/>
                <w14:textFill>
                  <w14:solidFill>
                    <w14:schemeClr w14:val="tx1"/>
                  </w14:solidFill>
                </w14:textFill>
              </w:rPr>
              <w:t>10</w:t>
            </w:r>
          </w:p>
        </w:tc>
        <w:tc>
          <w:tcPr>
            <w:tcW w:w="5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sz w:val="22"/>
                <w:szCs w:val="22"/>
                <w:u w:val="none"/>
                <w14:textFill>
                  <w14:solidFill>
                    <w14:schemeClr w14:val="tx1"/>
                  </w14:solidFill>
                </w14:textFill>
              </w:rPr>
            </w:pPr>
            <w:r>
              <w:rPr>
                <w:rFonts w:hint="eastAsia" w:ascii="宋体" w:hAnsi="宋体" w:cs="宋体"/>
                <w:i w:val="0"/>
                <w:iCs w:val="0"/>
                <w:color w:val="000000" w:themeColor="text1"/>
                <w:kern w:val="0"/>
                <w:sz w:val="22"/>
                <w:szCs w:val="22"/>
                <w:u w:val="none"/>
                <w:lang w:val="en-US" w:eastAsia="zh-CN" w:bidi="ar"/>
                <w14:textFill>
                  <w14:solidFill>
                    <w14:schemeClr w14:val="tx1"/>
                  </w14:solidFill>
                </w14:textFill>
              </w:rPr>
              <w:t>1</w:t>
            </w:r>
          </w:p>
        </w:tc>
        <w:tc>
          <w:tcPr>
            <w:tcW w:w="5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sz w:val="22"/>
                <w:szCs w:val="22"/>
                <w:u w:val="none"/>
                <w14:textFill>
                  <w14:solidFill>
                    <w14:schemeClr w14:val="tx1"/>
                  </w14:solidFill>
                </w14:textFill>
              </w:rPr>
            </w:pPr>
            <w:r>
              <w:rPr>
                <w:rFonts w:hint="eastAsia" w:ascii="宋体" w:hAnsi="宋体" w:eastAsia="宋体" w:cs="宋体"/>
                <w:i w:val="0"/>
                <w:iCs w:val="0"/>
                <w:color w:val="000000" w:themeColor="text1"/>
                <w:kern w:val="0"/>
                <w:sz w:val="22"/>
                <w:szCs w:val="22"/>
                <w:u w:val="none"/>
                <w:lang w:val="en-US" w:eastAsia="zh-CN" w:bidi="ar"/>
                <w14:textFill>
                  <w14:solidFill>
                    <w14:schemeClr w14:val="tx1"/>
                  </w14:solidFill>
                </w14:textFill>
              </w:rPr>
              <w:t>1</w:t>
            </w:r>
          </w:p>
        </w:tc>
        <w:tc>
          <w:tcPr>
            <w:tcW w:w="5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宋体" w:hAnsi="宋体" w:eastAsia="宋体" w:cs="宋体"/>
                <w:i w:val="0"/>
                <w:iCs w:val="0"/>
                <w:color w:val="000000" w:themeColor="text1"/>
                <w:kern w:val="0"/>
                <w:sz w:val="22"/>
                <w:szCs w:val="22"/>
                <w:u w:val="none"/>
                <w:lang w:val="en-US" w:eastAsia="zh-CN" w:bidi="ar"/>
                <w14:textFill>
                  <w14:solidFill>
                    <w14:schemeClr w14:val="tx1"/>
                  </w14:solidFill>
                </w14:textFill>
              </w:rPr>
            </w:pPr>
            <w:r>
              <w:rPr>
                <w:rFonts w:hint="eastAsia" w:ascii="宋体" w:hAnsi="宋体" w:cs="宋体"/>
                <w:i w:val="0"/>
                <w:iCs w:val="0"/>
                <w:color w:val="000000" w:themeColor="text1"/>
                <w:kern w:val="0"/>
                <w:sz w:val="22"/>
                <w:szCs w:val="22"/>
                <w:u w:val="none"/>
                <w:lang w:val="en-US" w:eastAsia="zh-CN" w:bidi="ar"/>
                <w14:textFill>
                  <w14:solidFill>
                    <w14:schemeClr w14:val="tx1"/>
                  </w14:solidFill>
                </w14:textFill>
              </w:rPr>
              <w:t>1</w:t>
            </w:r>
          </w:p>
        </w:tc>
        <w:tc>
          <w:tcPr>
            <w:tcW w:w="5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宋体" w:hAnsi="宋体" w:eastAsia="宋体" w:cs="宋体"/>
                <w:i w:val="0"/>
                <w:iCs w:val="0"/>
                <w:color w:val="000000" w:themeColor="text1"/>
                <w:kern w:val="0"/>
                <w:sz w:val="22"/>
                <w:szCs w:val="22"/>
                <w:u w:val="none"/>
                <w:lang w:val="en-US" w:eastAsia="zh-CN" w:bidi="ar"/>
                <w14:textFill>
                  <w14:solidFill>
                    <w14:schemeClr w14:val="tx1"/>
                  </w14:solidFill>
                </w14:textFill>
              </w:rPr>
            </w:pPr>
            <w:r>
              <w:rPr>
                <w:rFonts w:hint="eastAsia" w:ascii="宋体" w:hAnsi="宋体" w:cs="宋体"/>
                <w:i w:val="0"/>
                <w:iCs w:val="0"/>
                <w:color w:val="000000" w:themeColor="text1"/>
                <w:kern w:val="0"/>
                <w:sz w:val="22"/>
                <w:szCs w:val="22"/>
                <w:u w:val="none"/>
                <w:lang w:val="en-US" w:eastAsia="zh-CN" w:bidi="ar"/>
                <w14:textFill>
                  <w14:solidFill>
                    <w14:schemeClr w14:val="tx1"/>
                  </w14:solidFill>
                </w14:textFill>
              </w:rPr>
              <w:t>1</w:t>
            </w:r>
          </w:p>
        </w:tc>
        <w:tc>
          <w:tcPr>
            <w:tcW w:w="5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sz w:val="22"/>
                <w:szCs w:val="22"/>
                <w:u w:val="none"/>
                <w14:textFill>
                  <w14:solidFill>
                    <w14:schemeClr w14:val="tx1"/>
                  </w14:solidFill>
                </w14:textFill>
              </w:rPr>
            </w:pPr>
            <w:r>
              <w:rPr>
                <w:rFonts w:hint="eastAsia" w:ascii="宋体" w:hAnsi="宋体" w:cs="宋体"/>
                <w:i w:val="0"/>
                <w:iCs w:val="0"/>
                <w:color w:val="000000" w:themeColor="text1"/>
                <w:kern w:val="0"/>
                <w:sz w:val="22"/>
                <w:szCs w:val="22"/>
                <w:u w:val="none"/>
                <w:lang w:val="en-US" w:eastAsia="zh-CN" w:bidi="ar"/>
                <w14:textFill>
                  <w14:solidFill>
                    <w14:schemeClr w14:val="tx1"/>
                  </w14:solidFill>
                </w14:textFill>
              </w:rPr>
              <w:t>3</w:t>
            </w:r>
          </w:p>
        </w:tc>
        <w:tc>
          <w:tcPr>
            <w:tcW w:w="5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sz w:val="22"/>
                <w:szCs w:val="22"/>
                <w:u w:val="none"/>
                <w14:textFill>
                  <w14:solidFill>
                    <w14:schemeClr w14:val="tx1"/>
                  </w14:solidFill>
                </w14:textFill>
              </w:rPr>
            </w:pPr>
            <w:r>
              <w:rPr>
                <w:rFonts w:hint="eastAsia" w:ascii="宋体" w:hAnsi="宋体" w:cs="宋体"/>
                <w:i w:val="0"/>
                <w:iCs w:val="0"/>
                <w:color w:val="000000" w:themeColor="text1"/>
                <w:kern w:val="0"/>
                <w:sz w:val="22"/>
                <w:szCs w:val="22"/>
                <w:u w:val="none"/>
                <w:lang w:val="en-US" w:eastAsia="zh-CN" w:bidi="ar"/>
                <w14:textFill>
                  <w14:solidFill>
                    <w14:schemeClr w14:val="tx1"/>
                  </w14:solidFill>
                </w14:textFill>
              </w:rPr>
              <w:t>2</w:t>
            </w:r>
          </w:p>
        </w:tc>
        <w:tc>
          <w:tcPr>
            <w:tcW w:w="5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sz w:val="22"/>
                <w:szCs w:val="22"/>
                <w:u w:val="none"/>
                <w14:textFill>
                  <w14:solidFill>
                    <w14:schemeClr w14:val="tx1"/>
                  </w14:solidFill>
                </w14:textFill>
              </w:rPr>
            </w:pPr>
            <w:r>
              <w:rPr>
                <w:rFonts w:hint="eastAsia" w:ascii="宋体" w:hAnsi="宋体" w:cs="宋体"/>
                <w:i w:val="0"/>
                <w:iCs w:val="0"/>
                <w:color w:val="000000" w:themeColor="text1"/>
                <w:kern w:val="0"/>
                <w:sz w:val="22"/>
                <w:szCs w:val="22"/>
                <w:u w:val="none"/>
                <w:lang w:val="en-US" w:eastAsia="zh-CN" w:bidi="ar"/>
                <w14:textFill>
                  <w14:solidFill>
                    <w14:schemeClr w14:val="tx1"/>
                  </w14:solidFill>
                </w14:textFill>
              </w:rPr>
              <w:t>1</w:t>
            </w:r>
          </w:p>
        </w:tc>
        <w:tc>
          <w:tcPr>
            <w:tcW w:w="5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宋体" w:hAnsi="宋体" w:eastAsia="宋体" w:cs="宋体"/>
                <w:i w:val="0"/>
                <w:iCs w:val="0"/>
                <w:color w:val="000000" w:themeColor="text1"/>
                <w:sz w:val="22"/>
                <w:szCs w:val="22"/>
                <w:u w:val="none"/>
                <w:lang w:val="en-US"/>
                <w14:textFill>
                  <w14:solidFill>
                    <w14:schemeClr w14:val="tx1"/>
                  </w14:solidFill>
                </w14:textFill>
              </w:rPr>
            </w:pPr>
            <w:r>
              <w:rPr>
                <w:rFonts w:hint="eastAsia" w:ascii="宋体" w:hAnsi="宋体" w:cs="宋体"/>
                <w:i w:val="0"/>
                <w:iCs w:val="0"/>
                <w:color w:val="000000" w:themeColor="text1"/>
                <w:kern w:val="0"/>
                <w:sz w:val="22"/>
                <w:szCs w:val="22"/>
                <w:u w:val="none"/>
                <w:lang w:val="en-US" w:eastAsia="zh-CN" w:bidi="ar"/>
                <w14:textFill>
                  <w14:solidFill>
                    <w14:schemeClr w14:val="tx1"/>
                  </w14:solidFill>
                </w14:textFill>
              </w:rPr>
              <w:t>70</w:t>
            </w:r>
          </w:p>
        </w:tc>
      </w:tr>
    </w:tbl>
    <w:p>
      <w:pPr>
        <w:keepNext w:val="0"/>
        <w:keepLines w:val="0"/>
        <w:pageBreakBefore w:val="0"/>
        <w:widowControl w:val="0"/>
        <w:numPr>
          <w:ilvl w:val="0"/>
          <w:numId w:val="0"/>
        </w:numPr>
        <w:kinsoku/>
        <w:wordWrap/>
        <w:overflowPunct/>
        <w:topLinePunct w:val="0"/>
        <w:autoSpaceDE/>
        <w:autoSpaceDN/>
        <w:bidi w:val="0"/>
        <w:adjustRightInd/>
        <w:snapToGrid/>
        <w:spacing w:before="157" w:beforeLines="50" w:after="157" w:afterLines="50" w:line="360" w:lineRule="auto"/>
        <w:ind w:firstLine="480" w:firstLineChars="200"/>
        <w:jc w:val="both"/>
        <w:textAlignment w:val="auto"/>
        <w:rPr>
          <w:rFonts w:hint="eastAsia" w:ascii="宋体" w:hAnsi="宋体" w:cs="Times New Roman"/>
          <w:color w:val="000000"/>
          <w:sz w:val="24"/>
          <w:szCs w:val="24"/>
          <w:lang w:val="en-US" w:eastAsia="zh-CN"/>
        </w:rPr>
      </w:pPr>
      <w:r>
        <w:rPr>
          <w:rFonts w:hint="eastAsia" w:ascii="宋体" w:hAnsi="宋体" w:cs="Times New Roman"/>
          <w:color w:val="000000"/>
          <w:sz w:val="24"/>
          <w:szCs w:val="24"/>
          <w:lang w:val="en-US" w:eastAsia="zh-CN"/>
        </w:rPr>
        <w:t>在所有本专科就业的90名毕业生中，以企业就业为主，共73人，占比81%。其中，绝大多数毕业生选择在民营企业工作，共70人，占比95.89%，国有企业、三资企业就业人数相对较少。</w:t>
      </w:r>
    </w:p>
    <w:p>
      <w:pPr>
        <w:pStyle w:val="2"/>
        <w:rPr>
          <w:rFonts w:hint="eastAsia" w:ascii="宋体" w:hAnsi="宋体" w:cs="Times New Roman"/>
          <w:color w:val="000000"/>
          <w:sz w:val="24"/>
          <w:szCs w:val="24"/>
          <w:lang w:val="en-US" w:eastAsia="zh-CN"/>
        </w:rPr>
      </w:pPr>
    </w:p>
    <w:p>
      <w:pPr>
        <w:rPr>
          <w:rFonts w:hint="eastAsia" w:ascii="宋体" w:hAnsi="宋体" w:cs="Times New Roman"/>
          <w:color w:val="000000"/>
          <w:sz w:val="24"/>
          <w:szCs w:val="24"/>
          <w:lang w:val="en-US" w:eastAsia="zh-CN"/>
        </w:rPr>
      </w:pPr>
    </w:p>
    <w:p>
      <w:pPr>
        <w:pStyle w:val="2"/>
        <w:rPr>
          <w:rFonts w:hint="eastAsia" w:ascii="宋体" w:hAnsi="宋体" w:cs="Times New Roman"/>
          <w:color w:val="000000"/>
          <w:sz w:val="24"/>
          <w:szCs w:val="24"/>
          <w:lang w:val="en-US" w:eastAsia="zh-CN"/>
        </w:rPr>
      </w:pPr>
    </w:p>
    <w:p>
      <w:pPr>
        <w:rPr>
          <w:rFonts w:hint="eastAsia" w:ascii="宋体" w:hAnsi="宋体" w:cs="Times New Roman"/>
          <w:color w:val="000000"/>
          <w:sz w:val="24"/>
          <w:szCs w:val="24"/>
          <w:lang w:val="en-US" w:eastAsia="zh-CN"/>
        </w:rPr>
      </w:pPr>
    </w:p>
    <w:p>
      <w:pPr>
        <w:pStyle w:val="2"/>
        <w:ind w:left="0" w:leftChars="0" w:firstLine="0" w:firstLineChars="0"/>
        <w:rPr>
          <w:rFonts w:hint="eastAsia"/>
          <w:lang w:val="en-US" w:eastAsia="zh-CN"/>
        </w:rPr>
      </w:pPr>
    </w:p>
    <w:p>
      <w:pPr>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0" w:firstLineChars="0"/>
        <w:jc w:val="center"/>
        <w:textAlignment w:val="auto"/>
        <w:rPr>
          <w:rFonts w:hint="default" w:ascii="宋体" w:hAnsi="宋体" w:cs="Times New Roman"/>
          <w:color w:val="000000"/>
          <w:sz w:val="24"/>
          <w:szCs w:val="24"/>
          <w:lang w:val="en-US" w:eastAsia="zh-CN"/>
        </w:rPr>
      </w:pPr>
      <w:r>
        <w:rPr>
          <w:rFonts w:hint="eastAsia" w:ascii="宋体" w:hAnsi="宋体" w:eastAsia="宋体" w:cs="宋体"/>
          <w:color w:val="000000"/>
          <w:sz w:val="21"/>
          <w:szCs w:val="21"/>
          <w:lang w:val="en-US" w:eastAsia="zh-CN"/>
        </w:rPr>
        <w:t>图</w:t>
      </w:r>
      <w:r>
        <w:rPr>
          <w:rFonts w:hint="eastAsia" w:ascii="宋体" w:hAnsi="宋体" w:cs="宋体"/>
          <w:color w:val="000000"/>
          <w:sz w:val="21"/>
          <w:szCs w:val="21"/>
          <w:lang w:val="en-US" w:eastAsia="zh-CN"/>
        </w:rPr>
        <w:t>2-</w:t>
      </w:r>
      <w:r>
        <w:rPr>
          <w:rFonts w:hint="eastAsia" w:ascii="宋体" w:hAnsi="宋体" w:eastAsia="宋体" w:cs="宋体"/>
          <w:color w:val="000000"/>
          <w:sz w:val="21"/>
          <w:szCs w:val="21"/>
          <w:lang w:val="en-US" w:eastAsia="zh-CN"/>
        </w:rPr>
        <w:t>1</w:t>
      </w:r>
      <w:r>
        <w:rPr>
          <w:rFonts w:hint="eastAsia" w:ascii="宋体" w:hAnsi="宋体" w:cs="宋体"/>
          <w:color w:val="000000"/>
          <w:sz w:val="21"/>
          <w:szCs w:val="21"/>
          <w:lang w:val="en-US" w:eastAsia="zh-CN"/>
        </w:rPr>
        <w:t xml:space="preserve"> </w:t>
      </w:r>
      <w:r>
        <w:rPr>
          <w:rFonts w:hint="eastAsia" w:ascii="宋体" w:hAnsi="宋体" w:eastAsia="宋体" w:cs="宋体"/>
          <w:color w:val="000000"/>
          <w:sz w:val="21"/>
          <w:szCs w:val="21"/>
          <w:lang w:val="en-US" w:eastAsia="zh-CN"/>
        </w:rPr>
        <w:t>旅游与会展学院202</w:t>
      </w:r>
      <w:r>
        <w:rPr>
          <w:rFonts w:hint="eastAsia" w:ascii="宋体" w:hAnsi="宋体" w:cs="宋体"/>
          <w:color w:val="000000"/>
          <w:sz w:val="21"/>
          <w:szCs w:val="21"/>
          <w:lang w:val="en-US" w:eastAsia="zh-CN"/>
        </w:rPr>
        <w:t>2</w:t>
      </w:r>
      <w:r>
        <w:rPr>
          <w:rFonts w:hint="eastAsia" w:ascii="宋体" w:hAnsi="宋体" w:eastAsia="宋体" w:cs="宋体"/>
          <w:color w:val="000000"/>
          <w:sz w:val="21"/>
          <w:szCs w:val="21"/>
          <w:lang w:val="en-US" w:eastAsia="zh-CN"/>
        </w:rPr>
        <w:t>届毕业生</w:t>
      </w:r>
      <w:r>
        <w:rPr>
          <w:rFonts w:hint="eastAsia" w:ascii="宋体" w:hAnsi="宋体" w:cs="宋体"/>
          <w:color w:val="000000"/>
          <w:sz w:val="21"/>
          <w:szCs w:val="21"/>
          <w:lang w:val="en-US" w:eastAsia="zh-CN"/>
        </w:rPr>
        <w:t>就业类型结构</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eastAsia" w:ascii="宋体" w:hAnsi="宋体"/>
          <w:b/>
          <w:sz w:val="24"/>
          <w:szCs w:val="24"/>
          <w:lang w:val="en-US" w:eastAsia="zh-CN"/>
        </w:rPr>
      </w:pPr>
      <w:r>
        <w:drawing>
          <wp:inline distT="0" distB="0" distL="114300" distR="114300">
            <wp:extent cx="5039995" cy="3109595"/>
            <wp:effectExtent l="4445" t="4445" r="13335" b="10160"/>
            <wp:docPr id="33" name="图表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before="157" w:beforeLines="50" w:line="240" w:lineRule="auto"/>
        <w:ind w:firstLine="0" w:firstLineChars="0"/>
        <w:jc w:val="center"/>
        <w:textAlignment w:val="auto"/>
        <w:rPr>
          <w:rFonts w:hint="eastAsia" w:ascii="宋体" w:hAnsi="宋体"/>
          <w:b/>
          <w:sz w:val="24"/>
          <w:szCs w:val="24"/>
          <w:lang w:val="en-US" w:eastAsia="zh-CN"/>
        </w:rPr>
      </w:pPr>
      <w:r>
        <w:rPr>
          <w:rFonts w:hint="eastAsia" w:ascii="宋体" w:hAnsi="宋体" w:eastAsia="宋体" w:cs="宋体"/>
          <w:color w:val="000000"/>
          <w:sz w:val="21"/>
          <w:szCs w:val="21"/>
          <w:lang w:val="en-US" w:eastAsia="zh-CN"/>
        </w:rPr>
        <w:t>图</w:t>
      </w:r>
      <w:r>
        <w:rPr>
          <w:rFonts w:hint="eastAsia" w:ascii="宋体" w:hAnsi="宋体" w:cs="宋体"/>
          <w:color w:val="000000"/>
          <w:sz w:val="21"/>
          <w:szCs w:val="21"/>
          <w:lang w:val="en-US" w:eastAsia="zh-CN"/>
        </w:rPr>
        <w:t xml:space="preserve">2-2 </w:t>
      </w:r>
      <w:r>
        <w:rPr>
          <w:rFonts w:hint="eastAsia" w:ascii="宋体" w:hAnsi="宋体" w:eastAsia="宋体" w:cs="宋体"/>
          <w:color w:val="000000"/>
          <w:sz w:val="21"/>
          <w:szCs w:val="21"/>
          <w:lang w:val="en-US" w:eastAsia="zh-CN"/>
        </w:rPr>
        <w:t>旅游与会展学院202</w:t>
      </w:r>
      <w:r>
        <w:rPr>
          <w:rFonts w:hint="eastAsia" w:ascii="宋体" w:hAnsi="宋体" w:cs="宋体"/>
          <w:color w:val="000000"/>
          <w:sz w:val="21"/>
          <w:szCs w:val="21"/>
          <w:lang w:val="en-US" w:eastAsia="zh-CN"/>
        </w:rPr>
        <w:t>2</w:t>
      </w:r>
      <w:r>
        <w:rPr>
          <w:rFonts w:hint="eastAsia" w:ascii="宋体" w:hAnsi="宋体" w:eastAsia="宋体" w:cs="宋体"/>
          <w:color w:val="000000"/>
          <w:sz w:val="21"/>
          <w:szCs w:val="21"/>
          <w:lang w:val="en-US" w:eastAsia="zh-CN"/>
        </w:rPr>
        <w:t>届</w:t>
      </w:r>
      <w:r>
        <w:rPr>
          <w:rFonts w:hint="eastAsia" w:ascii="宋体" w:hAnsi="宋体" w:cs="宋体"/>
          <w:color w:val="000000"/>
          <w:sz w:val="21"/>
          <w:szCs w:val="21"/>
          <w:lang w:val="en-US" w:eastAsia="zh-CN"/>
        </w:rPr>
        <w:t>各专业就业类型结构</w:t>
      </w:r>
    </w:p>
    <w:p>
      <w:pPr>
        <w:numPr>
          <w:ilvl w:val="0"/>
          <w:numId w:val="0"/>
        </w:numPr>
        <w:spacing w:line="360" w:lineRule="auto"/>
        <w:jc w:val="center"/>
        <w:rPr>
          <w:rFonts w:hint="eastAsia" w:ascii="宋体" w:hAnsi="宋体"/>
          <w:b/>
          <w:sz w:val="24"/>
          <w:szCs w:val="24"/>
          <w:lang w:val="en-US" w:eastAsia="zh-CN"/>
        </w:rPr>
      </w:pPr>
      <w:r>
        <w:drawing>
          <wp:inline distT="0" distB="0" distL="114300" distR="114300">
            <wp:extent cx="5039995" cy="3107055"/>
            <wp:effectExtent l="4445" t="4445" r="13335" b="31750"/>
            <wp:docPr id="34" name="图表 19" descr="7b0a202020202263686172745265734964223a20223230343730303432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pPr>
        <w:keepNext w:val="0"/>
        <w:keepLines w:val="0"/>
        <w:pageBreakBefore w:val="0"/>
        <w:widowControl w:val="0"/>
        <w:numPr>
          <w:ilvl w:val="0"/>
          <w:numId w:val="17"/>
        </w:numPr>
        <w:kinsoku/>
        <w:wordWrap/>
        <w:overflowPunct/>
        <w:topLinePunct w:val="0"/>
        <w:autoSpaceDE/>
        <w:autoSpaceDN/>
        <w:bidi w:val="0"/>
        <w:adjustRightInd/>
        <w:snapToGrid/>
        <w:spacing w:before="157" w:beforeLines="50" w:after="157" w:afterLines="50" w:line="360" w:lineRule="auto"/>
        <w:ind w:firstLine="480" w:firstLineChars="200"/>
        <w:jc w:val="left"/>
        <w:textAlignment w:val="auto"/>
        <w:rPr>
          <w:rFonts w:hint="default" w:ascii="宋体" w:hAnsi="宋体" w:eastAsia="宋体" w:cs="Times New Roman"/>
          <w:b w:val="0"/>
          <w:bCs/>
          <w:sz w:val="24"/>
          <w:szCs w:val="24"/>
          <w:lang w:val="en-US" w:eastAsia="zh-CN"/>
        </w:rPr>
      </w:pPr>
      <w:r>
        <w:rPr>
          <w:rFonts w:hint="eastAsia" w:ascii="宋体" w:hAnsi="宋体" w:eastAsia="宋体" w:cs="Times New Roman"/>
          <w:b w:val="0"/>
          <w:bCs/>
          <w:sz w:val="24"/>
          <w:szCs w:val="24"/>
          <w:lang w:val="en-US" w:eastAsia="zh-CN"/>
        </w:rPr>
        <w:t>就业地区分布</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cs="Times New Roman"/>
          <w:color w:val="000000"/>
          <w:sz w:val="24"/>
          <w:szCs w:val="24"/>
        </w:rPr>
      </w:pPr>
      <w:r>
        <w:rPr>
          <w:rFonts w:hint="eastAsia" w:ascii="宋体" w:hAnsi="宋体" w:cs="Times New Roman"/>
          <w:color w:val="000000"/>
          <w:sz w:val="24"/>
          <w:szCs w:val="24"/>
          <w:lang w:val="en-US" w:eastAsia="zh-CN"/>
        </w:rPr>
        <w:t>在所有本专科实际就业</w:t>
      </w:r>
      <w:r>
        <w:rPr>
          <w:rStyle w:val="20"/>
          <w:rFonts w:hint="eastAsia" w:ascii="宋体" w:hAnsi="宋体" w:cs="Times New Roman"/>
          <w:color w:val="000000"/>
          <w:sz w:val="24"/>
          <w:szCs w:val="24"/>
          <w:lang w:val="en-US" w:eastAsia="zh-CN"/>
        </w:rPr>
        <w:footnoteReference w:id="0"/>
      </w:r>
      <w:r>
        <w:rPr>
          <w:rFonts w:hint="eastAsia" w:ascii="宋体" w:hAnsi="宋体" w:cs="Times New Roman"/>
          <w:color w:val="000000"/>
          <w:sz w:val="24"/>
          <w:szCs w:val="24"/>
          <w:lang w:val="en-US" w:eastAsia="zh-CN"/>
        </w:rPr>
        <w:t>的77名毕业生中</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有</w:t>
      </w:r>
      <w:r>
        <w:rPr>
          <w:rFonts w:hint="eastAsia" w:ascii="宋体" w:hAnsi="宋体" w:cs="Times New Roman"/>
          <w:color w:val="000000"/>
          <w:sz w:val="24"/>
          <w:szCs w:val="24"/>
          <w:lang w:val="en-US" w:eastAsia="zh-CN"/>
        </w:rPr>
        <w:t>53</w:t>
      </w:r>
      <w:r>
        <w:rPr>
          <w:rFonts w:hint="eastAsia" w:ascii="宋体" w:hAnsi="宋体" w:cs="Times New Roman"/>
          <w:color w:val="000000"/>
          <w:sz w:val="24"/>
          <w:szCs w:val="24"/>
        </w:rPr>
        <w:t>名毕业生选择在安徽省内就业</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占就业毕业生的</w:t>
      </w:r>
      <w:r>
        <w:rPr>
          <w:rFonts w:hint="eastAsia" w:ascii="宋体" w:hAnsi="宋体" w:cs="Times New Roman"/>
          <w:color w:val="000000"/>
          <w:sz w:val="24"/>
          <w:szCs w:val="24"/>
          <w:lang w:val="en-US" w:eastAsia="zh-CN"/>
        </w:rPr>
        <w:t>68.83</w:t>
      </w:r>
      <w:r>
        <w:rPr>
          <w:rFonts w:hint="eastAsia" w:ascii="宋体" w:hAnsi="宋体" w:cs="Times New Roman"/>
          <w:color w:val="000000"/>
          <w:sz w:val="24"/>
          <w:szCs w:val="24"/>
        </w:rPr>
        <w:t>%</w:t>
      </w:r>
      <w:r>
        <w:rPr>
          <w:rFonts w:hint="eastAsia" w:ascii="宋体" w:hAnsi="宋体" w:cs="Times New Roman"/>
          <w:color w:val="000000"/>
          <w:sz w:val="24"/>
          <w:szCs w:val="24"/>
          <w:lang w:eastAsia="zh-CN"/>
        </w:rPr>
        <w:t>，</w:t>
      </w:r>
      <w:r>
        <w:rPr>
          <w:rFonts w:hint="eastAsia" w:ascii="宋体" w:hAnsi="宋体" w:cs="Times New Roman"/>
          <w:color w:val="000000"/>
          <w:sz w:val="24"/>
          <w:szCs w:val="24"/>
          <w:lang w:val="en-US" w:eastAsia="zh-CN"/>
        </w:rPr>
        <w:t>省外就业毕业生24人</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占</w:t>
      </w:r>
      <w:r>
        <w:rPr>
          <w:rFonts w:hint="eastAsia" w:ascii="宋体" w:hAnsi="宋体" w:cs="Times New Roman"/>
          <w:color w:val="000000"/>
          <w:sz w:val="24"/>
          <w:szCs w:val="24"/>
          <w:lang w:val="en-US" w:eastAsia="zh-CN"/>
        </w:rPr>
        <w:t>比31.17%；省内就业毕业生中</w:t>
      </w:r>
      <w:r>
        <w:rPr>
          <w:rFonts w:hint="eastAsia" w:ascii="宋体" w:hAnsi="宋体" w:cs="Times New Roman"/>
          <w:color w:val="000000"/>
          <w:sz w:val="24"/>
          <w:szCs w:val="24"/>
        </w:rPr>
        <w:t>有</w:t>
      </w:r>
      <w:r>
        <w:rPr>
          <w:rFonts w:hint="eastAsia" w:ascii="宋体" w:hAnsi="宋体" w:cs="Times New Roman"/>
          <w:color w:val="000000"/>
          <w:sz w:val="24"/>
          <w:szCs w:val="24"/>
          <w:lang w:val="en-US" w:eastAsia="zh-CN"/>
        </w:rPr>
        <w:t>53</w:t>
      </w:r>
      <w:r>
        <w:rPr>
          <w:rFonts w:hint="eastAsia" w:ascii="宋体" w:hAnsi="宋体" w:cs="Times New Roman"/>
          <w:color w:val="000000"/>
          <w:sz w:val="24"/>
          <w:szCs w:val="24"/>
        </w:rPr>
        <w:t>人在合肥市就业</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占</w:t>
      </w:r>
      <w:r>
        <w:rPr>
          <w:rFonts w:hint="eastAsia" w:ascii="宋体" w:hAnsi="宋体" w:cs="Times New Roman"/>
          <w:color w:val="000000"/>
          <w:sz w:val="24"/>
          <w:szCs w:val="24"/>
          <w:lang w:val="en-US" w:eastAsia="zh-CN"/>
        </w:rPr>
        <w:t>比73</w:t>
      </w:r>
      <w:r>
        <w:rPr>
          <w:rFonts w:hint="eastAsia" w:ascii="宋体" w:hAnsi="宋体" w:cs="Times New Roman"/>
          <w:color w:val="000000"/>
          <w:sz w:val="24"/>
          <w:szCs w:val="24"/>
        </w:rPr>
        <w:t>%</w:t>
      </w:r>
      <w:r>
        <w:rPr>
          <w:rFonts w:hint="eastAsia" w:ascii="宋体" w:hAnsi="宋体" w:cs="Times New Roman"/>
          <w:color w:val="000000"/>
          <w:sz w:val="24"/>
          <w:szCs w:val="24"/>
          <w:lang w:eastAsia="zh-CN"/>
        </w:rPr>
        <w:t>。</w:t>
      </w:r>
      <w:r>
        <w:rPr>
          <w:rFonts w:hint="eastAsia" w:ascii="宋体" w:hAnsi="宋体" w:cs="Times New Roman"/>
          <w:color w:val="000000"/>
          <w:sz w:val="24"/>
          <w:szCs w:val="24"/>
          <w:lang w:val="en-US" w:eastAsia="zh-CN"/>
        </w:rPr>
        <w:t>从数据来看，我院毕业生中大部分选择在合肥和省内其他城市就业，</w:t>
      </w:r>
      <w:r>
        <w:rPr>
          <w:rFonts w:hint="eastAsia" w:ascii="宋体" w:hAnsi="宋体" w:cs="Times New Roman"/>
          <w:color w:val="000000"/>
          <w:sz w:val="24"/>
          <w:szCs w:val="24"/>
        </w:rPr>
        <w:t>为</w:t>
      </w:r>
      <w:r>
        <w:rPr>
          <w:rFonts w:hint="eastAsia" w:ascii="宋体" w:hAnsi="宋体" w:cs="Times New Roman"/>
          <w:color w:val="000000"/>
          <w:sz w:val="24"/>
          <w:szCs w:val="24"/>
          <w:lang w:val="en-US" w:eastAsia="zh-CN"/>
        </w:rPr>
        <w:t>安徽省和合肥市</w:t>
      </w:r>
      <w:r>
        <w:rPr>
          <w:rFonts w:hint="eastAsia" w:ascii="宋体" w:hAnsi="宋体" w:cs="Times New Roman"/>
          <w:color w:val="000000"/>
          <w:sz w:val="24"/>
          <w:szCs w:val="24"/>
        </w:rPr>
        <w:t>的</w:t>
      </w:r>
      <w:r>
        <w:rPr>
          <w:rFonts w:hint="eastAsia" w:ascii="宋体" w:hAnsi="宋体" w:cs="Times New Roman"/>
          <w:color w:val="000000"/>
          <w:sz w:val="24"/>
          <w:szCs w:val="24"/>
          <w:lang w:val="en-US" w:eastAsia="zh-CN"/>
        </w:rPr>
        <w:t>经济社会</w:t>
      </w:r>
      <w:r>
        <w:rPr>
          <w:rFonts w:hint="eastAsia" w:ascii="宋体" w:hAnsi="宋体" w:cs="Times New Roman"/>
          <w:color w:val="000000"/>
          <w:sz w:val="24"/>
          <w:szCs w:val="24"/>
        </w:rPr>
        <w:t>发展做出贡献</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符合学校“地方性</w:t>
      </w:r>
      <w:r>
        <w:rPr>
          <w:rFonts w:hint="eastAsia" w:ascii="宋体" w:hAnsi="宋体" w:cs="Times New Roman"/>
          <w:color w:val="000000"/>
          <w:sz w:val="24"/>
          <w:szCs w:val="24"/>
          <w:lang w:eastAsia="zh-CN"/>
        </w:rPr>
        <w:t>、</w:t>
      </w:r>
      <w:r>
        <w:rPr>
          <w:rFonts w:hint="eastAsia" w:ascii="宋体" w:hAnsi="宋体" w:cs="Times New Roman"/>
          <w:color w:val="000000"/>
          <w:sz w:val="24"/>
          <w:szCs w:val="24"/>
          <w:lang w:val="en-US" w:eastAsia="zh-CN"/>
        </w:rPr>
        <w:t>应用型</w:t>
      </w:r>
      <w:r>
        <w:rPr>
          <w:rFonts w:hint="eastAsia" w:ascii="宋体" w:hAnsi="宋体" w:cs="Times New Roman"/>
          <w:color w:val="000000"/>
          <w:sz w:val="24"/>
          <w:szCs w:val="24"/>
        </w:rPr>
        <w:t>”的办学</w:t>
      </w:r>
      <w:r>
        <w:rPr>
          <w:rFonts w:hint="eastAsia" w:ascii="宋体" w:hAnsi="宋体" w:cs="Times New Roman"/>
          <w:color w:val="000000"/>
          <w:sz w:val="24"/>
          <w:szCs w:val="24"/>
          <w:lang w:val="en-US" w:eastAsia="zh-CN"/>
        </w:rPr>
        <w:t>定位</w:t>
      </w:r>
      <w:r>
        <w:rPr>
          <w:rFonts w:hint="eastAsia" w:ascii="宋体" w:hAnsi="宋体" w:cs="Times New Roman"/>
          <w:color w:val="000000"/>
          <w:sz w:val="24"/>
          <w:szCs w:val="24"/>
        </w:rPr>
        <w:t>。</w:t>
      </w:r>
    </w:p>
    <w:p>
      <w:pPr>
        <w:keepNext w:val="0"/>
        <w:keepLines w:val="0"/>
        <w:pageBreakBefore w:val="0"/>
        <w:widowControl w:val="0"/>
        <w:numPr>
          <w:ilvl w:val="0"/>
          <w:numId w:val="0"/>
        </w:numPr>
        <w:kinsoku/>
        <w:wordWrap/>
        <w:overflowPunct/>
        <w:topLinePunct w:val="0"/>
        <w:autoSpaceDE/>
        <w:autoSpaceDN/>
        <w:bidi w:val="0"/>
        <w:adjustRightInd/>
        <w:snapToGrid/>
        <w:spacing w:before="157" w:beforeLines="50" w:line="240" w:lineRule="auto"/>
        <w:ind w:firstLine="0" w:firstLineChars="0"/>
        <w:jc w:val="center"/>
        <w:textAlignment w:val="auto"/>
        <w:rPr>
          <w:rFonts w:hint="eastAsia" w:ascii="宋体" w:hAnsi="宋体" w:cs="宋体"/>
          <w:sz w:val="24"/>
          <w:lang w:eastAsia="zh-CN"/>
        </w:rPr>
      </w:pPr>
      <w:r>
        <w:rPr>
          <w:rFonts w:hint="eastAsia" w:ascii="宋体" w:hAnsi="宋体" w:eastAsia="宋体" w:cs="宋体"/>
          <w:color w:val="000000"/>
          <w:sz w:val="21"/>
          <w:szCs w:val="21"/>
          <w:lang w:val="en-US" w:eastAsia="zh-CN"/>
        </w:rPr>
        <w:t>图</w:t>
      </w:r>
      <w:r>
        <w:rPr>
          <w:rFonts w:hint="eastAsia" w:ascii="宋体" w:hAnsi="宋体" w:cs="宋体"/>
          <w:color w:val="000000"/>
          <w:sz w:val="21"/>
          <w:szCs w:val="21"/>
          <w:lang w:val="en-US" w:eastAsia="zh-CN"/>
        </w:rPr>
        <w:t xml:space="preserve">2-3 </w:t>
      </w:r>
      <w:r>
        <w:rPr>
          <w:rFonts w:hint="eastAsia" w:ascii="宋体" w:hAnsi="宋体" w:eastAsia="宋体" w:cs="宋体"/>
          <w:color w:val="000000"/>
          <w:sz w:val="21"/>
          <w:szCs w:val="21"/>
          <w:lang w:val="en-US" w:eastAsia="zh-CN"/>
        </w:rPr>
        <w:t>旅游与会展学院202</w:t>
      </w:r>
      <w:r>
        <w:rPr>
          <w:rFonts w:hint="eastAsia" w:ascii="宋体" w:hAnsi="宋体" w:cs="宋体"/>
          <w:color w:val="000000"/>
          <w:sz w:val="21"/>
          <w:szCs w:val="21"/>
          <w:lang w:val="en-US" w:eastAsia="zh-CN"/>
        </w:rPr>
        <w:t>2</w:t>
      </w:r>
      <w:r>
        <w:rPr>
          <w:rFonts w:hint="eastAsia" w:ascii="宋体" w:hAnsi="宋体" w:eastAsia="宋体" w:cs="宋体"/>
          <w:color w:val="000000"/>
          <w:sz w:val="21"/>
          <w:szCs w:val="21"/>
          <w:lang w:val="en-US" w:eastAsia="zh-CN"/>
        </w:rPr>
        <w:t>届毕业生</w:t>
      </w:r>
      <w:r>
        <w:rPr>
          <w:rFonts w:hint="eastAsia" w:ascii="宋体" w:hAnsi="宋体" w:cs="宋体"/>
          <w:color w:val="000000"/>
          <w:sz w:val="21"/>
          <w:szCs w:val="21"/>
          <w:lang w:val="en-US" w:eastAsia="zh-CN"/>
        </w:rPr>
        <w:t>就业主要省份分布</w:t>
      </w:r>
      <w:r>
        <w:drawing>
          <wp:inline distT="0" distB="0" distL="114300" distR="114300">
            <wp:extent cx="5039995" cy="2881630"/>
            <wp:effectExtent l="4445" t="4445" r="13335" b="28575"/>
            <wp:docPr id="35" name="图表 31" descr="7b0a202020202263686172745265734964223a20223230343730343432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before="157" w:beforeLines="50" w:line="240" w:lineRule="auto"/>
        <w:ind w:firstLine="0" w:firstLineChars="0"/>
        <w:jc w:val="center"/>
        <w:textAlignment w:val="auto"/>
        <w:rPr>
          <w:rFonts w:hint="eastAsia" w:ascii="宋体" w:hAnsi="宋体" w:cs="宋体"/>
          <w:sz w:val="24"/>
          <w:lang w:eastAsia="zh-CN"/>
        </w:rPr>
      </w:pPr>
      <w:r>
        <w:rPr>
          <w:rFonts w:hint="eastAsia" w:ascii="宋体" w:hAnsi="宋体" w:eastAsia="宋体" w:cs="宋体"/>
          <w:color w:val="000000"/>
          <w:sz w:val="21"/>
          <w:szCs w:val="21"/>
          <w:lang w:val="en-US" w:eastAsia="zh-CN"/>
        </w:rPr>
        <w:t>图</w:t>
      </w:r>
      <w:r>
        <w:rPr>
          <w:rFonts w:hint="eastAsia" w:ascii="宋体" w:hAnsi="宋体" w:cs="宋体"/>
          <w:color w:val="000000"/>
          <w:sz w:val="21"/>
          <w:szCs w:val="21"/>
          <w:lang w:val="en-US" w:eastAsia="zh-CN"/>
        </w:rPr>
        <w:t xml:space="preserve">2-4 </w:t>
      </w:r>
      <w:r>
        <w:rPr>
          <w:rFonts w:hint="eastAsia" w:ascii="宋体" w:hAnsi="宋体" w:eastAsia="宋体" w:cs="宋体"/>
          <w:color w:val="000000"/>
          <w:sz w:val="21"/>
          <w:szCs w:val="21"/>
          <w:lang w:val="en-US" w:eastAsia="zh-CN"/>
        </w:rPr>
        <w:t>旅游与会展学院202</w:t>
      </w:r>
      <w:r>
        <w:rPr>
          <w:rFonts w:hint="eastAsia" w:ascii="宋体" w:hAnsi="宋体" w:cs="宋体"/>
          <w:color w:val="000000"/>
          <w:sz w:val="21"/>
          <w:szCs w:val="21"/>
          <w:lang w:val="en-US" w:eastAsia="zh-CN"/>
        </w:rPr>
        <w:t>2</w:t>
      </w:r>
      <w:r>
        <w:rPr>
          <w:rFonts w:hint="eastAsia" w:ascii="宋体" w:hAnsi="宋体" w:eastAsia="宋体" w:cs="宋体"/>
          <w:color w:val="000000"/>
          <w:sz w:val="21"/>
          <w:szCs w:val="21"/>
          <w:lang w:val="en-US" w:eastAsia="zh-CN"/>
        </w:rPr>
        <w:t>届毕业生</w:t>
      </w:r>
      <w:r>
        <w:rPr>
          <w:rFonts w:hint="eastAsia" w:ascii="宋体" w:hAnsi="宋体" w:cs="宋体"/>
          <w:color w:val="000000"/>
          <w:sz w:val="21"/>
          <w:szCs w:val="21"/>
          <w:lang w:val="en-US" w:eastAsia="zh-CN"/>
        </w:rPr>
        <w:t>省内就业主要城市分布</w:t>
      </w:r>
    </w:p>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宋体" w:hAnsi="宋体"/>
          <w:b/>
          <w:sz w:val="24"/>
          <w:szCs w:val="24"/>
          <w:lang w:val="en-US" w:eastAsia="zh-CN"/>
        </w:rPr>
      </w:pPr>
      <w:r>
        <w:drawing>
          <wp:inline distT="0" distB="0" distL="114300" distR="114300">
            <wp:extent cx="5039995" cy="2879725"/>
            <wp:effectExtent l="4445" t="4445" r="13335" b="11430"/>
            <wp:docPr id="36" name="图表 33" descr="7b0a202020202263686172745265734964223a202234373037383938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cs="Times New Roman"/>
          <w:color w:val="000000"/>
          <w:sz w:val="24"/>
          <w:szCs w:val="24"/>
          <w:lang w:eastAsia="zh-CN"/>
        </w:rPr>
      </w:pPr>
      <w:r>
        <w:rPr>
          <w:rFonts w:hint="eastAsia" w:ascii="宋体" w:hAnsi="宋体" w:cs="Times New Roman"/>
          <w:color w:val="000000"/>
          <w:sz w:val="24"/>
          <w:szCs w:val="24"/>
          <w:lang w:val="en-US" w:eastAsia="zh-CN"/>
        </w:rPr>
        <w:t>酒店管理专业实际就业的25名毕业生中，</w:t>
      </w:r>
      <w:r>
        <w:rPr>
          <w:rFonts w:hint="eastAsia" w:ascii="宋体" w:hAnsi="宋体" w:cs="Times New Roman"/>
          <w:color w:val="000000"/>
          <w:sz w:val="24"/>
          <w:szCs w:val="24"/>
        </w:rPr>
        <w:t>有</w:t>
      </w:r>
      <w:r>
        <w:rPr>
          <w:rFonts w:hint="eastAsia" w:ascii="宋体" w:hAnsi="宋体" w:cs="Times New Roman"/>
          <w:color w:val="000000"/>
          <w:sz w:val="24"/>
          <w:szCs w:val="24"/>
          <w:lang w:val="en-US" w:eastAsia="zh-CN"/>
        </w:rPr>
        <w:t>20</w:t>
      </w:r>
      <w:r>
        <w:rPr>
          <w:rFonts w:hint="eastAsia" w:ascii="宋体" w:hAnsi="宋体" w:cs="Times New Roman"/>
          <w:color w:val="000000"/>
          <w:sz w:val="24"/>
          <w:szCs w:val="24"/>
        </w:rPr>
        <w:t>名毕业生选择在安徽省内就业</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占就业毕业生的</w:t>
      </w:r>
      <w:r>
        <w:rPr>
          <w:rFonts w:hint="eastAsia" w:ascii="宋体" w:hAnsi="宋体" w:cs="Times New Roman"/>
          <w:color w:val="000000"/>
          <w:sz w:val="24"/>
          <w:szCs w:val="24"/>
          <w:lang w:val="en-US" w:eastAsia="zh-CN"/>
        </w:rPr>
        <w:t>80</w:t>
      </w:r>
      <w:r>
        <w:rPr>
          <w:rFonts w:hint="eastAsia" w:ascii="宋体" w:hAnsi="宋体" w:cs="Times New Roman"/>
          <w:color w:val="000000"/>
          <w:sz w:val="24"/>
          <w:szCs w:val="24"/>
        </w:rPr>
        <w:t>%</w:t>
      </w:r>
      <w:r>
        <w:rPr>
          <w:rFonts w:hint="eastAsia" w:ascii="宋体" w:hAnsi="宋体" w:cs="Times New Roman"/>
          <w:color w:val="000000"/>
          <w:sz w:val="24"/>
          <w:szCs w:val="24"/>
          <w:lang w:eastAsia="zh-CN"/>
        </w:rPr>
        <w:t>，</w:t>
      </w:r>
      <w:r>
        <w:rPr>
          <w:rFonts w:hint="eastAsia" w:ascii="宋体" w:hAnsi="宋体" w:cs="Times New Roman"/>
          <w:color w:val="000000"/>
          <w:sz w:val="24"/>
          <w:szCs w:val="24"/>
          <w:lang w:val="en-US" w:eastAsia="zh-CN"/>
        </w:rPr>
        <w:t>省外就业毕业生5人</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占</w:t>
      </w:r>
      <w:r>
        <w:rPr>
          <w:rFonts w:hint="eastAsia" w:ascii="宋体" w:hAnsi="宋体" w:cs="Times New Roman"/>
          <w:color w:val="000000"/>
          <w:sz w:val="24"/>
          <w:szCs w:val="24"/>
          <w:lang w:val="en-US" w:eastAsia="zh-CN"/>
        </w:rPr>
        <w:t>比20%；省内就业毕业生中</w:t>
      </w:r>
      <w:r>
        <w:rPr>
          <w:rFonts w:hint="eastAsia" w:ascii="宋体" w:hAnsi="宋体" w:cs="Times New Roman"/>
          <w:color w:val="000000"/>
          <w:sz w:val="24"/>
          <w:szCs w:val="24"/>
        </w:rPr>
        <w:t>有</w:t>
      </w:r>
      <w:r>
        <w:rPr>
          <w:rFonts w:hint="eastAsia" w:ascii="宋体" w:hAnsi="宋体" w:cs="Times New Roman"/>
          <w:color w:val="000000"/>
          <w:sz w:val="24"/>
          <w:szCs w:val="24"/>
          <w:lang w:val="en-US" w:eastAsia="zh-CN"/>
        </w:rPr>
        <w:t>16</w:t>
      </w:r>
      <w:r>
        <w:rPr>
          <w:rFonts w:hint="eastAsia" w:ascii="宋体" w:hAnsi="宋体" w:cs="Times New Roman"/>
          <w:color w:val="000000"/>
          <w:sz w:val="24"/>
          <w:szCs w:val="24"/>
        </w:rPr>
        <w:t>人在合肥市就业</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占</w:t>
      </w:r>
      <w:r>
        <w:rPr>
          <w:rFonts w:hint="eastAsia" w:ascii="宋体" w:hAnsi="宋体" w:cs="Times New Roman"/>
          <w:color w:val="000000"/>
          <w:sz w:val="24"/>
          <w:szCs w:val="24"/>
          <w:lang w:val="en-US" w:eastAsia="zh-CN"/>
        </w:rPr>
        <w:t>比80</w:t>
      </w:r>
      <w:r>
        <w:rPr>
          <w:rFonts w:hint="eastAsia" w:ascii="宋体" w:hAnsi="宋体" w:cs="Times New Roman"/>
          <w:color w:val="000000"/>
          <w:sz w:val="24"/>
          <w:szCs w:val="24"/>
        </w:rPr>
        <w:t>%</w:t>
      </w:r>
      <w:r>
        <w:rPr>
          <w:rFonts w:hint="eastAsia" w:ascii="宋体" w:hAnsi="宋体" w:cs="Times New Roman"/>
          <w:color w:val="000000"/>
          <w:sz w:val="24"/>
          <w:szCs w:val="24"/>
          <w:lang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cs="Times New Roman"/>
          <w:color w:val="000000"/>
          <w:sz w:val="24"/>
          <w:szCs w:val="24"/>
          <w:lang w:eastAsia="zh-CN"/>
        </w:rPr>
      </w:pPr>
      <w:r>
        <w:rPr>
          <w:rFonts w:hint="eastAsia" w:ascii="宋体" w:hAnsi="宋体" w:cs="Times New Roman"/>
          <w:color w:val="000000"/>
          <w:sz w:val="24"/>
          <w:szCs w:val="24"/>
          <w:lang w:val="en-US" w:eastAsia="zh-CN"/>
        </w:rPr>
        <w:t>旅游管理专业实际就业的25名毕业生中，</w:t>
      </w:r>
      <w:r>
        <w:rPr>
          <w:rFonts w:hint="eastAsia" w:ascii="宋体" w:hAnsi="宋体" w:cs="Times New Roman"/>
          <w:color w:val="000000"/>
          <w:sz w:val="24"/>
          <w:szCs w:val="24"/>
        </w:rPr>
        <w:t>有</w:t>
      </w:r>
      <w:r>
        <w:rPr>
          <w:rFonts w:hint="eastAsia" w:ascii="宋体" w:hAnsi="宋体" w:cs="Times New Roman"/>
          <w:color w:val="000000"/>
          <w:sz w:val="24"/>
          <w:szCs w:val="24"/>
          <w:lang w:val="en-US" w:eastAsia="zh-CN"/>
        </w:rPr>
        <w:t>14</w:t>
      </w:r>
      <w:r>
        <w:rPr>
          <w:rFonts w:hint="eastAsia" w:ascii="宋体" w:hAnsi="宋体" w:cs="Times New Roman"/>
          <w:color w:val="000000"/>
          <w:sz w:val="24"/>
          <w:szCs w:val="24"/>
        </w:rPr>
        <w:t>名毕业生选择在安徽省内就业</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占就业毕业生的</w:t>
      </w:r>
      <w:r>
        <w:rPr>
          <w:rFonts w:hint="eastAsia" w:ascii="宋体" w:hAnsi="宋体" w:cs="Times New Roman"/>
          <w:color w:val="000000"/>
          <w:sz w:val="24"/>
          <w:szCs w:val="24"/>
          <w:lang w:val="en-US" w:eastAsia="zh-CN"/>
        </w:rPr>
        <w:t>56</w:t>
      </w:r>
      <w:r>
        <w:rPr>
          <w:rFonts w:hint="eastAsia" w:ascii="宋体" w:hAnsi="宋体" w:cs="Times New Roman"/>
          <w:color w:val="000000"/>
          <w:sz w:val="24"/>
          <w:szCs w:val="24"/>
        </w:rPr>
        <w:t>%</w:t>
      </w:r>
      <w:r>
        <w:rPr>
          <w:rFonts w:hint="eastAsia" w:ascii="宋体" w:hAnsi="宋体" w:cs="Times New Roman"/>
          <w:color w:val="000000"/>
          <w:sz w:val="24"/>
          <w:szCs w:val="24"/>
          <w:lang w:eastAsia="zh-CN"/>
        </w:rPr>
        <w:t>，</w:t>
      </w:r>
      <w:r>
        <w:rPr>
          <w:rFonts w:hint="eastAsia" w:ascii="宋体" w:hAnsi="宋体" w:cs="Times New Roman"/>
          <w:color w:val="000000"/>
          <w:sz w:val="24"/>
          <w:szCs w:val="24"/>
          <w:lang w:val="en-US" w:eastAsia="zh-CN"/>
        </w:rPr>
        <w:t>省外就业毕业生11人</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占</w:t>
      </w:r>
      <w:r>
        <w:rPr>
          <w:rFonts w:hint="eastAsia" w:ascii="宋体" w:hAnsi="宋体" w:cs="Times New Roman"/>
          <w:color w:val="000000"/>
          <w:sz w:val="24"/>
          <w:szCs w:val="24"/>
          <w:lang w:val="en-US" w:eastAsia="zh-CN"/>
        </w:rPr>
        <w:t>比44%；省内就业毕业生中</w:t>
      </w:r>
      <w:r>
        <w:rPr>
          <w:rFonts w:hint="eastAsia" w:ascii="宋体" w:hAnsi="宋体" w:cs="Times New Roman"/>
          <w:color w:val="000000"/>
          <w:sz w:val="24"/>
          <w:szCs w:val="24"/>
        </w:rPr>
        <w:t>有</w:t>
      </w:r>
      <w:r>
        <w:rPr>
          <w:rFonts w:hint="eastAsia" w:ascii="宋体" w:hAnsi="宋体" w:cs="Times New Roman"/>
          <w:color w:val="000000"/>
          <w:sz w:val="24"/>
          <w:szCs w:val="24"/>
          <w:lang w:val="en-US" w:eastAsia="zh-CN"/>
        </w:rPr>
        <w:t>9</w:t>
      </w:r>
      <w:r>
        <w:rPr>
          <w:rFonts w:hint="eastAsia" w:ascii="宋体" w:hAnsi="宋体" w:cs="Times New Roman"/>
          <w:color w:val="000000"/>
          <w:sz w:val="24"/>
          <w:szCs w:val="24"/>
        </w:rPr>
        <w:t>人在合肥市就业</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占</w:t>
      </w:r>
      <w:r>
        <w:rPr>
          <w:rFonts w:hint="eastAsia" w:ascii="宋体" w:hAnsi="宋体" w:cs="Times New Roman"/>
          <w:color w:val="000000"/>
          <w:sz w:val="24"/>
          <w:szCs w:val="24"/>
          <w:lang w:val="en-US" w:eastAsia="zh-CN"/>
        </w:rPr>
        <w:t>比64.29</w:t>
      </w:r>
      <w:r>
        <w:rPr>
          <w:rFonts w:hint="eastAsia" w:ascii="宋体" w:hAnsi="宋体" w:cs="Times New Roman"/>
          <w:color w:val="000000"/>
          <w:sz w:val="24"/>
          <w:szCs w:val="24"/>
        </w:rPr>
        <w:t>%</w:t>
      </w:r>
      <w:r>
        <w:rPr>
          <w:rFonts w:hint="eastAsia" w:ascii="宋体" w:hAnsi="宋体" w:cs="Times New Roman"/>
          <w:color w:val="000000"/>
          <w:sz w:val="24"/>
          <w:szCs w:val="24"/>
          <w:lang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cs="Times New Roman"/>
          <w:color w:val="000000"/>
          <w:sz w:val="24"/>
          <w:szCs w:val="24"/>
          <w:lang w:val="en-US" w:eastAsia="zh-CN"/>
        </w:rPr>
      </w:pPr>
      <w:r>
        <w:rPr>
          <w:rFonts w:hint="eastAsia" w:ascii="宋体" w:hAnsi="宋体" w:cs="Times New Roman"/>
          <w:color w:val="000000"/>
          <w:sz w:val="24"/>
          <w:szCs w:val="24"/>
          <w:lang w:val="en-US" w:eastAsia="zh-CN"/>
        </w:rPr>
        <w:t>人文地理与城乡规划专业实际就业的25名毕业生中，</w:t>
      </w:r>
      <w:r>
        <w:rPr>
          <w:rFonts w:hint="eastAsia" w:ascii="宋体" w:hAnsi="宋体" w:cs="Times New Roman"/>
          <w:color w:val="000000"/>
          <w:sz w:val="24"/>
          <w:szCs w:val="24"/>
        </w:rPr>
        <w:t>有</w:t>
      </w:r>
      <w:r>
        <w:rPr>
          <w:rFonts w:hint="eastAsia" w:ascii="宋体" w:hAnsi="宋体" w:cs="Times New Roman"/>
          <w:color w:val="000000"/>
          <w:sz w:val="24"/>
          <w:szCs w:val="24"/>
          <w:lang w:val="en-US" w:eastAsia="zh-CN"/>
        </w:rPr>
        <w:t>17</w:t>
      </w:r>
      <w:r>
        <w:rPr>
          <w:rFonts w:hint="eastAsia" w:ascii="宋体" w:hAnsi="宋体" w:cs="Times New Roman"/>
          <w:color w:val="000000"/>
          <w:sz w:val="24"/>
          <w:szCs w:val="24"/>
        </w:rPr>
        <w:t>名毕业生选择在安徽省内就业</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占就业毕业生的</w:t>
      </w:r>
      <w:r>
        <w:rPr>
          <w:rFonts w:hint="eastAsia" w:ascii="宋体" w:hAnsi="宋体" w:cs="Times New Roman"/>
          <w:color w:val="000000"/>
          <w:sz w:val="24"/>
          <w:szCs w:val="24"/>
          <w:lang w:val="en-US" w:eastAsia="zh-CN"/>
        </w:rPr>
        <w:t>68</w:t>
      </w:r>
      <w:r>
        <w:rPr>
          <w:rFonts w:hint="eastAsia" w:ascii="宋体" w:hAnsi="宋体" w:cs="Times New Roman"/>
          <w:color w:val="000000"/>
          <w:sz w:val="24"/>
          <w:szCs w:val="24"/>
        </w:rPr>
        <w:t>%</w:t>
      </w:r>
      <w:r>
        <w:rPr>
          <w:rFonts w:hint="eastAsia" w:ascii="宋体" w:hAnsi="宋体" w:cs="Times New Roman"/>
          <w:color w:val="000000"/>
          <w:sz w:val="24"/>
          <w:szCs w:val="24"/>
          <w:lang w:eastAsia="zh-CN"/>
        </w:rPr>
        <w:t>，</w:t>
      </w:r>
      <w:r>
        <w:rPr>
          <w:rFonts w:hint="eastAsia" w:ascii="宋体" w:hAnsi="宋体" w:cs="Times New Roman"/>
          <w:color w:val="000000"/>
          <w:sz w:val="24"/>
          <w:szCs w:val="24"/>
          <w:lang w:val="en-US" w:eastAsia="zh-CN"/>
        </w:rPr>
        <w:t>省外就业毕业生8人</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占</w:t>
      </w:r>
      <w:r>
        <w:rPr>
          <w:rFonts w:hint="eastAsia" w:ascii="宋体" w:hAnsi="宋体" w:cs="Times New Roman"/>
          <w:color w:val="000000"/>
          <w:sz w:val="24"/>
          <w:szCs w:val="24"/>
          <w:lang w:val="en-US" w:eastAsia="zh-CN"/>
        </w:rPr>
        <w:t>比32%；省内就业毕业生中</w:t>
      </w:r>
      <w:r>
        <w:rPr>
          <w:rFonts w:hint="eastAsia" w:ascii="宋体" w:hAnsi="宋体" w:cs="Times New Roman"/>
          <w:color w:val="000000"/>
          <w:sz w:val="24"/>
          <w:szCs w:val="24"/>
        </w:rPr>
        <w:t>有</w:t>
      </w:r>
      <w:r>
        <w:rPr>
          <w:rFonts w:hint="eastAsia" w:ascii="宋体" w:hAnsi="宋体" w:cs="Times New Roman"/>
          <w:color w:val="000000"/>
          <w:sz w:val="24"/>
          <w:szCs w:val="24"/>
          <w:lang w:val="en-US" w:eastAsia="zh-CN"/>
        </w:rPr>
        <w:t>12</w:t>
      </w:r>
      <w:r>
        <w:rPr>
          <w:rFonts w:hint="eastAsia" w:ascii="宋体" w:hAnsi="宋体" w:cs="Times New Roman"/>
          <w:color w:val="000000"/>
          <w:sz w:val="24"/>
          <w:szCs w:val="24"/>
        </w:rPr>
        <w:t>人在合肥市就业</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占</w:t>
      </w:r>
      <w:r>
        <w:rPr>
          <w:rFonts w:hint="eastAsia" w:ascii="宋体" w:hAnsi="宋体" w:cs="Times New Roman"/>
          <w:color w:val="000000"/>
          <w:sz w:val="24"/>
          <w:szCs w:val="24"/>
          <w:lang w:val="en-US" w:eastAsia="zh-CN"/>
        </w:rPr>
        <w:t>比70.59</w:t>
      </w:r>
      <w:r>
        <w:rPr>
          <w:rFonts w:hint="eastAsia" w:ascii="宋体" w:hAnsi="宋体" w:cs="Times New Roman"/>
          <w:color w:val="000000"/>
          <w:sz w:val="24"/>
          <w:szCs w:val="24"/>
        </w:rPr>
        <w:t>%</w:t>
      </w:r>
      <w:r>
        <w:rPr>
          <w:rFonts w:hint="eastAsia" w:ascii="宋体" w:hAnsi="宋体" w:cs="Times New Roman"/>
          <w:color w:val="000000"/>
          <w:sz w:val="24"/>
          <w:szCs w:val="24"/>
          <w:lang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default" w:ascii="宋体" w:hAnsi="宋体" w:eastAsia="宋体" w:cs="Times New Roman"/>
          <w:color w:val="000000"/>
          <w:sz w:val="24"/>
          <w:szCs w:val="24"/>
          <w:lang w:val="en-US" w:eastAsia="zh-CN"/>
        </w:rPr>
      </w:pPr>
      <w:r>
        <w:rPr>
          <w:rFonts w:hint="eastAsia" w:ascii="宋体" w:hAnsi="宋体" w:cs="Times New Roman"/>
          <w:color w:val="000000"/>
          <w:sz w:val="24"/>
          <w:szCs w:val="24"/>
          <w:lang w:val="en-US" w:eastAsia="zh-CN"/>
        </w:rPr>
        <w:t>旅游管理专科实际就业的2名毕业生中，均为省内合肥市就业。</w:t>
      </w:r>
    </w:p>
    <w:p>
      <w:pPr>
        <w:keepNext w:val="0"/>
        <w:keepLines w:val="0"/>
        <w:pageBreakBefore w:val="0"/>
        <w:widowControl w:val="0"/>
        <w:numPr>
          <w:ilvl w:val="0"/>
          <w:numId w:val="0"/>
        </w:numPr>
        <w:kinsoku/>
        <w:wordWrap/>
        <w:overflowPunct/>
        <w:topLinePunct w:val="0"/>
        <w:autoSpaceDE/>
        <w:autoSpaceDN/>
        <w:bidi w:val="0"/>
        <w:adjustRightInd/>
        <w:snapToGrid/>
        <w:spacing w:before="157" w:beforeLines="50" w:line="240" w:lineRule="auto"/>
        <w:ind w:firstLine="0" w:firstLineChars="0"/>
        <w:jc w:val="center"/>
        <w:textAlignment w:val="auto"/>
        <w:rPr>
          <w:rFonts w:hint="default" w:ascii="宋体" w:hAnsi="宋体" w:cs="Times New Roman"/>
          <w:color w:val="000000"/>
          <w:sz w:val="24"/>
          <w:szCs w:val="24"/>
          <w:lang w:val="en-US" w:eastAsia="zh-CN"/>
        </w:rPr>
      </w:pPr>
      <w:r>
        <w:rPr>
          <w:rFonts w:hint="eastAsia" w:ascii="宋体" w:hAnsi="宋体" w:eastAsia="宋体" w:cs="宋体"/>
          <w:color w:val="000000"/>
          <w:sz w:val="21"/>
          <w:szCs w:val="21"/>
          <w:lang w:val="en-US" w:eastAsia="zh-CN"/>
        </w:rPr>
        <w:t>图</w:t>
      </w:r>
      <w:r>
        <w:rPr>
          <w:rFonts w:hint="eastAsia" w:ascii="宋体" w:hAnsi="宋体" w:cs="宋体"/>
          <w:color w:val="000000"/>
          <w:sz w:val="21"/>
          <w:szCs w:val="21"/>
          <w:lang w:val="en-US" w:eastAsia="zh-CN"/>
        </w:rPr>
        <w:t xml:space="preserve">2-5 </w:t>
      </w:r>
      <w:r>
        <w:rPr>
          <w:rFonts w:hint="eastAsia" w:ascii="宋体" w:hAnsi="宋体" w:eastAsia="宋体" w:cs="宋体"/>
          <w:color w:val="000000"/>
          <w:sz w:val="21"/>
          <w:szCs w:val="21"/>
          <w:lang w:val="en-US" w:eastAsia="zh-CN"/>
        </w:rPr>
        <w:t>旅游与会展学院202</w:t>
      </w:r>
      <w:r>
        <w:rPr>
          <w:rFonts w:hint="eastAsia" w:ascii="宋体" w:hAnsi="宋体" w:cs="宋体"/>
          <w:color w:val="000000"/>
          <w:sz w:val="21"/>
          <w:szCs w:val="21"/>
          <w:lang w:val="en-US" w:eastAsia="zh-CN"/>
        </w:rPr>
        <w:t>2</w:t>
      </w:r>
      <w:r>
        <w:rPr>
          <w:rFonts w:hint="eastAsia" w:ascii="宋体" w:hAnsi="宋体" w:eastAsia="宋体" w:cs="宋体"/>
          <w:color w:val="000000"/>
          <w:sz w:val="21"/>
          <w:szCs w:val="21"/>
          <w:lang w:val="en-US" w:eastAsia="zh-CN"/>
        </w:rPr>
        <w:t>届</w:t>
      </w:r>
      <w:r>
        <w:rPr>
          <w:rFonts w:hint="eastAsia" w:ascii="宋体" w:hAnsi="宋体" w:cs="宋体"/>
          <w:color w:val="000000"/>
          <w:sz w:val="21"/>
          <w:szCs w:val="21"/>
          <w:lang w:val="en-US" w:eastAsia="zh-CN"/>
        </w:rPr>
        <w:t>各专业</w:t>
      </w:r>
      <w:r>
        <w:rPr>
          <w:rFonts w:hint="eastAsia" w:ascii="宋体" w:hAnsi="宋体" w:eastAsia="宋体" w:cs="宋体"/>
          <w:color w:val="000000"/>
          <w:sz w:val="21"/>
          <w:szCs w:val="21"/>
          <w:lang w:val="en-US" w:eastAsia="zh-CN"/>
        </w:rPr>
        <w:t>毕业生</w:t>
      </w:r>
      <w:r>
        <w:rPr>
          <w:rFonts w:hint="eastAsia" w:ascii="宋体" w:hAnsi="宋体" w:cs="宋体"/>
          <w:color w:val="000000"/>
          <w:sz w:val="21"/>
          <w:szCs w:val="21"/>
          <w:lang w:val="en-US" w:eastAsia="zh-CN"/>
        </w:rPr>
        <w:t>就业主要省份分布</w:t>
      </w:r>
    </w:p>
    <w:p>
      <w:pPr>
        <w:numPr>
          <w:ilvl w:val="0"/>
          <w:numId w:val="0"/>
        </w:numPr>
        <w:spacing w:line="360" w:lineRule="auto"/>
        <w:jc w:val="center"/>
        <w:rPr>
          <w:rFonts w:hint="default" w:ascii="宋体" w:hAnsi="宋体"/>
          <w:b/>
          <w:sz w:val="24"/>
          <w:szCs w:val="24"/>
          <w:lang w:val="en-US" w:eastAsia="zh-CN"/>
        </w:rPr>
      </w:pPr>
      <w:r>
        <w:drawing>
          <wp:inline distT="0" distB="0" distL="114300" distR="114300">
            <wp:extent cx="5039995" cy="2520315"/>
            <wp:effectExtent l="4445" t="4445" r="13335" b="27940"/>
            <wp:docPr id="37" name="图表 35" descr="7b0a202020202263686172745265734964223a20223230343730303432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before="157" w:beforeLines="50" w:line="240" w:lineRule="auto"/>
        <w:ind w:firstLine="0" w:firstLineChars="0"/>
        <w:jc w:val="center"/>
        <w:textAlignment w:val="auto"/>
        <w:rPr>
          <w:rFonts w:hint="default" w:ascii="宋体" w:hAnsi="宋体"/>
          <w:b/>
          <w:sz w:val="24"/>
          <w:szCs w:val="24"/>
          <w:lang w:val="en-US" w:eastAsia="zh-CN"/>
        </w:rPr>
      </w:pPr>
      <w:r>
        <w:rPr>
          <w:rFonts w:hint="eastAsia" w:ascii="宋体" w:hAnsi="宋体" w:eastAsia="宋体" w:cs="宋体"/>
          <w:color w:val="000000"/>
          <w:sz w:val="21"/>
          <w:szCs w:val="21"/>
          <w:lang w:val="en-US" w:eastAsia="zh-CN"/>
        </w:rPr>
        <w:t>图</w:t>
      </w:r>
      <w:r>
        <w:rPr>
          <w:rFonts w:hint="eastAsia" w:ascii="宋体" w:hAnsi="宋体" w:cs="宋体"/>
          <w:color w:val="000000"/>
          <w:sz w:val="21"/>
          <w:szCs w:val="21"/>
          <w:lang w:val="en-US" w:eastAsia="zh-CN"/>
        </w:rPr>
        <w:t xml:space="preserve">2-6 </w:t>
      </w:r>
      <w:r>
        <w:rPr>
          <w:rFonts w:hint="eastAsia" w:ascii="宋体" w:hAnsi="宋体" w:eastAsia="宋体" w:cs="宋体"/>
          <w:color w:val="000000"/>
          <w:sz w:val="21"/>
          <w:szCs w:val="21"/>
          <w:lang w:val="en-US" w:eastAsia="zh-CN"/>
        </w:rPr>
        <w:t>旅游与会展学院202</w:t>
      </w:r>
      <w:r>
        <w:rPr>
          <w:rFonts w:hint="eastAsia" w:ascii="宋体" w:hAnsi="宋体" w:cs="宋体"/>
          <w:color w:val="000000"/>
          <w:sz w:val="21"/>
          <w:szCs w:val="21"/>
          <w:lang w:val="en-US" w:eastAsia="zh-CN"/>
        </w:rPr>
        <w:t>2</w:t>
      </w:r>
      <w:r>
        <w:rPr>
          <w:rFonts w:hint="eastAsia" w:ascii="宋体" w:hAnsi="宋体" w:eastAsia="宋体" w:cs="宋体"/>
          <w:color w:val="000000"/>
          <w:sz w:val="21"/>
          <w:szCs w:val="21"/>
          <w:lang w:val="en-US" w:eastAsia="zh-CN"/>
        </w:rPr>
        <w:t>届</w:t>
      </w:r>
      <w:r>
        <w:rPr>
          <w:rFonts w:hint="eastAsia" w:ascii="宋体" w:hAnsi="宋体" w:cs="宋体"/>
          <w:color w:val="000000"/>
          <w:sz w:val="21"/>
          <w:szCs w:val="21"/>
          <w:lang w:val="en-US" w:eastAsia="zh-CN"/>
        </w:rPr>
        <w:t>各专业</w:t>
      </w:r>
      <w:r>
        <w:rPr>
          <w:rFonts w:hint="eastAsia" w:ascii="宋体" w:hAnsi="宋体" w:eastAsia="宋体" w:cs="宋体"/>
          <w:color w:val="000000"/>
          <w:sz w:val="21"/>
          <w:szCs w:val="21"/>
          <w:lang w:val="en-US" w:eastAsia="zh-CN"/>
        </w:rPr>
        <w:t>毕业生</w:t>
      </w:r>
      <w:r>
        <w:rPr>
          <w:rFonts w:hint="eastAsia" w:ascii="宋体" w:hAnsi="宋体" w:cs="宋体"/>
          <w:color w:val="000000"/>
          <w:sz w:val="21"/>
          <w:szCs w:val="21"/>
          <w:lang w:val="en-US" w:eastAsia="zh-CN"/>
        </w:rPr>
        <w:t>省内就业主要城市分布</w:t>
      </w:r>
    </w:p>
    <w:p>
      <w:pPr>
        <w:numPr>
          <w:ilvl w:val="0"/>
          <w:numId w:val="0"/>
        </w:numPr>
        <w:spacing w:line="360" w:lineRule="auto"/>
        <w:jc w:val="center"/>
        <w:rPr>
          <w:rFonts w:hint="default" w:ascii="宋体" w:hAnsi="宋体" w:cs="宋体"/>
          <w:sz w:val="24"/>
          <w:lang w:val="en-US" w:eastAsia="zh-CN"/>
        </w:rPr>
      </w:pPr>
      <w:r>
        <w:drawing>
          <wp:inline distT="0" distB="0" distL="114300" distR="114300">
            <wp:extent cx="5039995" cy="2571750"/>
            <wp:effectExtent l="4445" t="4445" r="13335" b="33655"/>
            <wp:docPr id="38" name="图表 36" descr="7b0a202020202263686172745265734964223a20223230343730303432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pPr>
        <w:keepNext w:val="0"/>
        <w:keepLines w:val="0"/>
        <w:pageBreakBefore w:val="0"/>
        <w:widowControl w:val="0"/>
        <w:numPr>
          <w:ilvl w:val="0"/>
          <w:numId w:val="17"/>
        </w:numPr>
        <w:kinsoku/>
        <w:wordWrap/>
        <w:overflowPunct/>
        <w:topLinePunct w:val="0"/>
        <w:autoSpaceDE/>
        <w:autoSpaceDN/>
        <w:bidi w:val="0"/>
        <w:adjustRightInd/>
        <w:snapToGrid/>
        <w:spacing w:line="360" w:lineRule="auto"/>
        <w:ind w:firstLine="480" w:firstLineChars="200"/>
        <w:jc w:val="left"/>
        <w:textAlignment w:val="auto"/>
        <w:rPr>
          <w:rFonts w:hint="default" w:ascii="宋体" w:hAnsi="宋体"/>
          <w:b w:val="0"/>
          <w:bCs/>
          <w:sz w:val="24"/>
          <w:szCs w:val="24"/>
          <w:highlight w:val="none"/>
          <w:lang w:val="en-US" w:eastAsia="zh-CN"/>
        </w:rPr>
      </w:pPr>
      <w:r>
        <w:rPr>
          <w:rFonts w:hint="eastAsia" w:ascii="宋体" w:hAnsi="宋体"/>
          <w:b w:val="0"/>
          <w:bCs/>
          <w:sz w:val="24"/>
          <w:szCs w:val="24"/>
          <w:highlight w:val="none"/>
          <w:lang w:val="en-US" w:eastAsia="zh-CN"/>
        </w:rPr>
        <w:t>就业行业分布</w:t>
      </w:r>
    </w:p>
    <w:p>
      <w:pPr>
        <w:spacing w:line="360" w:lineRule="auto"/>
        <w:ind w:firstLine="480" w:firstLineChars="200"/>
        <w:rPr>
          <w:rFonts w:hint="eastAsia" w:ascii="宋体" w:hAnsi="宋体" w:cs="Times New Roman"/>
          <w:color w:val="000000"/>
          <w:sz w:val="24"/>
          <w:szCs w:val="24"/>
          <w:lang w:val="en-US" w:eastAsia="zh-CN"/>
        </w:rPr>
      </w:pPr>
      <w:r>
        <w:rPr>
          <w:rFonts w:hint="eastAsia" w:ascii="宋体" w:hAnsi="宋体" w:cs="Times New Roman"/>
          <w:color w:val="000000"/>
          <w:sz w:val="24"/>
          <w:szCs w:val="24"/>
          <w:lang w:val="en-US" w:eastAsia="zh-CN"/>
        </w:rPr>
        <w:t>本科毕业生就业行业中</w:t>
      </w:r>
      <w:r>
        <w:rPr>
          <w:rFonts w:hint="eastAsia" w:ascii="宋体" w:hAnsi="宋体" w:cs="Times New Roman"/>
          <w:color w:val="000000"/>
          <w:sz w:val="24"/>
          <w:szCs w:val="24"/>
        </w:rPr>
        <w:t>住宿和餐饮业</w:t>
      </w:r>
      <w:r>
        <w:rPr>
          <w:rFonts w:hint="eastAsia" w:ascii="宋体" w:hAnsi="宋体" w:cs="Times New Roman"/>
          <w:color w:val="000000"/>
          <w:sz w:val="24"/>
          <w:szCs w:val="24"/>
          <w:lang w:val="en-US" w:eastAsia="zh-CN"/>
        </w:rPr>
        <w:t>人数最多，共13人，占比16.88%；其次是批发零售业和制造业，分别有11人，占比均为14.29%；第三是建筑业，共9人，占比11.69%。各专业就业行业中，酒店管理专业从事</w:t>
      </w:r>
      <w:r>
        <w:rPr>
          <w:rFonts w:hint="eastAsia" w:ascii="宋体" w:hAnsi="宋体" w:cs="Times New Roman"/>
          <w:color w:val="000000"/>
          <w:sz w:val="24"/>
          <w:szCs w:val="24"/>
        </w:rPr>
        <w:t>住宿和餐饮业</w:t>
      </w:r>
      <w:r>
        <w:rPr>
          <w:rFonts w:hint="eastAsia" w:ascii="宋体" w:hAnsi="宋体" w:cs="Times New Roman"/>
          <w:color w:val="000000"/>
          <w:sz w:val="24"/>
          <w:szCs w:val="24"/>
          <w:lang w:val="en-US" w:eastAsia="zh-CN"/>
        </w:rPr>
        <w:t>人数最多，共12人，占比48%；旅游管理专业制造业和建筑业各有5人，占比均为20%；人文地理与城乡规划专业从事批发零售业人数最多，共5人，占比20%。</w:t>
      </w:r>
    </w:p>
    <w:p>
      <w:pPr>
        <w:pStyle w:val="2"/>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default" w:ascii="宋体" w:hAnsi="宋体" w:eastAsia="宋体" w:cs="Times New Roman"/>
          <w:b w:val="0"/>
          <w:bCs w:val="0"/>
          <w:color w:val="000000"/>
          <w:kern w:val="2"/>
          <w:sz w:val="24"/>
          <w:szCs w:val="24"/>
          <w:lang w:val="en-US" w:eastAsia="zh-CN" w:bidi="ar-SA"/>
        </w:rPr>
      </w:pPr>
      <w:r>
        <w:rPr>
          <w:rFonts w:hint="eastAsia" w:ascii="宋体" w:hAnsi="宋体" w:eastAsia="宋体" w:cs="Times New Roman"/>
          <w:b w:val="0"/>
          <w:bCs w:val="0"/>
          <w:color w:val="000000"/>
          <w:kern w:val="2"/>
          <w:sz w:val="24"/>
          <w:szCs w:val="24"/>
          <w:lang w:val="en-US" w:eastAsia="zh-CN" w:bidi="ar-SA"/>
        </w:rPr>
        <w:t>我院毕业生行业分布较分散，除酒店管理专业对口率较高，其余专业大部分毕业生选择非专业对口行业工作。经分析，疫情影响下文旅行业发展受阻是造成这一现象的最大原因。</w:t>
      </w:r>
    </w:p>
    <w:p>
      <w:pPr>
        <w:keepNext w:val="0"/>
        <w:keepLines w:val="0"/>
        <w:pageBreakBefore w:val="0"/>
        <w:widowControl w:val="0"/>
        <w:numPr>
          <w:ilvl w:val="0"/>
          <w:numId w:val="0"/>
        </w:numPr>
        <w:kinsoku/>
        <w:wordWrap/>
        <w:overflowPunct/>
        <w:topLinePunct w:val="0"/>
        <w:autoSpaceDE/>
        <w:autoSpaceDN/>
        <w:bidi w:val="0"/>
        <w:adjustRightInd/>
        <w:snapToGrid/>
        <w:spacing w:before="157" w:beforeLines="50" w:line="240" w:lineRule="auto"/>
        <w:ind w:firstLine="0" w:firstLineChars="0"/>
        <w:jc w:val="center"/>
        <w:textAlignment w:val="auto"/>
        <w:rPr>
          <w:rFonts w:hint="eastAsia" w:ascii="宋体" w:hAnsi="宋体" w:cs="Times New Roman"/>
          <w:color w:val="000000"/>
          <w:sz w:val="24"/>
          <w:szCs w:val="24"/>
        </w:rPr>
      </w:pPr>
      <w:r>
        <w:rPr>
          <w:rFonts w:hint="eastAsia" w:ascii="宋体" w:hAnsi="宋体" w:eastAsia="宋体" w:cs="宋体"/>
          <w:color w:val="000000"/>
          <w:sz w:val="21"/>
          <w:szCs w:val="21"/>
          <w:lang w:val="en-US" w:eastAsia="zh-CN"/>
        </w:rPr>
        <w:t>图</w:t>
      </w:r>
      <w:r>
        <w:rPr>
          <w:rFonts w:hint="eastAsia" w:ascii="宋体" w:hAnsi="宋体" w:cs="宋体"/>
          <w:color w:val="000000"/>
          <w:sz w:val="21"/>
          <w:szCs w:val="21"/>
          <w:lang w:val="en-US" w:eastAsia="zh-CN"/>
        </w:rPr>
        <w:t xml:space="preserve">2-7 </w:t>
      </w:r>
      <w:r>
        <w:rPr>
          <w:rFonts w:hint="eastAsia" w:ascii="宋体" w:hAnsi="宋体" w:eastAsia="宋体" w:cs="宋体"/>
          <w:color w:val="000000"/>
          <w:sz w:val="21"/>
          <w:szCs w:val="21"/>
          <w:lang w:val="en-US" w:eastAsia="zh-CN"/>
        </w:rPr>
        <w:t>旅游与会展学院202</w:t>
      </w:r>
      <w:r>
        <w:rPr>
          <w:rFonts w:hint="eastAsia" w:ascii="宋体" w:hAnsi="宋体" w:cs="宋体"/>
          <w:color w:val="000000"/>
          <w:sz w:val="21"/>
          <w:szCs w:val="21"/>
          <w:lang w:val="en-US" w:eastAsia="zh-CN"/>
        </w:rPr>
        <w:t>2</w:t>
      </w:r>
      <w:r>
        <w:rPr>
          <w:rFonts w:hint="eastAsia" w:ascii="宋体" w:hAnsi="宋体" w:eastAsia="宋体" w:cs="宋体"/>
          <w:color w:val="000000"/>
          <w:sz w:val="21"/>
          <w:szCs w:val="21"/>
          <w:lang w:val="en-US" w:eastAsia="zh-CN"/>
        </w:rPr>
        <w:t>届毕业生</w:t>
      </w:r>
      <w:r>
        <w:rPr>
          <w:rFonts w:hint="eastAsia" w:ascii="宋体" w:hAnsi="宋体" w:cs="宋体"/>
          <w:color w:val="000000"/>
          <w:sz w:val="21"/>
          <w:szCs w:val="21"/>
          <w:lang w:val="en-US" w:eastAsia="zh-CN"/>
        </w:rPr>
        <w:t>主要行业分布</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宋体" w:hAnsi="宋体"/>
          <w:b/>
          <w:sz w:val="24"/>
          <w:szCs w:val="24"/>
          <w:lang w:val="en-US" w:eastAsia="zh-CN"/>
        </w:rPr>
      </w:pPr>
      <w:r>
        <w:drawing>
          <wp:inline distT="0" distB="0" distL="114300" distR="114300">
            <wp:extent cx="5039995" cy="2624455"/>
            <wp:effectExtent l="4445" t="4445" r="13335" b="9525"/>
            <wp:docPr id="39" name="图表 1" descr="7b0a202020202263686172745265734964223a20223230343733343038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before="157" w:beforeLines="50" w:line="240" w:lineRule="auto"/>
        <w:ind w:firstLine="0" w:firstLineChars="0"/>
        <w:jc w:val="center"/>
        <w:textAlignment w:val="auto"/>
        <w:rPr>
          <w:rFonts w:hint="default" w:ascii="宋体" w:hAnsi="宋体"/>
          <w:b/>
          <w:sz w:val="24"/>
          <w:szCs w:val="24"/>
          <w:lang w:val="en-US" w:eastAsia="zh-CN"/>
        </w:rPr>
      </w:pPr>
      <w:r>
        <w:rPr>
          <w:rFonts w:hint="eastAsia" w:ascii="宋体" w:hAnsi="宋体" w:eastAsia="宋体" w:cs="宋体"/>
          <w:color w:val="000000"/>
          <w:sz w:val="21"/>
          <w:szCs w:val="21"/>
          <w:lang w:val="en-US" w:eastAsia="zh-CN"/>
        </w:rPr>
        <w:t>图</w:t>
      </w:r>
      <w:r>
        <w:rPr>
          <w:rFonts w:hint="eastAsia" w:ascii="宋体" w:hAnsi="宋体" w:cs="宋体"/>
          <w:color w:val="000000"/>
          <w:sz w:val="21"/>
          <w:szCs w:val="21"/>
          <w:lang w:val="en-US" w:eastAsia="zh-CN"/>
        </w:rPr>
        <w:t xml:space="preserve">2-8 </w:t>
      </w:r>
      <w:r>
        <w:rPr>
          <w:rFonts w:hint="eastAsia" w:ascii="宋体" w:hAnsi="宋体" w:eastAsia="宋体" w:cs="宋体"/>
          <w:color w:val="000000"/>
          <w:sz w:val="21"/>
          <w:szCs w:val="21"/>
          <w:lang w:val="en-US" w:eastAsia="zh-CN"/>
        </w:rPr>
        <w:t>旅游与会展学院202</w:t>
      </w:r>
      <w:r>
        <w:rPr>
          <w:rFonts w:hint="eastAsia" w:ascii="宋体" w:hAnsi="宋体" w:cs="宋体"/>
          <w:color w:val="000000"/>
          <w:sz w:val="21"/>
          <w:szCs w:val="21"/>
          <w:lang w:val="en-US" w:eastAsia="zh-CN"/>
        </w:rPr>
        <w:t>2</w:t>
      </w:r>
      <w:r>
        <w:rPr>
          <w:rFonts w:hint="eastAsia" w:ascii="宋体" w:hAnsi="宋体" w:eastAsia="宋体" w:cs="宋体"/>
          <w:color w:val="000000"/>
          <w:sz w:val="21"/>
          <w:szCs w:val="21"/>
          <w:lang w:val="en-US" w:eastAsia="zh-CN"/>
        </w:rPr>
        <w:t>届</w:t>
      </w:r>
      <w:r>
        <w:rPr>
          <w:rFonts w:hint="eastAsia" w:ascii="宋体" w:hAnsi="宋体" w:cs="宋体"/>
          <w:color w:val="000000"/>
          <w:sz w:val="21"/>
          <w:szCs w:val="21"/>
          <w:lang w:val="en-US" w:eastAsia="zh-CN"/>
        </w:rPr>
        <w:t>各专业</w:t>
      </w:r>
      <w:r>
        <w:rPr>
          <w:rFonts w:hint="eastAsia" w:ascii="宋体" w:hAnsi="宋体" w:eastAsia="宋体" w:cs="宋体"/>
          <w:color w:val="000000"/>
          <w:sz w:val="21"/>
          <w:szCs w:val="21"/>
          <w:lang w:val="en-US" w:eastAsia="zh-CN"/>
        </w:rPr>
        <w:t>毕业生</w:t>
      </w:r>
      <w:r>
        <w:rPr>
          <w:rFonts w:hint="eastAsia" w:ascii="宋体" w:hAnsi="宋体" w:cs="宋体"/>
          <w:color w:val="000000"/>
          <w:sz w:val="21"/>
          <w:szCs w:val="21"/>
          <w:lang w:val="en-US" w:eastAsia="zh-CN"/>
        </w:rPr>
        <w:t>主要行业分布</w:t>
      </w:r>
    </w:p>
    <w:p>
      <w:pPr>
        <w:numPr>
          <w:ilvl w:val="0"/>
          <w:numId w:val="0"/>
        </w:numPr>
        <w:spacing w:line="360" w:lineRule="auto"/>
        <w:jc w:val="center"/>
        <w:rPr>
          <w:rFonts w:hint="default" w:ascii="宋体" w:hAnsi="宋体"/>
          <w:b/>
          <w:sz w:val="24"/>
          <w:szCs w:val="24"/>
          <w:lang w:val="en-US" w:eastAsia="zh-CN"/>
        </w:rPr>
      </w:pPr>
      <w:r>
        <w:drawing>
          <wp:inline distT="0" distB="0" distL="114300" distR="114300">
            <wp:extent cx="5039995" cy="2628265"/>
            <wp:effectExtent l="4445" t="4445" r="13335" b="34290"/>
            <wp:docPr id="40" name="图表 2" descr="7b0a202020202263686172745265734964223a20223230343730303432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pPr>
        <w:keepNext w:val="0"/>
        <w:keepLines w:val="0"/>
        <w:pageBreakBefore w:val="0"/>
        <w:widowControl w:val="0"/>
        <w:numPr>
          <w:ilvl w:val="0"/>
          <w:numId w:val="17"/>
        </w:numPr>
        <w:kinsoku/>
        <w:wordWrap/>
        <w:overflowPunct/>
        <w:topLinePunct w:val="0"/>
        <w:autoSpaceDE/>
        <w:autoSpaceDN/>
        <w:bidi w:val="0"/>
        <w:adjustRightInd/>
        <w:snapToGrid/>
        <w:spacing w:line="360" w:lineRule="auto"/>
        <w:ind w:firstLine="480" w:firstLineChars="200"/>
        <w:jc w:val="left"/>
        <w:textAlignment w:val="auto"/>
        <w:rPr>
          <w:rFonts w:hint="default" w:ascii="宋体" w:hAnsi="宋体"/>
          <w:b w:val="0"/>
          <w:bCs/>
          <w:sz w:val="24"/>
          <w:szCs w:val="24"/>
          <w:highlight w:val="none"/>
          <w:lang w:val="en-US" w:eastAsia="zh-CN"/>
        </w:rPr>
      </w:pPr>
      <w:r>
        <w:rPr>
          <w:rFonts w:hint="eastAsia" w:ascii="宋体" w:hAnsi="宋体"/>
          <w:b w:val="0"/>
          <w:bCs/>
          <w:sz w:val="24"/>
          <w:szCs w:val="24"/>
          <w:highlight w:val="none"/>
          <w:lang w:val="en-US" w:eastAsia="zh-CN"/>
        </w:rPr>
        <w:t>工作职位类别</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cs="Times New Roman"/>
          <w:color w:val="000000"/>
          <w:sz w:val="24"/>
          <w:szCs w:val="24"/>
        </w:rPr>
      </w:pPr>
      <w:r>
        <w:rPr>
          <w:rFonts w:hint="eastAsia" w:ascii="宋体" w:hAnsi="宋体" w:cs="Times New Roman"/>
          <w:color w:val="000000"/>
          <w:sz w:val="24"/>
          <w:szCs w:val="24"/>
          <w:lang w:val="en-US" w:eastAsia="zh-CN"/>
        </w:rPr>
        <w:t>在所有实际就业的毕业生中，</w:t>
      </w:r>
      <w:r>
        <w:rPr>
          <w:rFonts w:hint="eastAsia" w:ascii="宋体" w:hAnsi="宋体" w:cs="Times New Roman"/>
          <w:color w:val="000000"/>
          <w:sz w:val="24"/>
          <w:szCs w:val="24"/>
        </w:rPr>
        <w:t>商业和服务业人员</w:t>
      </w:r>
      <w:r>
        <w:rPr>
          <w:rFonts w:hint="eastAsia" w:ascii="宋体" w:hAnsi="宋体" w:cs="Times New Roman"/>
          <w:color w:val="000000"/>
          <w:sz w:val="24"/>
          <w:szCs w:val="24"/>
          <w:lang w:val="en-US" w:eastAsia="zh-CN"/>
        </w:rPr>
        <w:t>33</w:t>
      </w:r>
      <w:r>
        <w:rPr>
          <w:rFonts w:hint="eastAsia" w:ascii="宋体" w:hAnsi="宋体" w:cs="Times New Roman"/>
          <w:color w:val="000000"/>
          <w:sz w:val="24"/>
          <w:szCs w:val="24"/>
        </w:rPr>
        <w:t>人</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占比</w:t>
      </w:r>
      <w:r>
        <w:rPr>
          <w:rFonts w:hint="eastAsia" w:ascii="宋体" w:hAnsi="宋体" w:cs="Times New Roman"/>
          <w:color w:val="000000"/>
          <w:sz w:val="24"/>
          <w:szCs w:val="24"/>
          <w:lang w:val="en-US" w:eastAsia="zh-CN"/>
        </w:rPr>
        <w:t>42.86</w:t>
      </w:r>
      <w:r>
        <w:rPr>
          <w:rFonts w:hint="eastAsia" w:ascii="宋体" w:hAnsi="宋体" w:cs="Times New Roman"/>
          <w:color w:val="000000"/>
          <w:sz w:val="24"/>
          <w:szCs w:val="24"/>
        </w:rPr>
        <w:t>% ；</w:t>
      </w:r>
      <w:r>
        <w:rPr>
          <w:rFonts w:hint="eastAsia" w:ascii="宋体" w:hAnsi="宋体" w:cs="Times New Roman"/>
          <w:color w:val="000000"/>
          <w:sz w:val="24"/>
          <w:szCs w:val="24"/>
          <w:lang w:val="en-US" w:eastAsia="zh-CN"/>
        </w:rPr>
        <w:t>办事人员和有关人员33人，占比42.86</w:t>
      </w:r>
      <w:r>
        <w:rPr>
          <w:rFonts w:hint="eastAsia" w:ascii="宋体" w:hAnsi="宋体" w:cs="Times New Roman"/>
          <w:color w:val="000000"/>
          <w:sz w:val="24"/>
          <w:szCs w:val="24"/>
        </w:rPr>
        <w:t>%</w:t>
      </w:r>
      <w:r>
        <w:rPr>
          <w:rFonts w:hint="eastAsia" w:ascii="宋体" w:hAnsi="宋体" w:cs="Times New Roman"/>
          <w:color w:val="000000"/>
          <w:sz w:val="24"/>
          <w:szCs w:val="24"/>
          <w:lang w:val="en-US" w:eastAsia="zh-CN"/>
        </w:rPr>
        <w:t>；其他专业技术人员5人，占比6.5%</w:t>
      </w:r>
      <w:r>
        <w:rPr>
          <w:rFonts w:hint="eastAsia" w:ascii="宋体" w:hAnsi="宋体" w:cs="Times New Roman"/>
          <w:color w:val="000000"/>
          <w:sz w:val="24"/>
          <w:szCs w:val="24"/>
        </w:rPr>
        <w:t>。除此之外</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毕业生工作职位还有少数为</w:t>
      </w:r>
      <w:r>
        <w:rPr>
          <w:rFonts w:hint="eastAsia" w:ascii="宋体" w:hAnsi="宋体" w:cs="Times New Roman"/>
          <w:color w:val="000000"/>
          <w:sz w:val="24"/>
          <w:szCs w:val="24"/>
          <w:lang w:val="en-US" w:eastAsia="zh-CN"/>
        </w:rPr>
        <w:t>基层工作人员、</w:t>
      </w:r>
      <w:r>
        <w:rPr>
          <w:rFonts w:hint="eastAsia" w:ascii="宋体" w:hAnsi="宋体" w:cs="Times New Roman"/>
          <w:color w:val="000000"/>
          <w:sz w:val="24"/>
          <w:szCs w:val="24"/>
        </w:rPr>
        <w:t>金融业务</w:t>
      </w:r>
      <w:r>
        <w:rPr>
          <w:rFonts w:hint="eastAsia" w:ascii="宋体" w:hAnsi="宋体" w:cs="Times New Roman"/>
          <w:color w:val="000000"/>
          <w:sz w:val="24"/>
          <w:szCs w:val="24"/>
          <w:lang w:val="en-US" w:eastAsia="zh-CN"/>
        </w:rPr>
        <w:t>人员</w:t>
      </w:r>
      <w:r>
        <w:rPr>
          <w:rFonts w:hint="eastAsia" w:ascii="宋体" w:hAnsi="宋体" w:cs="Times New Roman"/>
          <w:color w:val="000000"/>
          <w:sz w:val="24"/>
          <w:szCs w:val="24"/>
        </w:rPr>
        <w:t>、其他专业人员和文化工作人员等。</w:t>
      </w:r>
    </w:p>
    <w:p>
      <w:pPr>
        <w:keepNext w:val="0"/>
        <w:keepLines w:val="0"/>
        <w:pageBreakBefore w:val="0"/>
        <w:widowControl w:val="0"/>
        <w:numPr>
          <w:ilvl w:val="0"/>
          <w:numId w:val="0"/>
        </w:numPr>
        <w:kinsoku/>
        <w:wordWrap/>
        <w:overflowPunct/>
        <w:topLinePunct w:val="0"/>
        <w:autoSpaceDE/>
        <w:autoSpaceDN/>
        <w:bidi w:val="0"/>
        <w:adjustRightInd/>
        <w:snapToGrid/>
        <w:spacing w:before="157" w:beforeLines="50" w:line="240" w:lineRule="auto"/>
        <w:ind w:firstLine="0" w:firstLineChars="0"/>
        <w:jc w:val="center"/>
        <w:textAlignment w:val="auto"/>
        <w:rPr>
          <w:rFonts w:hint="default" w:ascii="宋体" w:hAnsi="宋体" w:cs="Times New Roman"/>
          <w:color w:val="000000"/>
          <w:sz w:val="24"/>
          <w:szCs w:val="24"/>
          <w:lang w:val="en-US"/>
        </w:rPr>
      </w:pPr>
      <w:r>
        <w:rPr>
          <w:rFonts w:hint="eastAsia" w:ascii="宋体" w:hAnsi="宋体" w:eastAsia="宋体" w:cs="宋体"/>
          <w:color w:val="000000"/>
          <w:sz w:val="21"/>
          <w:szCs w:val="21"/>
          <w:lang w:val="en-US" w:eastAsia="zh-CN"/>
        </w:rPr>
        <w:t>图</w:t>
      </w:r>
      <w:r>
        <w:rPr>
          <w:rFonts w:hint="eastAsia" w:ascii="宋体" w:hAnsi="宋体" w:cs="宋体"/>
          <w:color w:val="000000"/>
          <w:sz w:val="21"/>
          <w:szCs w:val="21"/>
          <w:lang w:val="en-US" w:eastAsia="zh-CN"/>
        </w:rPr>
        <w:t xml:space="preserve">2-9 </w:t>
      </w:r>
      <w:r>
        <w:rPr>
          <w:rFonts w:hint="eastAsia" w:ascii="宋体" w:hAnsi="宋体" w:eastAsia="宋体" w:cs="宋体"/>
          <w:color w:val="000000"/>
          <w:sz w:val="21"/>
          <w:szCs w:val="21"/>
          <w:lang w:val="en-US" w:eastAsia="zh-CN"/>
        </w:rPr>
        <w:t>旅游与会展学院202</w:t>
      </w:r>
      <w:r>
        <w:rPr>
          <w:rFonts w:hint="eastAsia" w:ascii="宋体" w:hAnsi="宋体" w:cs="宋体"/>
          <w:color w:val="000000"/>
          <w:sz w:val="21"/>
          <w:szCs w:val="21"/>
          <w:lang w:val="en-US" w:eastAsia="zh-CN"/>
        </w:rPr>
        <w:t>2</w:t>
      </w:r>
      <w:r>
        <w:rPr>
          <w:rFonts w:hint="eastAsia" w:ascii="宋体" w:hAnsi="宋体" w:eastAsia="宋体" w:cs="宋体"/>
          <w:color w:val="000000"/>
          <w:sz w:val="21"/>
          <w:szCs w:val="21"/>
          <w:lang w:val="en-US" w:eastAsia="zh-CN"/>
        </w:rPr>
        <w:t>届毕业生</w:t>
      </w:r>
      <w:r>
        <w:rPr>
          <w:rFonts w:hint="eastAsia" w:ascii="宋体" w:hAnsi="宋体" w:cs="宋体"/>
          <w:color w:val="000000"/>
          <w:sz w:val="21"/>
          <w:szCs w:val="21"/>
          <w:lang w:val="en-US" w:eastAsia="zh-CN"/>
        </w:rPr>
        <w:t>主要工作职位类别</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宋体" w:hAnsi="宋体"/>
          <w:b/>
          <w:sz w:val="24"/>
          <w:szCs w:val="24"/>
          <w:lang w:val="en-US" w:eastAsia="zh-CN"/>
        </w:rPr>
      </w:pPr>
      <w:r>
        <w:drawing>
          <wp:inline distT="0" distB="0" distL="114300" distR="114300">
            <wp:extent cx="5039995" cy="2762885"/>
            <wp:effectExtent l="4445" t="4445" r="13335" b="13970"/>
            <wp:docPr id="41" name="图表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before="157" w:beforeLines="50" w:line="240" w:lineRule="auto"/>
        <w:ind w:firstLine="0" w:firstLineChars="0"/>
        <w:jc w:val="center"/>
        <w:textAlignment w:val="auto"/>
        <w:rPr>
          <w:rFonts w:hint="default" w:ascii="宋体" w:hAnsi="宋体"/>
          <w:b/>
          <w:sz w:val="24"/>
          <w:szCs w:val="24"/>
          <w:lang w:val="en-US" w:eastAsia="zh-CN"/>
        </w:rPr>
      </w:pPr>
      <w:r>
        <w:rPr>
          <w:rFonts w:hint="eastAsia" w:ascii="宋体" w:hAnsi="宋体" w:eastAsia="宋体" w:cs="宋体"/>
          <w:color w:val="000000"/>
          <w:sz w:val="21"/>
          <w:szCs w:val="21"/>
          <w:lang w:val="en-US" w:eastAsia="zh-CN"/>
        </w:rPr>
        <w:t>图</w:t>
      </w:r>
      <w:r>
        <w:rPr>
          <w:rFonts w:hint="eastAsia" w:ascii="宋体" w:hAnsi="宋体" w:cs="宋体"/>
          <w:color w:val="000000"/>
          <w:sz w:val="21"/>
          <w:szCs w:val="21"/>
          <w:lang w:val="en-US" w:eastAsia="zh-CN"/>
        </w:rPr>
        <w:t xml:space="preserve">2-10 </w:t>
      </w:r>
      <w:r>
        <w:rPr>
          <w:rFonts w:hint="eastAsia" w:ascii="宋体" w:hAnsi="宋体" w:eastAsia="宋体" w:cs="宋体"/>
          <w:color w:val="000000"/>
          <w:sz w:val="21"/>
          <w:szCs w:val="21"/>
          <w:lang w:val="en-US" w:eastAsia="zh-CN"/>
        </w:rPr>
        <w:t>旅游与会展学院202</w:t>
      </w:r>
      <w:r>
        <w:rPr>
          <w:rFonts w:hint="eastAsia" w:ascii="宋体" w:hAnsi="宋体" w:cs="宋体"/>
          <w:color w:val="000000"/>
          <w:sz w:val="21"/>
          <w:szCs w:val="21"/>
          <w:lang w:val="en-US" w:eastAsia="zh-CN"/>
        </w:rPr>
        <w:t>2</w:t>
      </w:r>
      <w:r>
        <w:rPr>
          <w:rFonts w:hint="eastAsia" w:ascii="宋体" w:hAnsi="宋体" w:eastAsia="宋体" w:cs="宋体"/>
          <w:color w:val="000000"/>
          <w:sz w:val="21"/>
          <w:szCs w:val="21"/>
          <w:lang w:val="en-US" w:eastAsia="zh-CN"/>
        </w:rPr>
        <w:t>届</w:t>
      </w:r>
      <w:r>
        <w:rPr>
          <w:rFonts w:hint="eastAsia" w:ascii="宋体" w:hAnsi="宋体" w:cs="宋体"/>
          <w:color w:val="000000"/>
          <w:sz w:val="21"/>
          <w:szCs w:val="21"/>
          <w:lang w:val="en-US" w:eastAsia="zh-CN"/>
        </w:rPr>
        <w:t>各专业</w:t>
      </w:r>
      <w:r>
        <w:rPr>
          <w:rFonts w:hint="eastAsia" w:ascii="宋体" w:hAnsi="宋体" w:eastAsia="宋体" w:cs="宋体"/>
          <w:color w:val="000000"/>
          <w:sz w:val="21"/>
          <w:szCs w:val="21"/>
          <w:lang w:val="en-US" w:eastAsia="zh-CN"/>
        </w:rPr>
        <w:t>毕业生</w:t>
      </w:r>
      <w:r>
        <w:rPr>
          <w:rFonts w:hint="eastAsia" w:ascii="宋体" w:hAnsi="宋体" w:cs="宋体"/>
          <w:color w:val="000000"/>
          <w:sz w:val="21"/>
          <w:szCs w:val="21"/>
          <w:lang w:val="en-US" w:eastAsia="zh-CN"/>
        </w:rPr>
        <w:t>主要工作职位类别</w:t>
      </w:r>
    </w:p>
    <w:p>
      <w:pPr>
        <w:numPr>
          <w:ilvl w:val="0"/>
          <w:numId w:val="0"/>
        </w:numPr>
        <w:spacing w:line="360" w:lineRule="auto"/>
        <w:jc w:val="center"/>
        <w:rPr>
          <w:rFonts w:hint="default" w:ascii="宋体" w:hAnsi="宋体"/>
          <w:b/>
          <w:sz w:val="24"/>
          <w:szCs w:val="24"/>
          <w:lang w:val="en-US" w:eastAsia="zh-CN"/>
        </w:rPr>
      </w:pPr>
      <w:r>
        <w:drawing>
          <wp:inline distT="0" distB="0" distL="114300" distR="114300">
            <wp:extent cx="5039995" cy="2743200"/>
            <wp:effectExtent l="4445" t="4445" r="13335" b="33655"/>
            <wp:docPr id="42" name="图表 4" descr="7b0a202020202263686172745265734964223a20223230343730303432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p>
      <w:pPr>
        <w:keepNext w:val="0"/>
        <w:keepLines w:val="0"/>
        <w:pageBreakBefore w:val="0"/>
        <w:widowControl w:val="0"/>
        <w:numPr>
          <w:ilvl w:val="0"/>
          <w:numId w:val="16"/>
        </w:numPr>
        <w:kinsoku/>
        <w:wordWrap/>
        <w:overflowPunct/>
        <w:topLinePunct w:val="0"/>
        <w:autoSpaceDE/>
        <w:autoSpaceDN/>
        <w:bidi w:val="0"/>
        <w:adjustRightInd/>
        <w:snapToGrid/>
        <w:spacing w:before="157" w:beforeLines="50" w:after="157" w:afterLines="50" w:line="360" w:lineRule="auto"/>
        <w:ind w:firstLine="482" w:firstLineChars="200"/>
        <w:jc w:val="left"/>
        <w:textAlignment w:val="auto"/>
        <w:rPr>
          <w:rFonts w:hint="eastAsia" w:ascii="宋体" w:hAnsi="宋体"/>
          <w:b/>
          <w:sz w:val="24"/>
          <w:szCs w:val="24"/>
          <w:highlight w:val="none"/>
          <w:lang w:val="en-US" w:eastAsia="zh-CN"/>
        </w:rPr>
      </w:pPr>
      <w:r>
        <w:rPr>
          <w:rFonts w:hint="eastAsia" w:ascii="宋体" w:hAnsi="宋体"/>
          <w:b/>
          <w:sz w:val="24"/>
          <w:szCs w:val="24"/>
          <w:highlight w:val="none"/>
          <w:lang w:val="en-US" w:eastAsia="zh-CN"/>
        </w:rPr>
        <w:t>旅游与会展学院各专业市场需求调查情况</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cs="Times New Roman"/>
          <w:color w:val="000000"/>
          <w:sz w:val="24"/>
          <w:szCs w:val="24"/>
        </w:rPr>
      </w:pPr>
      <w:r>
        <w:rPr>
          <w:rFonts w:hint="eastAsia" w:ascii="宋体" w:hAnsi="宋体" w:cs="Times New Roman"/>
          <w:color w:val="000000"/>
          <w:sz w:val="24"/>
          <w:szCs w:val="24"/>
          <w:lang w:val="en-US" w:eastAsia="zh-CN"/>
        </w:rPr>
        <w:t>为</w:t>
      </w:r>
      <w:r>
        <w:rPr>
          <w:rFonts w:hint="eastAsia" w:ascii="宋体" w:hAnsi="宋体" w:cs="Times New Roman"/>
          <w:color w:val="000000"/>
          <w:sz w:val="24"/>
          <w:szCs w:val="24"/>
        </w:rPr>
        <w:t>了解旅游类专业人才需求状况</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为学校培养具有竞争优势的专业人才提供参考</w:t>
      </w:r>
      <w:r>
        <w:rPr>
          <w:rFonts w:hint="eastAsia" w:ascii="宋体" w:hAnsi="宋体" w:cs="Times New Roman"/>
          <w:color w:val="000000"/>
          <w:sz w:val="24"/>
          <w:szCs w:val="24"/>
          <w:lang w:eastAsia="zh-CN"/>
        </w:rPr>
        <w:t>，</w:t>
      </w:r>
      <w:r>
        <w:rPr>
          <w:rFonts w:hint="eastAsia" w:ascii="宋体" w:hAnsi="宋体" w:cs="Times New Roman"/>
          <w:color w:val="000000"/>
          <w:sz w:val="24"/>
          <w:szCs w:val="24"/>
          <w:lang w:val="en-US" w:eastAsia="zh-CN"/>
        </w:rPr>
        <w:t>我</w:t>
      </w:r>
      <w:r>
        <w:rPr>
          <w:rFonts w:hint="eastAsia" w:ascii="宋体" w:hAnsi="宋体" w:cs="Times New Roman"/>
          <w:color w:val="000000"/>
          <w:sz w:val="24"/>
          <w:szCs w:val="24"/>
        </w:rPr>
        <w:t>院</w:t>
      </w:r>
      <w:r>
        <w:rPr>
          <w:rFonts w:hint="eastAsia" w:ascii="宋体" w:hAnsi="宋体" w:cs="Times New Roman"/>
          <w:color w:val="000000"/>
          <w:sz w:val="24"/>
          <w:szCs w:val="24"/>
          <w:lang w:val="en-US" w:eastAsia="zh-CN"/>
        </w:rPr>
        <w:t>对</w:t>
      </w:r>
      <w:r>
        <w:rPr>
          <w:rFonts w:hint="eastAsia" w:ascii="宋体" w:hAnsi="宋体" w:cs="Times New Roman"/>
          <w:color w:val="000000"/>
          <w:sz w:val="24"/>
          <w:szCs w:val="24"/>
        </w:rPr>
        <w:t>文旅企业</w:t>
      </w:r>
      <w:r>
        <w:rPr>
          <w:rFonts w:hint="eastAsia" w:ascii="宋体" w:hAnsi="宋体" w:cs="Times New Roman"/>
          <w:color w:val="000000"/>
          <w:sz w:val="24"/>
          <w:szCs w:val="24"/>
          <w:lang w:val="en-US" w:eastAsia="zh-CN"/>
        </w:rPr>
        <w:t>开展了</w:t>
      </w:r>
      <w:r>
        <w:rPr>
          <w:rFonts w:hint="eastAsia" w:ascii="宋体" w:hAnsi="宋体" w:cs="Times New Roman"/>
          <w:color w:val="000000"/>
          <w:sz w:val="24"/>
          <w:szCs w:val="24"/>
        </w:rPr>
        <w:t>专业人才需求调研</w:t>
      </w:r>
      <w:r>
        <w:rPr>
          <w:rFonts w:hint="eastAsia" w:ascii="宋体" w:hAnsi="宋体" w:cs="Times New Roman"/>
          <w:color w:val="000000"/>
          <w:sz w:val="24"/>
          <w:szCs w:val="24"/>
          <w:lang w:eastAsia="zh-CN"/>
        </w:rPr>
        <w:t>。</w:t>
      </w:r>
      <w:r>
        <w:rPr>
          <w:rFonts w:hint="eastAsia" w:ascii="宋体" w:hAnsi="宋体" w:cs="Times New Roman"/>
          <w:color w:val="000000"/>
          <w:sz w:val="24"/>
          <w:szCs w:val="24"/>
          <w:lang w:val="en-US" w:eastAsia="zh-CN"/>
        </w:rPr>
        <w:t>通过此次</w:t>
      </w:r>
      <w:r>
        <w:rPr>
          <w:rFonts w:hint="eastAsia" w:ascii="宋体" w:hAnsi="宋体" w:cs="Times New Roman"/>
          <w:color w:val="000000"/>
          <w:sz w:val="24"/>
          <w:szCs w:val="24"/>
        </w:rPr>
        <w:t>调研</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深入了解企业对旅游类本科毕业生的知识、能力、素质的要求</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以及对旅游类本科毕业生的招聘方式、职业生涯规划和薪酬福利等</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并且结合旅游与会展学院在旅游类专业人才培养方面的实践总结而成。本次调研参与企业的业务领域涵盖旅行社（包括OTA）、景区、旅游策划公司、酒店、酒店管理公司、会展公司等类型。</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cs="Times New Roman"/>
          <w:color w:val="000000"/>
          <w:sz w:val="24"/>
          <w:szCs w:val="24"/>
        </w:rPr>
      </w:pPr>
      <w:r>
        <w:rPr>
          <w:rFonts w:hint="eastAsia" w:ascii="宋体" w:hAnsi="宋体" w:cs="Times New Roman"/>
          <w:color w:val="000000"/>
          <w:sz w:val="24"/>
          <w:szCs w:val="24"/>
          <w:lang w:val="en-US" w:eastAsia="zh-CN"/>
        </w:rPr>
        <w:t>一</w:t>
      </w:r>
      <w:r>
        <w:rPr>
          <w:rFonts w:hint="eastAsia" w:ascii="宋体" w:hAnsi="宋体" w:cs="Times New Roman"/>
          <w:color w:val="000000"/>
          <w:sz w:val="24"/>
          <w:szCs w:val="24"/>
        </w:rPr>
        <w:t>、企业对旅游类本科毕业生知识、能力、素质的要求</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cs="Times New Roman"/>
          <w:color w:val="000000"/>
          <w:sz w:val="24"/>
          <w:szCs w:val="24"/>
        </w:rPr>
      </w:pPr>
      <w:r>
        <w:rPr>
          <w:rFonts w:hint="eastAsia" w:ascii="宋体" w:hAnsi="宋体" w:cs="Times New Roman"/>
          <w:color w:val="000000"/>
          <w:sz w:val="24"/>
          <w:szCs w:val="24"/>
          <w:lang w:val="en-US" w:eastAsia="zh-CN"/>
        </w:rPr>
        <w:t>1、</w:t>
      </w:r>
      <w:r>
        <w:rPr>
          <w:rFonts w:hint="eastAsia" w:ascii="宋体" w:hAnsi="宋体" w:cs="Times New Roman"/>
          <w:color w:val="000000"/>
          <w:sz w:val="24"/>
          <w:szCs w:val="24"/>
        </w:rPr>
        <w:t xml:space="preserve"> 知识和能力要求</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cs="Times New Roman"/>
          <w:color w:val="000000"/>
          <w:sz w:val="24"/>
          <w:szCs w:val="24"/>
        </w:rPr>
      </w:pPr>
      <w:r>
        <w:rPr>
          <w:rFonts w:hint="eastAsia" w:ascii="宋体" w:hAnsi="宋体" w:cs="Times New Roman"/>
          <w:color w:val="000000"/>
          <w:sz w:val="24"/>
          <w:szCs w:val="24"/>
        </w:rPr>
        <w:t>基本服务操作</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文案写作</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新媒体营销</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客户关系管理</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营销推广是企业最为看重的知识和能力</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多为旅游业从业者核心技能和实践操作能力。文旅企业的很多岗位都是以服务为导向</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需要直面客户并对企业盈利有直接影响。</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cs="Times New Roman"/>
          <w:color w:val="000000"/>
          <w:sz w:val="24"/>
          <w:szCs w:val="24"/>
        </w:rPr>
      </w:pPr>
      <w:r>
        <w:rPr>
          <w:rFonts w:hint="eastAsia" w:ascii="宋体" w:hAnsi="宋体" w:cs="Times New Roman"/>
          <w:color w:val="000000"/>
          <w:sz w:val="24"/>
          <w:szCs w:val="24"/>
        </w:rPr>
        <w:t>信息化办公反映出企业需求的新趋势</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即数字胜任力。如今的商业环境节奏快</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受技术驱动</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过去的工作方式已不再可行。当今世界易变、不确定、复杂且模糊(VUCA)</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企业对员工的需求也在不断变化。文旅企业正在准备好迎接数字化的未来</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其中一项举措便是招聘具有数字胜任力的专业人才。</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sz w:val="24"/>
          <w:lang w:eastAsia="zh-CN"/>
        </w:rPr>
      </w:pPr>
      <w:r>
        <w:rPr>
          <w:rFonts w:hint="eastAsia" w:ascii="宋体" w:hAnsi="宋体" w:cs="Times New Roman"/>
          <w:color w:val="000000"/>
          <w:sz w:val="24"/>
          <w:szCs w:val="24"/>
        </w:rPr>
        <w:t>其次是经济学、管理学和旅游管理学</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产品开发</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旅游业相关法律法规</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应用文写作</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培训与教学</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数据分析</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人力资源管理</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财务管理</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电子商务</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英语沟通</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市场调研</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影像制作</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还包括战略管理、国际商务</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也有少部分企业看重小语种沟通能力。</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cs="Times New Roman"/>
          <w:color w:val="000000"/>
          <w:sz w:val="24"/>
          <w:szCs w:val="24"/>
        </w:rPr>
      </w:pPr>
      <w:r>
        <w:rPr>
          <w:rFonts w:hint="eastAsia" w:ascii="宋体" w:hAnsi="宋体" w:cs="Times New Roman"/>
          <w:color w:val="000000"/>
          <w:sz w:val="24"/>
          <w:szCs w:val="24"/>
          <w:lang w:val="en-US" w:eastAsia="zh-CN"/>
        </w:rPr>
        <w:t>2、</w:t>
      </w:r>
      <w:r>
        <w:rPr>
          <w:rFonts w:hint="eastAsia" w:ascii="宋体" w:hAnsi="宋体" w:cs="Times New Roman"/>
          <w:color w:val="000000"/>
          <w:sz w:val="24"/>
          <w:szCs w:val="24"/>
        </w:rPr>
        <w:t>素质要求</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cs="Times New Roman"/>
          <w:color w:val="000000"/>
          <w:sz w:val="24"/>
          <w:szCs w:val="24"/>
        </w:rPr>
      </w:pPr>
      <w:r>
        <w:rPr>
          <w:rFonts w:hint="eastAsia" w:ascii="宋体" w:hAnsi="宋体" w:cs="Times New Roman"/>
          <w:color w:val="000000"/>
          <w:sz w:val="24"/>
          <w:szCs w:val="24"/>
        </w:rPr>
        <w:t>团队协作</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执行能力</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学习能力</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诚实守信</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服务意识</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成就意愿</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脚踏实地</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遵纪守法是企业最为看重的素质。文旅企业的部门之间合作较为密切</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有效的团队对文旅企业的业务来说至关重要。企业希望员工有大局意识</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认同总体目标</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愿意遵从总体目标</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与他人合作完成工作</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发挥个人能力特长</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减少团队冲突。</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cs="Times New Roman"/>
          <w:color w:val="000000"/>
          <w:sz w:val="24"/>
          <w:szCs w:val="24"/>
        </w:rPr>
      </w:pPr>
      <w:r>
        <w:rPr>
          <w:rFonts w:hint="eastAsia" w:ascii="宋体" w:hAnsi="宋体" w:cs="Times New Roman"/>
          <w:color w:val="000000"/>
          <w:sz w:val="24"/>
          <w:szCs w:val="24"/>
        </w:rPr>
        <w:t>在所有资源中</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人是最具有能动性的资源。尽管认知技术和人工智能开始彻底改变我们的工作环境</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例行事务和手动作业正在逐步被自动化流程取代</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但员工的学习能力依旧非常重要。应届毕业生既要储备适应未来的知识</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也要具备良好的学习习惯和学习意愿、以及获取新知的能力</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能够快速融入企业的业务。</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cs="Times New Roman"/>
          <w:color w:val="000000"/>
          <w:sz w:val="24"/>
          <w:szCs w:val="24"/>
        </w:rPr>
      </w:pPr>
      <w:r>
        <w:rPr>
          <w:rFonts w:hint="eastAsia" w:ascii="宋体" w:hAnsi="宋体" w:cs="Times New Roman"/>
          <w:color w:val="000000"/>
          <w:sz w:val="24"/>
          <w:szCs w:val="24"/>
        </w:rPr>
        <w:t>诚实守信是中华民族的传统美德</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 xml:space="preserve"> 遵纪守法则是每一个公民应尽的义务。消费者需求的挑战性越来越大</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保护利益的意识越来越高</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投诉渠道越来越广</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企业诚实守信、遵纪守法</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既能保护消费者利益</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也能塑造企业品牌形象</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避免一些法律纠纷。</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cs="Times New Roman"/>
          <w:color w:val="000000"/>
          <w:sz w:val="24"/>
          <w:szCs w:val="24"/>
        </w:rPr>
      </w:pPr>
      <w:r>
        <w:rPr>
          <w:rFonts w:hint="eastAsia" w:ascii="宋体" w:hAnsi="宋体" w:cs="Times New Roman"/>
          <w:color w:val="000000"/>
          <w:sz w:val="24"/>
          <w:szCs w:val="24"/>
        </w:rPr>
        <w:t>文旅企业的很多业务属于提供服务</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服务过程与服务结果同样重要。具有服务意识的人</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能够把自己利益的实现建立在服务别人的基础之上</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把利己和利他行为有机协调起来</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能够站在别人的立场上思考问题</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不惜自我谦让、妥协、奉献。企业期待员工把消费者满意作为第一标准</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努力强化服务意识</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提高为消费者服务本领。</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cs="Times New Roman"/>
          <w:color w:val="000000"/>
          <w:sz w:val="24"/>
          <w:szCs w:val="24"/>
        </w:rPr>
      </w:pPr>
      <w:r>
        <w:rPr>
          <w:rFonts w:hint="eastAsia" w:ascii="宋体" w:hAnsi="宋体" w:cs="Times New Roman"/>
          <w:color w:val="000000"/>
          <w:sz w:val="24"/>
          <w:szCs w:val="24"/>
        </w:rPr>
        <w:t>文旅企业业务融合体力劳动、脑力劳动和情绪劳动</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这种特性导致员工的工作内容多、工作节奏快、工作压力大。企业期待有条理的执行者</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系统性地高质量实施规划</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也期待脚踏实地的员工</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对待工作的态度认真负责</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能在高压环境中保持工作的节奏</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遇到困难不退缩。</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cs="Times New Roman"/>
          <w:color w:val="000000"/>
          <w:sz w:val="24"/>
          <w:szCs w:val="24"/>
        </w:rPr>
      </w:pPr>
      <w:r>
        <w:rPr>
          <w:rFonts w:hint="eastAsia" w:ascii="宋体" w:hAnsi="宋体" w:cs="Times New Roman"/>
          <w:color w:val="000000"/>
          <w:sz w:val="24"/>
          <w:szCs w:val="24"/>
        </w:rPr>
        <w:t>其次是成就意愿、灵活应变、职业形象、具备中高层管理职位发展潜质、商业敏锐。官僚主义的层级结构森严</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各个团队各行其是</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无法有效地把握市场机遇</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最终企业发展将停滞不前。这些企业中的微观管理扼杀创新成果</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他们无法快速做出调整、制定决策或解决问题</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因而难以与同行竞争。因此</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企业需要员工思维敏捷活跃</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具有创新创业精神</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灵活应对变化</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快速做出反应。</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b/>
          <w:sz w:val="24"/>
          <w:szCs w:val="24"/>
          <w:lang w:eastAsia="zh-CN"/>
        </w:rPr>
      </w:pPr>
      <w:r>
        <w:rPr>
          <w:rFonts w:hint="eastAsia" w:ascii="宋体" w:hAnsi="宋体" w:cs="Times New Roman"/>
          <w:color w:val="000000"/>
          <w:sz w:val="24"/>
          <w:szCs w:val="24"/>
        </w:rPr>
        <w:t>企业并非只招募基层员工</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基层员工经过多年培养之后具备一定能力和经验带领新员工</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企业内部符合条件的员工从现有的岗位晋升到更高层次岗位</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因此</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企业期待有成就意愿、有抱负的员工来带动他人</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更希望投资培养具有中高层管理职位发展潜质、良好职业形象的员工。</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cs="Times New Roman"/>
          <w:color w:val="000000"/>
          <w:sz w:val="24"/>
          <w:szCs w:val="24"/>
        </w:rPr>
      </w:pPr>
      <w:r>
        <w:rPr>
          <w:rFonts w:hint="eastAsia" w:ascii="宋体" w:hAnsi="宋体" w:cs="Times New Roman"/>
          <w:color w:val="000000"/>
          <w:sz w:val="24"/>
          <w:szCs w:val="24"/>
        </w:rPr>
        <w:t>就业能力是衡量应用型本科院校教育教学绩效的重要指标</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是用人单位甄选毕业生的根本依据。随着高校毕业生就业人数的逐年增加</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以及经济形势的不断变化</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应用型本科院校毕业生的就业形势也变得日益严峻。由于毕业生缺乏工作经验</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对于未来工作或者具体岗位的认知也较为模糊</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因此</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企业招聘过程中的评估重点落在本科生的知识、能力和素质上</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进而对本科生胜任工作的可能性做出评估和预测。知识、能力和素质最终落地在工作实践中</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旅游类专业可根据以上调研结果来提升课程体系建设</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融合理论课程与实践课程、硬实力与软实力</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为毕业生提供应聘的优质基础。</w:t>
      </w:r>
    </w:p>
    <w:p>
      <w:pPr>
        <w:pStyle w:val="2"/>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eastAsia" w:ascii="宋体" w:hAnsi="宋体" w:eastAsia="宋体" w:cs="Times New Roman"/>
          <w:b w:val="0"/>
          <w:bCs w:val="0"/>
          <w:color w:val="000000"/>
          <w:kern w:val="2"/>
          <w:sz w:val="24"/>
          <w:szCs w:val="24"/>
          <w:lang w:val="en-US" w:eastAsia="zh-CN" w:bidi="ar-SA"/>
        </w:rPr>
      </w:pPr>
      <w:r>
        <w:rPr>
          <w:rFonts w:hint="eastAsia" w:ascii="宋体" w:hAnsi="宋体" w:eastAsia="宋体" w:cs="Times New Roman"/>
          <w:b w:val="0"/>
          <w:bCs w:val="0"/>
          <w:color w:val="000000"/>
          <w:kern w:val="2"/>
          <w:sz w:val="24"/>
          <w:szCs w:val="24"/>
          <w:lang w:val="en-US" w:eastAsia="zh-CN" w:bidi="ar-SA"/>
        </w:rPr>
        <w:t>二、用人单位开展招聘情况及用人需求变化</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cs="Times New Roman"/>
          <w:color w:val="000000"/>
          <w:sz w:val="24"/>
          <w:szCs w:val="24"/>
          <w:lang w:val="en-US" w:eastAsia="zh-CN"/>
        </w:rPr>
      </w:pPr>
      <w:r>
        <w:rPr>
          <w:rFonts w:hint="eastAsia" w:ascii="宋体" w:hAnsi="宋体" w:cs="Times New Roman"/>
          <w:color w:val="000000"/>
          <w:sz w:val="24"/>
          <w:szCs w:val="24"/>
          <w:lang w:val="en-US" w:eastAsia="zh-CN"/>
        </w:rPr>
        <w:t>1、招聘需求</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cs="Times New Roman"/>
          <w:color w:val="000000"/>
          <w:sz w:val="24"/>
          <w:szCs w:val="24"/>
          <w:lang w:val="en-US" w:eastAsia="zh-CN"/>
        </w:rPr>
      </w:pPr>
      <w:r>
        <w:rPr>
          <w:rFonts w:hint="eastAsia" w:ascii="宋体" w:hAnsi="宋体" w:cs="Times New Roman"/>
          <w:color w:val="000000"/>
          <w:sz w:val="24"/>
          <w:szCs w:val="24"/>
          <w:lang w:val="en-US" w:eastAsia="zh-CN"/>
        </w:rPr>
        <w:t>一是</w:t>
      </w:r>
      <w:r>
        <w:rPr>
          <w:rFonts w:hint="eastAsia" w:ascii="宋体" w:hAnsi="宋体" w:cs="Times New Roman"/>
          <w:color w:val="000000"/>
          <w:sz w:val="24"/>
          <w:szCs w:val="24"/>
        </w:rPr>
        <w:t>受疫情影响</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旅游</w:t>
      </w:r>
      <w:r>
        <w:rPr>
          <w:rFonts w:hint="eastAsia" w:ascii="宋体" w:hAnsi="宋体" w:cs="Times New Roman"/>
          <w:color w:val="000000"/>
          <w:sz w:val="24"/>
          <w:szCs w:val="24"/>
          <w:lang w:val="en-US" w:eastAsia="zh-CN"/>
        </w:rPr>
        <w:t>酒店等</w:t>
      </w:r>
      <w:r>
        <w:rPr>
          <w:rFonts w:hint="eastAsia" w:ascii="宋体" w:hAnsi="宋体" w:cs="Times New Roman"/>
          <w:color w:val="000000"/>
          <w:sz w:val="24"/>
          <w:szCs w:val="24"/>
        </w:rPr>
        <w:t>行业企业的经营受到冲击，</w:t>
      </w:r>
      <w:r>
        <w:rPr>
          <w:rFonts w:hint="eastAsia" w:ascii="宋体" w:hAnsi="宋体" w:cs="Times New Roman"/>
          <w:color w:val="000000"/>
          <w:sz w:val="24"/>
          <w:szCs w:val="24"/>
          <w:lang w:val="en-US" w:eastAsia="zh-CN"/>
        </w:rPr>
        <w:t>大部分</w:t>
      </w:r>
      <w:r>
        <w:rPr>
          <w:rFonts w:hint="eastAsia" w:ascii="宋体" w:hAnsi="宋体" w:cs="Times New Roman"/>
          <w:color w:val="000000"/>
          <w:sz w:val="24"/>
          <w:szCs w:val="24"/>
        </w:rPr>
        <w:t>企业对于人才需求</w:t>
      </w:r>
      <w:r>
        <w:rPr>
          <w:rFonts w:hint="eastAsia" w:ascii="宋体" w:hAnsi="宋体" w:cs="Times New Roman"/>
          <w:color w:val="000000"/>
          <w:sz w:val="24"/>
          <w:szCs w:val="24"/>
          <w:lang w:val="en-US" w:eastAsia="zh-CN"/>
        </w:rPr>
        <w:t>开始降低，但是也有如链家等少数企业用人需求增加</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二是</w:t>
      </w:r>
      <w:r>
        <w:rPr>
          <w:rFonts w:hint="eastAsia" w:ascii="宋体" w:hAnsi="宋体" w:cs="Times New Roman"/>
          <w:color w:val="000000"/>
          <w:sz w:val="24"/>
          <w:szCs w:val="24"/>
          <w:lang w:val="en-US" w:eastAsia="zh-CN"/>
        </w:rPr>
        <w:t>招聘企业集中在房地产、物业等行业，提供的多为营销等对专业要求不高的岗位，与我院毕业生专业对口性不强；三是企业对于毕业生综合素质要求提高，倾向于招聘复合型人才，一岗多能，以节约人力成本。</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cs="Times New Roman"/>
          <w:color w:val="000000"/>
          <w:sz w:val="24"/>
          <w:szCs w:val="24"/>
          <w:lang w:val="en-US" w:eastAsia="zh-CN"/>
        </w:rPr>
      </w:pPr>
      <w:r>
        <w:rPr>
          <w:rFonts w:hint="eastAsia" w:ascii="宋体" w:hAnsi="宋体" w:cs="Times New Roman"/>
          <w:color w:val="000000"/>
          <w:sz w:val="24"/>
          <w:szCs w:val="24"/>
          <w:lang w:val="en-US" w:eastAsia="zh-CN"/>
        </w:rPr>
        <w:t>2、招聘面临困难</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cs="Times New Roman"/>
          <w:color w:val="000000"/>
          <w:sz w:val="24"/>
          <w:szCs w:val="24"/>
          <w:lang w:val="en-US" w:eastAsia="zh-CN"/>
        </w:rPr>
      </w:pPr>
      <w:r>
        <w:rPr>
          <w:rFonts w:hint="eastAsia" w:ascii="宋体" w:hAnsi="宋体" w:cs="Times New Roman"/>
          <w:color w:val="000000"/>
          <w:sz w:val="24"/>
          <w:szCs w:val="24"/>
          <w:lang w:val="en-US" w:eastAsia="zh-CN"/>
        </w:rPr>
        <w:t>线下招聘会、宣讲会无法开展，企业无法进校宣传，线上宣讲互动少、效果差；学生对行业的认知和了解程度有待提升，行业招聘影响力不够；学生求职意愿不高，倾向于考研考公。</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cs="Times New Roman"/>
          <w:color w:val="000000"/>
          <w:sz w:val="24"/>
          <w:szCs w:val="24"/>
          <w:lang w:val="en-US" w:eastAsia="zh-CN"/>
        </w:rPr>
      </w:pPr>
      <w:r>
        <w:rPr>
          <w:rFonts w:hint="eastAsia" w:ascii="宋体" w:hAnsi="宋体" w:cs="Times New Roman"/>
          <w:color w:val="000000"/>
          <w:sz w:val="24"/>
          <w:szCs w:val="24"/>
          <w:lang w:val="en-US" w:eastAsia="zh-CN"/>
        </w:rPr>
        <w:t>3、政策建议</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cs="Times New Roman"/>
          <w:color w:val="000000"/>
          <w:sz w:val="24"/>
          <w:szCs w:val="24"/>
        </w:rPr>
      </w:pPr>
      <w:r>
        <w:rPr>
          <w:rFonts w:hint="eastAsia" w:ascii="宋体" w:hAnsi="宋体" w:cs="Times New Roman"/>
          <w:color w:val="000000"/>
          <w:sz w:val="24"/>
          <w:szCs w:val="24"/>
          <w:lang w:val="en-US" w:eastAsia="zh-CN"/>
        </w:rPr>
        <w:t>希望建立校企深入合作关系，拓宽校企合作深度和广度，开展校企联合培养等合作模式；增加招聘会和宣讲会场次，放宽准入要求。</w:t>
      </w:r>
    </w:p>
    <w:p>
      <w:pPr>
        <w:keepNext w:val="0"/>
        <w:keepLines w:val="0"/>
        <w:pageBreakBefore w:val="0"/>
        <w:widowControl w:val="0"/>
        <w:numPr>
          <w:ilvl w:val="0"/>
          <w:numId w:val="16"/>
        </w:numPr>
        <w:kinsoku/>
        <w:wordWrap/>
        <w:overflowPunct/>
        <w:topLinePunct w:val="0"/>
        <w:autoSpaceDE/>
        <w:autoSpaceDN/>
        <w:bidi w:val="0"/>
        <w:adjustRightInd/>
        <w:snapToGrid/>
        <w:spacing w:before="157" w:beforeLines="50" w:after="157" w:afterLines="50" w:line="360" w:lineRule="auto"/>
        <w:ind w:firstLine="482" w:firstLineChars="200"/>
        <w:jc w:val="left"/>
        <w:textAlignment w:val="auto"/>
        <w:rPr>
          <w:rFonts w:hint="eastAsia" w:ascii="宋体" w:hAnsi="宋体"/>
          <w:b/>
          <w:sz w:val="24"/>
          <w:szCs w:val="24"/>
          <w:lang w:val="en-US" w:eastAsia="zh-CN"/>
        </w:rPr>
      </w:pPr>
      <w:r>
        <w:rPr>
          <w:rFonts w:hint="eastAsia" w:ascii="宋体" w:hAnsi="宋体"/>
          <w:b/>
          <w:sz w:val="24"/>
          <w:szCs w:val="24"/>
          <w:lang w:val="en-US" w:eastAsia="zh-CN"/>
        </w:rPr>
        <w:t>旅游与会展学院就业工作的重点与亮点</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cs="Times New Roman"/>
          <w:color w:val="000000"/>
          <w:sz w:val="24"/>
          <w:szCs w:val="24"/>
        </w:rPr>
      </w:pPr>
      <w:r>
        <w:rPr>
          <w:rFonts w:hint="eastAsia" w:ascii="宋体" w:hAnsi="宋体" w:cs="Times New Roman"/>
          <w:color w:val="000000"/>
          <w:sz w:val="24"/>
          <w:szCs w:val="24"/>
          <w:lang w:val="en-US" w:eastAsia="zh-CN"/>
        </w:rPr>
        <w:t>2022年，</w:t>
      </w:r>
      <w:r>
        <w:rPr>
          <w:rFonts w:hint="eastAsia" w:ascii="宋体" w:hAnsi="宋体" w:cs="Times New Roman"/>
          <w:color w:val="000000"/>
          <w:sz w:val="24"/>
          <w:szCs w:val="24"/>
        </w:rPr>
        <w:t>旅游与会展学院遵循“从行业需求出发、从社会需要出发”办学方略，主动适应形势变化，探索创新就业模式，打好主动仗，下好先手棋，聚焦专业优化、机制创新、校企合作、云端平台、全员指导，用心用情用力做好毕业生高质量就业工作</w:t>
      </w:r>
      <w:r>
        <w:rPr>
          <w:rFonts w:hint="eastAsia" w:ascii="宋体" w:hAnsi="宋体" w:cs="Times New Roman"/>
          <w:color w:val="000000"/>
          <w:sz w:val="24"/>
          <w:szCs w:val="24"/>
          <w:lang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cs="Times New Roman"/>
          <w:color w:val="000000"/>
          <w:sz w:val="24"/>
          <w:szCs w:val="24"/>
        </w:rPr>
      </w:pPr>
      <w:r>
        <w:rPr>
          <w:rFonts w:hint="eastAsia" w:ascii="宋体" w:hAnsi="宋体" w:cs="Times New Roman"/>
          <w:color w:val="000000"/>
          <w:sz w:val="24"/>
          <w:szCs w:val="24"/>
          <w:lang w:val="en-US" w:eastAsia="zh-CN"/>
        </w:rPr>
        <w:t>一、</w:t>
      </w:r>
      <w:r>
        <w:rPr>
          <w:rFonts w:hint="eastAsia" w:ascii="宋体" w:hAnsi="宋体" w:cs="Times New Roman"/>
          <w:color w:val="000000"/>
          <w:sz w:val="24"/>
          <w:szCs w:val="24"/>
        </w:rPr>
        <w:t>加强组织建设</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凝聚集体力量</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cs="Times New Roman"/>
          <w:color w:val="000000"/>
          <w:sz w:val="24"/>
          <w:szCs w:val="24"/>
          <w:lang w:val="en-US" w:eastAsia="zh-CN"/>
        </w:rPr>
      </w:pPr>
      <w:r>
        <w:rPr>
          <w:rFonts w:hint="eastAsia" w:ascii="宋体" w:hAnsi="宋体" w:cs="Times New Roman"/>
          <w:color w:val="000000"/>
          <w:sz w:val="24"/>
          <w:szCs w:val="24"/>
          <w:lang w:val="en-US" w:eastAsia="zh-CN"/>
        </w:rPr>
        <w:t>学院始终将就业摆在为党育人、为国育人的政治高度，引导毕业生将个人理想追求融入党和国家事业之中，构建全面指导、全员参与、全程跟进的协同育人就业工作格局。学院党委成立毕业生就业征兵工作领导小组，认真落实就业工作 “一把手”工程，持续开展“高校书记校长访企拓岗促就业”专项行动。</w:t>
      </w:r>
      <w:r>
        <w:rPr>
          <w:rFonts w:hint="eastAsia" w:ascii="宋体" w:hAnsi="宋体" w:cs="Times New Roman"/>
          <w:color w:val="000000"/>
          <w:sz w:val="24"/>
          <w:szCs w:val="24"/>
        </w:rPr>
        <w:t>定期召开会议研究</w:t>
      </w:r>
      <w:r>
        <w:rPr>
          <w:rFonts w:hint="eastAsia" w:ascii="宋体" w:hAnsi="宋体" w:cs="Times New Roman"/>
          <w:color w:val="000000"/>
          <w:sz w:val="24"/>
          <w:szCs w:val="24"/>
          <w:lang w:val="en-US" w:eastAsia="zh-CN"/>
        </w:rPr>
        <w:t>布署相关</w:t>
      </w:r>
      <w:r>
        <w:rPr>
          <w:rFonts w:hint="eastAsia" w:ascii="宋体" w:hAnsi="宋体" w:cs="Times New Roman"/>
          <w:color w:val="000000"/>
          <w:sz w:val="24"/>
          <w:szCs w:val="24"/>
        </w:rPr>
        <w:t>工作</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认真剖析当前就业形势，确定就业工作重点与难点，针对不同地区、不同专业的学生，制定切实可行的工作方案</w:t>
      </w:r>
      <w:r>
        <w:rPr>
          <w:rFonts w:hint="eastAsia" w:ascii="宋体" w:hAnsi="宋体" w:cs="Times New Roman"/>
          <w:color w:val="000000"/>
          <w:sz w:val="24"/>
          <w:szCs w:val="24"/>
          <w:lang w:val="en-US" w:eastAsia="zh-CN"/>
        </w:rPr>
        <w:t>。为完善毕业生就业服务体系，促进毕业生充分就业，结合我院实际情况，制定了《旅游与会展学院毕业生就业工作制度》。</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cs="Times New Roman"/>
          <w:color w:val="000000"/>
          <w:sz w:val="24"/>
          <w:szCs w:val="24"/>
          <w:lang w:val="en-US" w:eastAsia="zh-CN"/>
        </w:rPr>
      </w:pPr>
      <w:r>
        <w:rPr>
          <w:rFonts w:hint="eastAsia" w:ascii="宋体" w:hAnsi="宋体" w:cs="Times New Roman"/>
          <w:color w:val="000000"/>
          <w:sz w:val="24"/>
          <w:szCs w:val="24"/>
          <w:lang w:val="en-US" w:eastAsia="zh-CN"/>
        </w:rPr>
        <w:t>学院上下全员参与，群策群力，院领导、系主任、教研室、论文指导老师以及毕业班辅导员、就业联络员定期召开会议研判就业工作。认真落实好“一生一策”，每周进行一次就业信息的完善更新并全院通报。</w:t>
      </w:r>
      <w:r>
        <w:rPr>
          <w:rFonts w:hint="eastAsia" w:ascii="宋体" w:hAnsi="宋体" w:cs="Times New Roman"/>
          <w:color w:val="000000"/>
          <w:sz w:val="24"/>
          <w:szCs w:val="24"/>
        </w:rPr>
        <w:t>积极发挥师生党员的榜样模范作用</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发挥论文指导老师、班主任的指导帮扶作用</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形成全员合力。论文和实习指导老师全部参与就业</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结合指导毕业论文和实习</w:t>
      </w:r>
      <w:r>
        <w:rPr>
          <w:rFonts w:hint="eastAsia" w:ascii="宋体" w:hAnsi="宋体" w:cs="Times New Roman"/>
          <w:color w:val="000000"/>
          <w:sz w:val="24"/>
          <w:szCs w:val="24"/>
          <w:lang w:eastAsia="zh-CN"/>
        </w:rPr>
        <w:t>，</w:t>
      </w:r>
      <w:r>
        <w:rPr>
          <w:rFonts w:hint="eastAsia" w:ascii="宋体" w:hAnsi="宋体" w:cs="Times New Roman"/>
          <w:color w:val="000000"/>
          <w:sz w:val="24"/>
          <w:szCs w:val="24"/>
          <w:lang w:val="en-US" w:eastAsia="zh-CN"/>
        </w:rPr>
        <w:t>分解任务，对建档立卡家庭毕业生，以及就业困难、慢就业、不愿就业、就业期望值过高的毕业生进行“一对一”帮扶。</w:t>
      </w:r>
      <w:r>
        <w:rPr>
          <w:rFonts w:hint="eastAsia" w:ascii="宋体" w:hAnsi="宋体" w:cs="Times New Roman"/>
          <w:color w:val="000000"/>
          <w:sz w:val="24"/>
          <w:szCs w:val="24"/>
        </w:rPr>
        <w:t>辅导员保持与毕业生的密切联系</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及时了解全班学生的就业进展情况；向学生传递积极的就业心态</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督促毕业生及时与用人单位签订就业协议。</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cs="Times New Roman"/>
          <w:color w:val="000000"/>
          <w:sz w:val="24"/>
          <w:szCs w:val="24"/>
        </w:rPr>
      </w:pPr>
      <w:r>
        <w:rPr>
          <w:rFonts w:hint="eastAsia" w:ascii="宋体" w:hAnsi="宋体" w:cs="Times New Roman"/>
          <w:color w:val="000000"/>
          <w:sz w:val="24"/>
          <w:szCs w:val="24"/>
          <w:lang w:val="en-US" w:eastAsia="zh-CN"/>
        </w:rPr>
        <w:t>二、开拓就业市场，扩大岗位存量</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cs="Times New Roman"/>
          <w:color w:val="000000"/>
          <w:sz w:val="24"/>
          <w:szCs w:val="24"/>
          <w:lang w:val="en-US" w:eastAsia="zh-CN"/>
        </w:rPr>
      </w:pPr>
      <w:r>
        <w:rPr>
          <w:rFonts w:hint="eastAsia" w:ascii="宋体" w:hAnsi="宋体" w:cs="Times New Roman"/>
          <w:color w:val="000000"/>
          <w:sz w:val="24"/>
          <w:szCs w:val="24"/>
          <w:lang w:val="en-US" w:eastAsia="zh-CN"/>
        </w:rPr>
        <w:t>结合2021届毕业生的就业单位、就业流向和2022届毕业生就业意向展开调研，了解需求，形成数据，科学研判就业市场。学院党委书记、院长及领导班子成员充分发挥引领示范作用，带动学院全员深度参与毕业生就业工作，坚持“请进来+走出去”的工作思路，主动走访重点行业企业、校企合作企业，进行深层次供需对接，挖掘更多岗位资源，当好毕业生就业“推介大使”，着力构建我院毕业生市场化、社会化的就业工作机制。</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cs="Times New Roman"/>
          <w:color w:val="000000"/>
          <w:sz w:val="24"/>
          <w:szCs w:val="24"/>
          <w:lang w:val="en-US" w:eastAsia="zh-CN"/>
        </w:rPr>
      </w:pPr>
      <w:r>
        <w:rPr>
          <w:rFonts w:hint="eastAsia" w:ascii="宋体" w:hAnsi="宋体" w:cs="Times New Roman"/>
          <w:color w:val="000000"/>
          <w:sz w:val="24"/>
          <w:szCs w:val="24"/>
          <w:lang w:val="en-US" w:eastAsia="zh-CN"/>
        </w:rPr>
        <w:t>2022年</w:t>
      </w:r>
      <w:r>
        <w:rPr>
          <w:rFonts w:hint="eastAsia" w:ascii="宋体" w:hAnsi="宋体" w:cs="Times New Roman"/>
          <w:color w:val="000000"/>
          <w:sz w:val="24"/>
          <w:szCs w:val="24"/>
        </w:rPr>
        <w:t>开展“书记校长访企拓岗促就业专项行动”，走访企业3家，</w:t>
      </w:r>
      <w:r>
        <w:rPr>
          <w:rFonts w:hint="eastAsia" w:ascii="宋体" w:hAnsi="宋体" w:cs="Times New Roman"/>
          <w:color w:val="000000"/>
          <w:sz w:val="24"/>
          <w:szCs w:val="24"/>
          <w:lang w:val="en-US" w:eastAsia="zh-CN"/>
        </w:rPr>
        <w:t>就企业用人标准、疫情下的就业新形势、校企合作新模式、科研成果转换及就业招聘服务等工作展开交流，</w:t>
      </w:r>
      <w:r>
        <w:rPr>
          <w:rFonts w:hint="eastAsia" w:ascii="宋体" w:hAnsi="宋体" w:cs="Times New Roman"/>
          <w:color w:val="000000"/>
          <w:sz w:val="24"/>
          <w:szCs w:val="24"/>
        </w:rPr>
        <w:t>帮助8名毕业生落实工作</w:t>
      </w:r>
      <w:r>
        <w:rPr>
          <w:rFonts w:hint="eastAsia" w:ascii="宋体" w:hAnsi="宋体" w:cs="Times New Roman"/>
          <w:color w:val="000000"/>
          <w:sz w:val="24"/>
          <w:szCs w:val="24"/>
          <w:lang w:eastAsia="zh-CN"/>
        </w:rPr>
        <w:t>。</w:t>
      </w:r>
      <w:r>
        <w:rPr>
          <w:rFonts w:hint="eastAsia" w:ascii="宋体" w:hAnsi="宋体" w:cs="Times New Roman"/>
          <w:color w:val="000000"/>
          <w:sz w:val="24"/>
          <w:szCs w:val="24"/>
          <w:lang w:val="en-US" w:eastAsia="zh-CN"/>
        </w:rPr>
        <w:t>与2家单位建立校企合作就业实习基地，听取用人单位和毕业生对学院人才培养、教学实习、创新创业、选人用人等方面的建议，探索就业工作的新思路、新方法，助推我院毕业生充分就业、高质量就业，提升学院人才培养质量，促进校企深度合作，探索校企共同发展的长效机制。就学生职业适应情况、毕业生就业情况跟踪与反馈、质量与评价、招聘计划与用人需求等方面开展座谈并积极邀请企业来校招聘，</w:t>
      </w:r>
      <w:r>
        <w:rPr>
          <w:rFonts w:hint="eastAsia" w:ascii="宋体" w:hAnsi="宋体" w:cs="Times New Roman"/>
          <w:color w:val="000000"/>
          <w:sz w:val="24"/>
          <w:szCs w:val="24"/>
        </w:rPr>
        <w:t>全年共举办专场招聘会12场，提供岗位100余个</w:t>
      </w:r>
      <w:r>
        <w:rPr>
          <w:rFonts w:hint="eastAsia" w:ascii="宋体" w:hAnsi="宋体" w:cs="Times New Roman"/>
          <w:color w:val="000000"/>
          <w:sz w:val="24"/>
          <w:szCs w:val="24"/>
          <w:lang w:eastAsia="zh-CN"/>
        </w:rPr>
        <w:t>。</w:t>
      </w:r>
      <w:r>
        <w:rPr>
          <w:rFonts w:hint="eastAsia" w:ascii="宋体" w:hAnsi="宋体" w:cs="Times New Roman"/>
          <w:color w:val="000000"/>
          <w:sz w:val="24"/>
          <w:szCs w:val="24"/>
          <w:lang w:val="en-US" w:eastAsia="zh-CN"/>
        </w:rPr>
        <w:t>委托系主任和专业负责人，开展文旅企业旅游类专业人才需求调研，深入了解企业人才需求特点，及时优化人才培养方案。</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cs="Times New Roman"/>
          <w:color w:val="000000"/>
          <w:sz w:val="24"/>
          <w:szCs w:val="24"/>
        </w:rPr>
      </w:pPr>
      <w:r>
        <w:rPr>
          <w:rFonts w:hint="eastAsia" w:ascii="宋体" w:hAnsi="宋体" w:cs="Times New Roman"/>
          <w:color w:val="000000"/>
          <w:sz w:val="24"/>
          <w:szCs w:val="24"/>
          <w:lang w:val="en-US" w:eastAsia="zh-CN"/>
        </w:rPr>
        <w:t>三、优化就业指导，提升就业质量</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cs="Times New Roman"/>
          <w:color w:val="000000"/>
          <w:sz w:val="24"/>
          <w:szCs w:val="24"/>
        </w:rPr>
      </w:pPr>
      <w:r>
        <w:rPr>
          <w:rFonts w:hint="eastAsia" w:ascii="宋体" w:hAnsi="宋体" w:cs="Times New Roman"/>
          <w:color w:val="000000"/>
          <w:sz w:val="24"/>
          <w:szCs w:val="24"/>
        </w:rPr>
        <w:t>将就业指导融入课程</w:t>
      </w:r>
      <w:r>
        <w:rPr>
          <w:rFonts w:hint="eastAsia" w:ascii="宋体" w:hAnsi="宋体" w:cs="Times New Roman"/>
          <w:color w:val="000000"/>
          <w:sz w:val="24"/>
          <w:szCs w:val="24"/>
          <w:lang w:val="en-US" w:eastAsia="zh-CN"/>
        </w:rPr>
        <w:t>教学</w:t>
      </w:r>
      <w:r>
        <w:rPr>
          <w:rFonts w:hint="eastAsia" w:ascii="宋体" w:hAnsi="宋体" w:cs="Times New Roman"/>
          <w:color w:val="000000"/>
          <w:sz w:val="24"/>
          <w:szCs w:val="24"/>
        </w:rPr>
        <w:t>，加强思想政治工作，引导学生树立正确的职业观、就业观、价值观，找准自我定位，积极选择职业和工作岗位，同时强化素质教育，优化学科专业设置，提升人才培养质量，增强与经济社会发展的匹配度。充分利用网络云端平台，组织网上</w:t>
      </w:r>
      <w:r>
        <w:rPr>
          <w:rFonts w:hint="eastAsia" w:ascii="宋体" w:hAnsi="宋体" w:cs="Times New Roman"/>
          <w:color w:val="000000"/>
          <w:sz w:val="24"/>
          <w:szCs w:val="24"/>
          <w:lang w:val="en-US" w:eastAsia="zh-CN"/>
        </w:rPr>
        <w:t>专场宣讲会</w:t>
      </w:r>
      <w:r>
        <w:rPr>
          <w:rFonts w:hint="eastAsia" w:ascii="宋体" w:hAnsi="宋体" w:cs="Times New Roman"/>
          <w:color w:val="000000"/>
          <w:sz w:val="24"/>
          <w:szCs w:val="24"/>
        </w:rPr>
        <w:t>，开展网上面试招聘，保障就业工作“不断线”，就业服务“不打烊”，解决疫情期间线下招聘面试难等问题。</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cs="Times New Roman"/>
          <w:color w:val="000000"/>
          <w:sz w:val="24"/>
          <w:szCs w:val="24"/>
          <w:lang w:val="en-US" w:eastAsia="zh-CN"/>
        </w:rPr>
      </w:pPr>
      <w:r>
        <w:rPr>
          <w:rFonts w:hint="eastAsia" w:ascii="宋体" w:hAnsi="宋体" w:cs="Times New Roman"/>
          <w:color w:val="000000"/>
          <w:sz w:val="24"/>
          <w:szCs w:val="24"/>
          <w:lang w:val="en-US" w:eastAsia="zh-CN"/>
        </w:rPr>
        <w:t>面向毕业生积极开展就业形势与就业征兵政策、择业方法与择业技巧的教育指导，帮助学生明确职业规划，引导毕业生立足实际，务实择业，转变就业观念，鼓励学生到中西部等偏远区域建功立业。整合以往就业工作案例和经验，邀请就业工作经验丰富的专家为毕业生开设简历制作、面试指导等主题讲座，组织学生参加在线职业和就业指导公益服务课程，提升毕业生综合素质和能力。</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cs="Times New Roman"/>
          <w:color w:val="000000"/>
          <w:sz w:val="24"/>
          <w:szCs w:val="24"/>
        </w:rPr>
      </w:pPr>
      <w:r>
        <w:rPr>
          <w:rFonts w:hint="eastAsia" w:ascii="宋体" w:hAnsi="宋体" w:cs="Times New Roman"/>
          <w:color w:val="000000"/>
          <w:sz w:val="24"/>
          <w:szCs w:val="24"/>
          <w:lang w:val="en-US" w:eastAsia="zh-CN"/>
        </w:rPr>
        <w:t>四、深化就业帮扶，促进就业增量</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cs="Times New Roman"/>
          <w:color w:val="000000"/>
          <w:sz w:val="24"/>
          <w:szCs w:val="24"/>
          <w:lang w:val="en-US" w:eastAsia="zh-CN"/>
        </w:rPr>
      </w:pPr>
      <w:r>
        <w:rPr>
          <w:rFonts w:hint="eastAsia" w:ascii="宋体" w:hAnsi="宋体" w:cs="Times New Roman"/>
          <w:color w:val="000000"/>
          <w:sz w:val="24"/>
          <w:szCs w:val="24"/>
          <w:lang w:val="en-US" w:eastAsia="zh-CN"/>
        </w:rPr>
        <w:t>将特殊群体毕业生就业作为重中之重，每年均由院领导牵头召开特殊群体毕业生就业专题会，建立学院领导包保制度，想办法解难题。专业教师和辅导员通力合作，加强个案式就业指导，为学生提供“一对一”全过程、全方位就业帮扶和心理帮扶。做好贫困家庭毕业生就业帮扶工作，帮助他们树立正确的择业观，有针对性地开展就业岗位推荐工作。</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cs="Times New Roman"/>
          <w:color w:val="000000"/>
          <w:sz w:val="24"/>
          <w:szCs w:val="24"/>
        </w:rPr>
      </w:pPr>
      <w:r>
        <w:rPr>
          <w:rFonts w:hint="eastAsia" w:ascii="宋体" w:hAnsi="宋体" w:cs="Times New Roman"/>
          <w:color w:val="000000"/>
          <w:sz w:val="24"/>
          <w:szCs w:val="24"/>
          <w:lang w:val="en-US" w:eastAsia="zh-CN"/>
        </w:rPr>
        <w:t>根据特殊群体毕业生就业困难的不同原因、不同特点，建立就业困难</w:t>
      </w:r>
      <w:r>
        <w:rPr>
          <w:rFonts w:hint="eastAsia" w:ascii="宋体" w:hAnsi="宋体" w:cs="Times New Roman"/>
          <w:color w:val="000000"/>
          <w:sz w:val="24"/>
          <w:szCs w:val="24"/>
        </w:rPr>
        <w:t>毕业生就业帮扶台账</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精准施策</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精准帮扶；积极做好建档立卡贫困生等重点人群的就业帮扶</w:t>
      </w:r>
      <w:r>
        <w:rPr>
          <w:rFonts w:hint="eastAsia" w:ascii="宋体" w:hAnsi="宋体" w:cs="Times New Roman"/>
          <w:color w:val="000000"/>
          <w:sz w:val="24"/>
          <w:szCs w:val="24"/>
          <w:lang w:eastAsia="zh-CN"/>
        </w:rPr>
        <w:t>，</w:t>
      </w:r>
      <w:r>
        <w:rPr>
          <w:rFonts w:hint="eastAsia" w:ascii="宋体" w:hAnsi="宋体" w:cs="Times New Roman"/>
          <w:color w:val="000000"/>
          <w:sz w:val="24"/>
          <w:szCs w:val="24"/>
          <w:lang w:val="en-US" w:eastAsia="zh-CN"/>
        </w:rPr>
        <w:t>一方面</w:t>
      </w:r>
      <w:r>
        <w:rPr>
          <w:rFonts w:hint="eastAsia" w:ascii="宋体" w:hAnsi="宋体" w:cs="Times New Roman"/>
          <w:color w:val="000000"/>
          <w:sz w:val="24"/>
          <w:szCs w:val="24"/>
        </w:rPr>
        <w:t>关注学生基本情况</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在精准摸排中准确了解重点帮扶对象的未就业原因、求职意愿、家庭背景等</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做到“一人一档”底清数明。另一方面充分关注帮扶对象的心理健康，在学习和生活的各方面给予关心关爱，及时了解掌握学生的思想动态和心理状况，有针对性地开展教育引导工作，助力学生疏导就业焦虑情绪，缓解就业心理压力，摆正就业观念，坚定就业信心。</w:t>
      </w:r>
    </w:p>
    <w:p>
      <w:pPr>
        <w:keepNext w:val="0"/>
        <w:keepLines w:val="0"/>
        <w:pageBreakBefore w:val="0"/>
        <w:widowControl w:val="0"/>
        <w:numPr>
          <w:ilvl w:val="0"/>
          <w:numId w:val="16"/>
        </w:numPr>
        <w:kinsoku/>
        <w:wordWrap/>
        <w:overflowPunct/>
        <w:topLinePunct w:val="0"/>
        <w:autoSpaceDE/>
        <w:autoSpaceDN/>
        <w:bidi w:val="0"/>
        <w:adjustRightInd/>
        <w:snapToGrid/>
        <w:spacing w:before="157" w:beforeLines="50" w:after="157" w:afterLines="50" w:line="360" w:lineRule="auto"/>
        <w:ind w:firstLine="482" w:firstLineChars="200"/>
        <w:jc w:val="left"/>
        <w:textAlignment w:val="auto"/>
        <w:rPr>
          <w:rFonts w:hint="eastAsia" w:ascii="宋体" w:hAnsi="宋体"/>
          <w:b/>
          <w:sz w:val="24"/>
          <w:szCs w:val="24"/>
          <w:lang w:val="en-US" w:eastAsia="zh-CN"/>
        </w:rPr>
      </w:pPr>
      <w:r>
        <w:rPr>
          <w:rFonts w:hint="eastAsia" w:ascii="宋体" w:hAnsi="宋体"/>
          <w:b/>
          <w:sz w:val="24"/>
          <w:szCs w:val="24"/>
          <w:lang w:val="en-US" w:eastAsia="zh-CN"/>
        </w:rPr>
        <w:t>旅游与会展学院对就业困难、弱势群体、特殊问题、建档立卡毕业生帮扶情况</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eastAsiaTheme="minorEastAsia" w:cstheme="minorEastAsia"/>
          <w:b w:val="0"/>
          <w:bCs w:val="0"/>
          <w:color w:val="000000"/>
          <w:kern w:val="0"/>
          <w:sz w:val="24"/>
          <w:szCs w:val="24"/>
          <w:lang w:val="en-US" w:eastAsia="zh-CN" w:bidi="ar-SA"/>
        </w:rPr>
      </w:pPr>
      <w:r>
        <w:rPr>
          <w:rFonts w:hint="eastAsia" w:asciiTheme="minorEastAsia" w:hAnsiTheme="minorEastAsia" w:eastAsiaTheme="minorEastAsia" w:cstheme="minorEastAsia"/>
          <w:b w:val="0"/>
          <w:bCs w:val="0"/>
          <w:color w:val="000000"/>
          <w:kern w:val="0"/>
          <w:sz w:val="24"/>
          <w:szCs w:val="24"/>
          <w:lang w:val="en-US" w:eastAsia="zh-CN" w:bidi="ar-SA"/>
        </w:rPr>
        <w:t>旅游与会展学院在高校毕业生就业的关键阶段，创新模式，精准施策，开展结对帮扶，尽最大努力帮助困难毕业生就业。</w:t>
      </w:r>
    </w:p>
    <w:p>
      <w:pPr>
        <w:keepNext w:val="0"/>
        <w:keepLines w:val="0"/>
        <w:pageBreakBefore w:val="0"/>
        <w:widowControl w:val="0"/>
        <w:numPr>
          <w:ilvl w:val="0"/>
          <w:numId w:val="18"/>
        </w:numPr>
        <w:kinsoku/>
        <w:wordWrap/>
        <w:overflowPunct/>
        <w:topLinePunct w:val="0"/>
        <w:autoSpaceDE/>
        <w:autoSpaceDN/>
        <w:bidi w:val="0"/>
        <w:adjustRightInd/>
        <w:snapToGrid/>
        <w:ind w:firstLine="480" w:firstLineChars="200"/>
        <w:textAlignment w:val="auto"/>
        <w:rPr>
          <w:rFonts w:hint="eastAsia" w:asciiTheme="minorEastAsia" w:hAnsiTheme="minorEastAsia" w:eastAsiaTheme="minorEastAsia" w:cstheme="minorEastAsia"/>
          <w:b w:val="0"/>
          <w:bCs w:val="0"/>
          <w:color w:val="000000"/>
          <w:kern w:val="0"/>
          <w:sz w:val="24"/>
          <w:szCs w:val="24"/>
          <w:lang w:val="en-US" w:eastAsia="zh-CN" w:bidi="ar-SA"/>
        </w:rPr>
      </w:pPr>
      <w:r>
        <w:rPr>
          <w:rFonts w:hint="eastAsia" w:asciiTheme="minorEastAsia" w:hAnsiTheme="minorEastAsia" w:eastAsiaTheme="minorEastAsia" w:cstheme="minorEastAsia"/>
          <w:b w:val="0"/>
          <w:bCs w:val="0"/>
          <w:color w:val="000000"/>
          <w:kern w:val="0"/>
          <w:sz w:val="24"/>
          <w:szCs w:val="24"/>
          <w:lang w:val="en-US" w:eastAsia="zh-CN" w:bidi="ar-SA"/>
        </w:rPr>
        <w:t>帮扶和援助原则</w:t>
      </w:r>
    </w:p>
    <w:p>
      <w:pPr>
        <w:pStyle w:val="2"/>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b w:val="0"/>
          <w:bCs w:val="0"/>
          <w:color w:val="000000"/>
          <w:kern w:val="0"/>
          <w:sz w:val="24"/>
          <w:szCs w:val="24"/>
          <w:lang w:val="en-US" w:eastAsia="zh-CN" w:bidi="ar-SA"/>
        </w:rPr>
        <w:t>按照“精准发力、注重实效、重点服务”的原则，针对尚未就业的家庭困难毕业生、学业困难毕业生等困难群体毕业生开展就业“精细化”“专业化”的精准帮扶工作，通过就业过程精准服务、应聘难题精准破解、就业补贴精准发放、求职技能精准提升等方式解决困难群体毕业生的实际困难。</w:t>
      </w:r>
    </w:p>
    <w:p>
      <w:pPr>
        <w:keepNext w:val="0"/>
        <w:keepLines w:val="0"/>
        <w:pageBreakBefore w:val="0"/>
        <w:widowControl w:val="0"/>
        <w:numPr>
          <w:ilvl w:val="0"/>
          <w:numId w:val="18"/>
        </w:numPr>
        <w:kinsoku/>
        <w:wordWrap/>
        <w:overflowPunct/>
        <w:topLinePunct w:val="0"/>
        <w:autoSpaceDE/>
        <w:autoSpaceDN/>
        <w:bidi w:val="0"/>
        <w:adjustRightInd/>
        <w:snapToGrid/>
        <w:ind w:firstLine="480" w:firstLineChars="200"/>
        <w:textAlignment w:val="auto"/>
        <w:rPr>
          <w:rFonts w:hint="eastAsia" w:asciiTheme="minorEastAsia" w:hAnsiTheme="minorEastAsia" w:eastAsiaTheme="minorEastAsia" w:cstheme="minorEastAsia"/>
          <w:b w:val="0"/>
          <w:bCs w:val="0"/>
          <w:color w:val="000000"/>
          <w:kern w:val="0"/>
          <w:sz w:val="24"/>
          <w:szCs w:val="24"/>
          <w:lang w:val="en-US" w:eastAsia="zh-CN" w:bidi="ar-SA"/>
        </w:rPr>
      </w:pPr>
      <w:r>
        <w:rPr>
          <w:rFonts w:hint="eastAsia" w:asciiTheme="minorEastAsia" w:hAnsiTheme="minorEastAsia" w:eastAsiaTheme="minorEastAsia" w:cstheme="minorEastAsia"/>
          <w:b w:val="0"/>
          <w:bCs w:val="0"/>
          <w:color w:val="000000"/>
          <w:kern w:val="0"/>
          <w:sz w:val="24"/>
          <w:szCs w:val="24"/>
          <w:lang w:val="en-US" w:eastAsia="zh-CN" w:bidi="ar-SA"/>
        </w:rPr>
        <w:t>帮扶和援助对象</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eastAsiaTheme="minorEastAsia" w:cstheme="minorEastAsia"/>
          <w:b w:val="0"/>
          <w:bCs w:val="0"/>
          <w:color w:val="000000"/>
          <w:kern w:val="0"/>
          <w:sz w:val="24"/>
          <w:szCs w:val="24"/>
          <w:lang w:val="en-US" w:eastAsia="zh-CN" w:bidi="ar-SA"/>
        </w:rPr>
      </w:pPr>
      <w:r>
        <w:rPr>
          <w:rFonts w:hint="eastAsia" w:asciiTheme="minorEastAsia" w:hAnsiTheme="minorEastAsia" w:eastAsiaTheme="minorEastAsia" w:cstheme="minorEastAsia"/>
          <w:b w:val="0"/>
          <w:bCs w:val="0"/>
          <w:color w:val="000000"/>
          <w:kern w:val="0"/>
          <w:sz w:val="24"/>
          <w:szCs w:val="24"/>
          <w:lang w:val="en-US" w:eastAsia="zh-CN" w:bidi="ar-SA"/>
        </w:rPr>
        <w:t>尚未就业的“原建档立卡”毕业生、家庭经济困难毕业生、就业困难毕业生、心理问题毕业生和其他应予以帮扶的毕业生。</w:t>
      </w:r>
    </w:p>
    <w:p>
      <w:pPr>
        <w:keepNext w:val="0"/>
        <w:keepLines w:val="0"/>
        <w:pageBreakBefore w:val="0"/>
        <w:widowControl w:val="0"/>
        <w:numPr>
          <w:ilvl w:val="0"/>
          <w:numId w:val="18"/>
        </w:numPr>
        <w:kinsoku/>
        <w:wordWrap/>
        <w:overflowPunct/>
        <w:topLinePunct w:val="0"/>
        <w:autoSpaceDE/>
        <w:autoSpaceDN/>
        <w:bidi w:val="0"/>
        <w:adjustRightInd/>
        <w:snapToGrid/>
        <w:ind w:firstLine="480" w:firstLineChars="200"/>
        <w:textAlignment w:val="auto"/>
        <w:rPr>
          <w:rFonts w:hint="eastAsia" w:asciiTheme="minorEastAsia" w:hAnsiTheme="minorEastAsia" w:eastAsiaTheme="minorEastAsia" w:cstheme="minorEastAsia"/>
          <w:b w:val="0"/>
          <w:bCs w:val="0"/>
          <w:color w:val="000000"/>
          <w:kern w:val="0"/>
          <w:sz w:val="24"/>
          <w:szCs w:val="24"/>
          <w:lang w:val="en-US" w:eastAsia="zh-CN" w:bidi="ar-SA"/>
        </w:rPr>
      </w:pPr>
      <w:r>
        <w:rPr>
          <w:rFonts w:hint="eastAsia" w:asciiTheme="minorEastAsia" w:hAnsiTheme="minorEastAsia" w:eastAsiaTheme="minorEastAsia" w:cstheme="minorEastAsia"/>
          <w:b w:val="0"/>
          <w:bCs w:val="0"/>
          <w:color w:val="000000"/>
          <w:kern w:val="0"/>
          <w:sz w:val="24"/>
          <w:szCs w:val="24"/>
          <w:lang w:val="en-US" w:eastAsia="zh-CN" w:bidi="ar-SA"/>
        </w:rPr>
        <w:t>困难生就业帮扶措施</w:t>
      </w:r>
    </w:p>
    <w:p>
      <w:pPr>
        <w:pStyle w:val="2"/>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eastAsia" w:asciiTheme="minorEastAsia" w:hAnsiTheme="minorEastAsia" w:eastAsiaTheme="minorEastAsia" w:cstheme="minorEastAsia"/>
          <w:b w:val="0"/>
          <w:bCs w:val="0"/>
          <w:color w:val="000000"/>
          <w:kern w:val="0"/>
          <w:sz w:val="24"/>
          <w:szCs w:val="24"/>
          <w:lang w:val="en-US" w:eastAsia="zh-CN" w:bidi="ar-SA"/>
        </w:rPr>
      </w:pPr>
      <w:r>
        <w:rPr>
          <w:rFonts w:hint="eastAsia" w:asciiTheme="minorEastAsia" w:hAnsiTheme="minorEastAsia" w:eastAsiaTheme="minorEastAsia" w:cstheme="minorEastAsia"/>
          <w:b w:val="0"/>
          <w:bCs w:val="0"/>
          <w:color w:val="000000"/>
          <w:kern w:val="0"/>
          <w:sz w:val="24"/>
          <w:szCs w:val="24"/>
          <w:lang w:val="en-US" w:eastAsia="zh-CN" w:bidi="ar-SA"/>
        </w:rPr>
        <w:t>第一，建立帮扶工作台账，按照“一人一档”“一人一策”精准开展就业帮扶工作。进一步健全帮扶责任制，重点关注脱贫家庭、低保家庭、零就业家庭、残疾等困难高校毕业生。院领导班子成员、系主任、专任教师、辅导员等要与困难学生开展“一对一”结对帮扶，对每一位困难毕业生，至少要开展3次谈心谈话、推荐3个有效岗位、组织其参与3次就业促进活动，确保每一个困难学生都得到有效帮助。在前期摸底的基础上，进一步夯实结对帮扶责任，细化工作措施，通过切实有效的办法，帮助困难群体毕业生解决求职过程中的实际困难。</w:t>
      </w:r>
    </w:p>
    <w:p>
      <w:pPr>
        <w:pStyle w:val="2"/>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eastAsia" w:asciiTheme="minorEastAsia" w:hAnsiTheme="minorEastAsia" w:eastAsiaTheme="minorEastAsia" w:cstheme="minorEastAsia"/>
          <w:b w:val="0"/>
          <w:bCs w:val="0"/>
          <w:color w:val="000000"/>
          <w:kern w:val="0"/>
          <w:sz w:val="24"/>
          <w:szCs w:val="24"/>
          <w:lang w:val="en-US" w:eastAsia="zh-CN" w:bidi="ar-SA"/>
        </w:rPr>
      </w:pPr>
      <w:r>
        <w:rPr>
          <w:rFonts w:hint="eastAsia" w:asciiTheme="minorEastAsia" w:hAnsiTheme="minorEastAsia" w:eastAsiaTheme="minorEastAsia" w:cstheme="minorEastAsia"/>
          <w:b w:val="0"/>
          <w:bCs w:val="0"/>
          <w:color w:val="000000"/>
          <w:kern w:val="0"/>
          <w:sz w:val="24"/>
          <w:szCs w:val="24"/>
          <w:lang w:val="en-US" w:eastAsia="zh-CN" w:bidi="ar-SA"/>
        </w:rPr>
        <w:t>第二，大力加强困难生求职创业补贴政策宣传，精心做好求职创业补贴申请的服务工作，多种途径、广泛开展就业送岗活动。抓紧求职招聘的关键阶段，通过组织校园专场招聘，优先推荐岗位，对招聘单位的需求信息要以电话、微信、短信、 QQ等方式通知困难生。</w:t>
      </w:r>
    </w:p>
    <w:p>
      <w:pPr>
        <w:pStyle w:val="2"/>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eastAsia" w:asciiTheme="minorEastAsia" w:hAnsiTheme="minorEastAsia" w:eastAsiaTheme="minorEastAsia" w:cstheme="minorEastAsia"/>
          <w:b w:val="0"/>
          <w:bCs w:val="0"/>
          <w:color w:val="000000"/>
          <w:kern w:val="0"/>
          <w:sz w:val="24"/>
          <w:szCs w:val="24"/>
          <w:lang w:val="en-US" w:eastAsia="zh-CN" w:bidi="ar-SA"/>
        </w:rPr>
      </w:pPr>
      <w:r>
        <w:rPr>
          <w:rFonts w:hint="eastAsia" w:asciiTheme="minorEastAsia" w:hAnsiTheme="minorEastAsia" w:eastAsiaTheme="minorEastAsia" w:cstheme="minorEastAsia"/>
          <w:b w:val="0"/>
          <w:bCs w:val="0"/>
          <w:color w:val="000000"/>
          <w:kern w:val="0"/>
          <w:sz w:val="24"/>
          <w:szCs w:val="24"/>
          <w:lang w:val="en-US" w:eastAsia="zh-CN" w:bidi="ar-SA"/>
        </w:rPr>
        <w:t>第三，积极向用人单位推荐困难生，举办面向困难生的专场招聘会，给他们创造更多的就业机会，第一次推荐没有成功的，要进行多次推荐，直至最终确保困难生全部就业。</w:t>
      </w:r>
    </w:p>
    <w:p>
      <w:pPr>
        <w:pStyle w:val="2"/>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eastAsia" w:asciiTheme="minorEastAsia" w:hAnsiTheme="minorEastAsia" w:eastAsiaTheme="minorEastAsia" w:cstheme="minorEastAsia"/>
          <w:b w:val="0"/>
          <w:bCs w:val="0"/>
          <w:color w:val="000000"/>
          <w:kern w:val="0"/>
          <w:sz w:val="24"/>
          <w:szCs w:val="24"/>
          <w:lang w:val="en-US" w:eastAsia="zh-CN" w:bidi="ar-SA"/>
        </w:rPr>
      </w:pPr>
      <w:r>
        <w:rPr>
          <w:rFonts w:hint="eastAsia" w:asciiTheme="minorEastAsia" w:hAnsiTheme="minorEastAsia" w:eastAsiaTheme="minorEastAsia" w:cstheme="minorEastAsia"/>
          <w:b w:val="0"/>
          <w:bCs w:val="0"/>
          <w:color w:val="000000"/>
          <w:kern w:val="0"/>
          <w:sz w:val="24"/>
          <w:szCs w:val="24"/>
          <w:lang w:val="en-US" w:eastAsia="zh-CN" w:bidi="ar-SA"/>
        </w:rPr>
        <w:t>第四，发挥专任教师和创新创业、就业指导老师的优势，为困难群体毕业生开展“一对一”“一对多”的就业创业咨询以及专业方面的咨询服务，联合学校心理健康教育咨询中心，不断完善就业援助和心理咨询，有意识地帮助困难家庭毕业生努力提升自身综合素质，增强自身就业竞争力。</w:t>
      </w:r>
    </w:p>
    <w:p>
      <w:pPr>
        <w:pStyle w:val="2"/>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eastAsia" w:asciiTheme="minorEastAsia" w:hAnsiTheme="minorEastAsia" w:eastAsiaTheme="minorEastAsia" w:cstheme="minorEastAsia"/>
          <w:b w:val="0"/>
          <w:bCs w:val="0"/>
          <w:color w:val="000000"/>
          <w:kern w:val="0"/>
          <w:sz w:val="24"/>
          <w:szCs w:val="24"/>
          <w:lang w:val="en-US" w:eastAsia="zh-CN" w:bidi="ar-SA"/>
        </w:rPr>
      </w:pPr>
      <w:r>
        <w:rPr>
          <w:rFonts w:hint="eastAsia" w:asciiTheme="minorEastAsia" w:hAnsiTheme="minorEastAsia" w:eastAsiaTheme="minorEastAsia" w:cstheme="minorEastAsia"/>
          <w:b w:val="0"/>
          <w:bCs w:val="0"/>
          <w:color w:val="000000"/>
          <w:kern w:val="0"/>
          <w:sz w:val="24"/>
          <w:szCs w:val="24"/>
          <w:lang w:val="en-US" w:eastAsia="zh-CN" w:bidi="ar-SA"/>
        </w:rPr>
        <w:t>第五，动态监测就业进展。对困难群体毕业生建立动态监测数据库，实时掌握毕业生就业进程中的每一个细节，确保有就业意愿的“建档立卡”毕业生100%就业，对于其他各类困难群体毕业生加大资助力度，做好毕业后“离校不离心、服务不断线”相关工作。</w:t>
      </w:r>
    </w:p>
    <w:p>
      <w:pPr>
        <w:keepNext w:val="0"/>
        <w:keepLines w:val="0"/>
        <w:pageBreakBefore w:val="0"/>
        <w:widowControl w:val="0"/>
        <w:numPr>
          <w:ilvl w:val="0"/>
          <w:numId w:val="18"/>
        </w:numPr>
        <w:kinsoku/>
        <w:wordWrap/>
        <w:overflowPunct/>
        <w:topLinePunct w:val="0"/>
        <w:autoSpaceDE/>
        <w:autoSpaceDN/>
        <w:bidi w:val="0"/>
        <w:adjustRightInd/>
        <w:snapToGrid/>
        <w:ind w:firstLine="480" w:firstLineChars="200"/>
        <w:textAlignment w:val="auto"/>
        <w:rPr>
          <w:rFonts w:hint="eastAsia" w:asciiTheme="minorEastAsia" w:hAnsiTheme="minorEastAsia" w:eastAsiaTheme="minorEastAsia" w:cstheme="minorEastAsia"/>
          <w:b w:val="0"/>
          <w:bCs w:val="0"/>
          <w:color w:val="000000"/>
          <w:kern w:val="0"/>
          <w:sz w:val="24"/>
          <w:szCs w:val="24"/>
          <w:lang w:val="en-US" w:eastAsia="zh-CN" w:bidi="ar-SA"/>
        </w:rPr>
      </w:pPr>
      <w:r>
        <w:rPr>
          <w:rFonts w:hint="eastAsia" w:asciiTheme="minorEastAsia" w:hAnsiTheme="minorEastAsia" w:eastAsiaTheme="minorEastAsia" w:cstheme="minorEastAsia"/>
          <w:b w:val="0"/>
          <w:bCs w:val="0"/>
          <w:color w:val="000000"/>
          <w:kern w:val="0"/>
          <w:sz w:val="24"/>
          <w:szCs w:val="24"/>
          <w:lang w:val="en-US" w:eastAsia="zh-CN" w:bidi="ar-SA"/>
        </w:rPr>
        <w:t>困难生就业帮扶成效</w:t>
      </w:r>
    </w:p>
    <w:p>
      <w:pPr>
        <w:spacing w:line="360" w:lineRule="auto"/>
        <w:ind w:firstLine="480" w:firstLineChars="200"/>
        <w:rPr>
          <w:rFonts w:hint="eastAsia" w:asciiTheme="minorEastAsia" w:hAnsiTheme="minorEastAsia" w:eastAsiaTheme="minorEastAsia" w:cstheme="minorEastAsia"/>
          <w:b w:val="0"/>
          <w:bCs w:val="0"/>
          <w:color w:val="000000"/>
          <w:kern w:val="0"/>
          <w:sz w:val="24"/>
          <w:szCs w:val="24"/>
          <w:lang w:val="en-US" w:eastAsia="zh-CN" w:bidi="ar-SA"/>
        </w:rPr>
      </w:pPr>
      <w:r>
        <w:rPr>
          <w:rFonts w:hint="eastAsia" w:asciiTheme="minorEastAsia" w:hAnsiTheme="minorEastAsia" w:eastAsiaTheme="minorEastAsia" w:cstheme="minorEastAsia"/>
          <w:b w:val="0"/>
          <w:bCs w:val="0"/>
          <w:color w:val="000000"/>
          <w:kern w:val="0"/>
          <w:sz w:val="24"/>
          <w:szCs w:val="24"/>
          <w:lang w:val="en-US" w:eastAsia="zh-CN" w:bidi="ar-SA"/>
        </w:rPr>
        <w:t>2022年共帮扶9名困难生就业，帮扶对象就业率达百分百。在帮扶就业工作中学院领导老师思想上高度重视，第一时间开展困难学生就业帮扶自查工作，全力完成就业帮扶工作目标任务。想方设法提供学生所需岗位资源，同时也抓住就业黄金时期，统筹做好各项工作发现问题立即整改，以高度的政治责任感圆满完成困难学生就业帮扶工作任务，确保每一名应届困难高校毕业生在就业路上“不掉队”。学院根据自身实际，主动担当、积极作为，积极响应学校相关工作布署，培育就业创业内生动力，有助于推动就业创业工作取得长期成效。</w:t>
      </w:r>
    </w:p>
    <w:p>
      <w:pPr>
        <w:pStyle w:val="2"/>
        <w:keepNext w:val="0"/>
        <w:keepLines w:val="0"/>
        <w:pageBreakBefore w:val="0"/>
        <w:widowControl w:val="0"/>
        <w:kinsoku/>
        <w:wordWrap/>
        <w:overflowPunct/>
        <w:topLinePunct w:val="0"/>
        <w:autoSpaceDE/>
        <w:autoSpaceDN/>
        <w:bidi w:val="0"/>
        <w:adjustRightInd/>
        <w:snapToGrid/>
        <w:spacing w:line="360" w:lineRule="auto"/>
        <w:ind w:left="0" w:firstLine="482" w:firstLineChars="200"/>
        <w:textAlignment w:val="auto"/>
        <w:rPr>
          <w:rFonts w:hint="eastAsia" w:asciiTheme="minorEastAsia" w:hAnsiTheme="minorEastAsia" w:eastAsiaTheme="minorEastAsia" w:cstheme="minorEastAsia"/>
          <w:b w:val="0"/>
          <w:bCs w:val="0"/>
          <w:color w:val="000000"/>
          <w:kern w:val="0"/>
          <w:sz w:val="24"/>
          <w:szCs w:val="24"/>
          <w:lang w:val="en-US" w:eastAsia="zh-CN" w:bidi="ar-SA"/>
        </w:rPr>
      </w:pPr>
      <w:r>
        <w:rPr>
          <w:rFonts w:hint="eastAsia" w:asciiTheme="minorEastAsia" w:hAnsiTheme="minorEastAsia" w:eastAsiaTheme="minorEastAsia" w:cstheme="minorEastAsia"/>
          <w:b/>
          <w:bCs/>
          <w:color w:val="000000"/>
          <w:kern w:val="0"/>
          <w:sz w:val="24"/>
          <w:szCs w:val="24"/>
          <w:lang w:val="en-US" w:eastAsia="zh-CN" w:bidi="ar-SA"/>
        </w:rPr>
        <w:t>例一：</w:t>
      </w:r>
      <w:r>
        <w:rPr>
          <w:rFonts w:hint="eastAsia" w:asciiTheme="minorEastAsia" w:hAnsiTheme="minorEastAsia" w:eastAsiaTheme="minorEastAsia" w:cstheme="minorEastAsia"/>
          <w:b w:val="0"/>
          <w:bCs w:val="0"/>
          <w:color w:val="000000"/>
          <w:kern w:val="0"/>
          <w:sz w:val="24"/>
          <w:szCs w:val="24"/>
          <w:lang w:val="en-US" w:eastAsia="zh-CN" w:bidi="ar-SA"/>
        </w:rPr>
        <w:t>兰龙州，18旅游管理班毕业生，父亲去世，家庭经济条件困难为低保户家庭，该生考公务员、事业单位意愿较强，一直不愿找工作。学院郑嬗婷副院长和辅导员戴路老师多次找兰龙州谈心谈话，帮他认清了找工作和考试并不冲突，先后提供合肥世纪金源大饭店、合肥君悦酒店、合肥众悦汇鑫酒店管理有限公司、金地物业集团合肥分公司面试机会。后在公务员考试中，兰龙州报考国家税务局笔试排名考前，学院领导了解政审和体检情况，鼓励其放松心态继续努力。兰龙州最终成功录取柳州市税务局公务员岗位。</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Theme="minorEastAsia" w:hAnsiTheme="minorEastAsia" w:eastAsiaTheme="minorEastAsia" w:cstheme="minorEastAsia"/>
          <w:b w:val="0"/>
          <w:bCs w:val="0"/>
          <w:color w:val="000000"/>
          <w:kern w:val="0"/>
          <w:sz w:val="24"/>
          <w:szCs w:val="24"/>
          <w:lang w:val="en-US" w:eastAsia="zh-CN" w:bidi="ar-SA"/>
        </w:rPr>
      </w:pPr>
      <w:r>
        <w:rPr>
          <w:rFonts w:hint="eastAsia" w:asciiTheme="minorEastAsia" w:hAnsiTheme="minorEastAsia" w:eastAsiaTheme="minorEastAsia" w:cstheme="minorEastAsia"/>
          <w:b/>
          <w:bCs/>
          <w:color w:val="000000"/>
          <w:kern w:val="0"/>
          <w:sz w:val="24"/>
          <w:szCs w:val="24"/>
          <w:lang w:val="en-US" w:eastAsia="zh-CN" w:bidi="ar-SA"/>
        </w:rPr>
        <w:t>例二：</w:t>
      </w:r>
      <w:r>
        <w:rPr>
          <w:rFonts w:hint="eastAsia" w:asciiTheme="minorEastAsia" w:hAnsiTheme="minorEastAsia" w:eastAsiaTheme="minorEastAsia" w:cstheme="minorEastAsia"/>
          <w:b w:val="0"/>
          <w:bCs w:val="0"/>
          <w:color w:val="000000"/>
          <w:kern w:val="0"/>
          <w:sz w:val="24"/>
          <w:szCs w:val="24"/>
          <w:lang w:val="en-US" w:eastAsia="zh-CN" w:bidi="ar-SA"/>
        </w:rPr>
        <w:t>苏嵩期，18旅游管理班毕业生，海南藉学生，该生一直想在海南找到一份称心如意的旅游业工作，毕业之前一直没有找到，学习之余他在拼多多开办了一家网店，接单制作定制画面的手机保护壳、水杯等，结果经营情况也是惨淡。学院郑嬗婷副院长和辅导员戴路老师多次联系苏嵩期，帮其调整就业心态，积极参与信息服务业岗位的竞聘，最终于2022年9月在海南腾讯青鸟找到一份信息类工作。</w:t>
      </w:r>
    </w:p>
    <w:p>
      <w:pPr>
        <w:pStyle w:val="2"/>
        <w:keepNext w:val="0"/>
        <w:keepLines w:val="0"/>
        <w:pageBreakBefore w:val="0"/>
        <w:widowControl w:val="0"/>
        <w:kinsoku/>
        <w:wordWrap/>
        <w:overflowPunct/>
        <w:topLinePunct w:val="0"/>
        <w:autoSpaceDE/>
        <w:autoSpaceDN/>
        <w:bidi w:val="0"/>
        <w:adjustRightInd/>
        <w:snapToGrid/>
        <w:spacing w:line="360" w:lineRule="auto"/>
        <w:ind w:left="0" w:firstLine="482" w:firstLineChars="200"/>
        <w:textAlignment w:val="auto"/>
        <w:rPr>
          <w:rFonts w:hint="eastAsia" w:asciiTheme="minorEastAsia" w:hAnsiTheme="minorEastAsia" w:eastAsiaTheme="minorEastAsia" w:cstheme="minorEastAsia"/>
          <w:b w:val="0"/>
          <w:bCs w:val="0"/>
          <w:color w:val="000000"/>
          <w:kern w:val="0"/>
          <w:sz w:val="24"/>
          <w:szCs w:val="24"/>
          <w:lang w:val="en-US" w:eastAsia="zh-CN" w:bidi="ar-SA"/>
        </w:rPr>
      </w:pPr>
      <w:r>
        <w:rPr>
          <w:rFonts w:hint="eastAsia" w:asciiTheme="minorEastAsia" w:hAnsiTheme="minorEastAsia" w:eastAsiaTheme="minorEastAsia" w:cstheme="minorEastAsia"/>
          <w:b/>
          <w:bCs/>
          <w:color w:val="000000"/>
          <w:kern w:val="0"/>
          <w:sz w:val="24"/>
          <w:szCs w:val="24"/>
          <w:lang w:val="en-US" w:eastAsia="zh-CN" w:bidi="ar-SA"/>
        </w:rPr>
        <w:t>例三：</w:t>
      </w:r>
      <w:r>
        <w:rPr>
          <w:rFonts w:hint="eastAsia" w:asciiTheme="minorEastAsia" w:hAnsiTheme="minorEastAsia" w:eastAsiaTheme="minorEastAsia" w:cstheme="minorEastAsia"/>
          <w:b w:val="0"/>
          <w:bCs w:val="0"/>
          <w:color w:val="000000"/>
          <w:kern w:val="0"/>
          <w:sz w:val="24"/>
          <w:szCs w:val="24"/>
          <w:lang w:val="en-US" w:eastAsia="zh-CN" w:bidi="ar-SA"/>
        </w:rPr>
        <w:t>张磊，18旅游管理班毕业生，家庭经济条件困难为前建档立卡家庭，该生就业意愿一直较强，也积极参与校园招聘会，但面试多家企业均未能成功。学院黄雄英书记和辅导员戴路老师多次找张磊谈心谈话，提供各种建议、疫情期间在校封闭时面试技巧与求职心理辅导。结合张磊本人兴趣和能力，把找工作目标明确为合肥本土营销类、餐饮类岗位，先后推荐张磊到合肥君悦酒店、同庆楼集团富茂酒店、万科物业集团合肥分公司、荣事达电器集团面试。经过师生共同努力，张磊顺利在荣事达电器集团找到工作，现外派在中山市荣电公司工作。</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2" w:firstLineChars="200"/>
        <w:textAlignment w:val="auto"/>
        <w:rPr>
          <w:rFonts w:hint="default"/>
          <w:lang w:val="en-US" w:eastAsia="zh-CN"/>
        </w:rPr>
      </w:pPr>
      <w:r>
        <w:rPr>
          <w:rFonts w:hint="eastAsia" w:asciiTheme="minorEastAsia" w:hAnsiTheme="minorEastAsia" w:eastAsiaTheme="minorEastAsia" w:cstheme="minorEastAsia"/>
          <w:b/>
          <w:bCs/>
          <w:color w:val="000000"/>
          <w:kern w:val="0"/>
          <w:sz w:val="24"/>
          <w:szCs w:val="24"/>
          <w:lang w:val="en-US" w:eastAsia="zh-CN" w:bidi="ar-SA"/>
        </w:rPr>
        <w:t>例四：</w:t>
      </w:r>
      <w:r>
        <w:rPr>
          <w:rFonts w:hint="eastAsia" w:asciiTheme="minorEastAsia" w:hAnsiTheme="minorEastAsia" w:eastAsiaTheme="minorEastAsia" w:cstheme="minorEastAsia"/>
          <w:b w:val="0"/>
          <w:bCs w:val="0"/>
          <w:color w:val="000000"/>
          <w:kern w:val="0"/>
          <w:sz w:val="24"/>
          <w:szCs w:val="24"/>
          <w:highlight w:val="none"/>
          <w:lang w:val="en-US" w:eastAsia="zh-CN" w:bidi="ar-SA"/>
        </w:rPr>
        <w:t>徐祖欣，18人文地理与城乡规划毕业生，原建档立卡家庭，</w:t>
      </w:r>
      <w:r>
        <w:rPr>
          <w:rFonts w:hint="eastAsia" w:ascii="宋体" w:hAnsi="宋体" w:eastAsia="宋体" w:cs="宋体"/>
          <w:sz w:val="24"/>
          <w:szCs w:val="32"/>
          <w:highlight w:val="none"/>
          <w:lang w:val="en-US" w:eastAsia="zh-CN"/>
        </w:rPr>
        <w:t>临近毕</w:t>
      </w:r>
      <w:r>
        <w:rPr>
          <w:rFonts w:hint="eastAsia" w:ascii="宋体" w:hAnsi="宋体" w:eastAsia="宋体" w:cs="宋体"/>
          <w:sz w:val="24"/>
          <w:szCs w:val="32"/>
          <w:lang w:val="en-US" w:eastAsia="zh-CN"/>
        </w:rPr>
        <w:t>业，第一次要走上社会，心中胆怯、迷茫；父母都是农民，能提供的信息很有限。蔡老师作为辅导员不仅在课上教授就业知识，课下也经常找她谈心，鼓励她不要气馁，询问就业进展；会主动为毕业生修改简历、纠正毕业生错误的就业观；遇到问题第一时间帮学生想解决方法。蔡老师不仅是良师、更是益友。徐祖欣说：“蔡老师会针对我们个人的就业需求，有选择性的提供就业信息；会根据个人家庭情况分析就业困境；作为原建档立卡的家庭，我们就业也比其他人困难，比起其他同学能很快找到心仪的岗位，我们让蔡老师操心不少。得知我有考公的意愿时，蔡老师先是鼓励我，向我提供考公的信息，而后也和我说了考公和就业的关系，让我做好两手准备。时至今日，我都已成功找到工作，蔡老师也会经常打电话询问工作情况。在此非常感谢蔡老师的帮助！”</w:t>
      </w:r>
    </w:p>
    <w:p>
      <w:pPr>
        <w:keepNext w:val="0"/>
        <w:keepLines w:val="0"/>
        <w:pageBreakBefore w:val="0"/>
        <w:widowControl w:val="0"/>
        <w:numPr>
          <w:ilvl w:val="0"/>
          <w:numId w:val="16"/>
        </w:numPr>
        <w:kinsoku/>
        <w:wordWrap/>
        <w:overflowPunct/>
        <w:topLinePunct w:val="0"/>
        <w:autoSpaceDE/>
        <w:autoSpaceDN/>
        <w:bidi w:val="0"/>
        <w:adjustRightInd/>
        <w:snapToGrid/>
        <w:spacing w:before="157" w:beforeLines="50" w:after="157" w:afterLines="50" w:line="360" w:lineRule="auto"/>
        <w:ind w:firstLine="482" w:firstLineChars="200"/>
        <w:jc w:val="left"/>
        <w:textAlignment w:val="auto"/>
        <w:rPr>
          <w:rFonts w:hint="eastAsia" w:ascii="宋体" w:hAnsi="宋体"/>
          <w:b/>
          <w:sz w:val="24"/>
          <w:szCs w:val="24"/>
          <w:highlight w:val="none"/>
          <w:lang w:val="en-US" w:eastAsia="zh-CN"/>
        </w:rPr>
      </w:pPr>
      <w:r>
        <w:rPr>
          <w:rFonts w:hint="eastAsia" w:ascii="宋体" w:hAnsi="宋体"/>
          <w:b/>
          <w:sz w:val="24"/>
          <w:szCs w:val="24"/>
          <w:highlight w:val="none"/>
          <w:lang w:val="en-US" w:eastAsia="zh-CN"/>
        </w:rPr>
        <w:t>旅游与会展学院各专业毕业生跟踪调查情况</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cs="Times New Roman"/>
          <w:color w:val="000000"/>
          <w:sz w:val="24"/>
          <w:szCs w:val="24"/>
        </w:rPr>
      </w:pPr>
      <w:r>
        <w:rPr>
          <w:rFonts w:hint="eastAsia" w:ascii="宋体" w:hAnsi="宋体" w:cs="Times New Roman"/>
          <w:color w:val="000000"/>
          <w:sz w:val="24"/>
          <w:szCs w:val="24"/>
          <w:lang w:val="en-US" w:eastAsia="zh-CN"/>
        </w:rPr>
        <w:t>为了对2022届毕业生离校后就业状况和用人单位对毕业生综合能力评价进行了深入的了解，进一步提升毕业生就业创业指导与服务水平，我院通过调查问卷、电话、线上交流等形式2022届毕业生</w:t>
      </w:r>
      <w:r>
        <w:rPr>
          <w:rFonts w:hint="eastAsia" w:ascii="宋体" w:hAnsi="宋体" w:cs="Times New Roman"/>
          <w:color w:val="000000"/>
          <w:sz w:val="24"/>
          <w:szCs w:val="24"/>
        </w:rPr>
        <w:t>进行了就业跟踪调查。</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cs="Times New Roman"/>
          <w:color w:val="000000"/>
          <w:sz w:val="24"/>
          <w:szCs w:val="24"/>
        </w:rPr>
      </w:pPr>
      <w:r>
        <w:rPr>
          <w:rFonts w:hint="eastAsia" w:ascii="宋体" w:hAnsi="宋体" w:cs="Times New Roman"/>
          <w:color w:val="000000"/>
          <w:sz w:val="24"/>
          <w:szCs w:val="24"/>
        </w:rPr>
        <w:t>通过此次跟踪调查</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了解学院毕业生的就业动态</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毕业生对学院就业工作的意见得到及时反馈；了解用人单位对学院毕业生的思想品德、专业知识、业务能力和工作业绩等方面的总体评价和要求。不断地尝试和探索新型调查模式</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逐步建立动态、实时的毕业生信息反馈渠道和用人评价指标</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加快学院就业改革步伐</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提高办学水平和教学质量。</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cs="Times New Roman"/>
          <w:color w:val="000000"/>
          <w:sz w:val="24"/>
          <w:szCs w:val="24"/>
          <w:lang w:val="en-US" w:eastAsia="zh-CN"/>
        </w:rPr>
      </w:pPr>
      <w:r>
        <w:rPr>
          <w:rFonts w:hint="eastAsia" w:ascii="宋体" w:hAnsi="宋体" w:cs="Times New Roman"/>
          <w:color w:val="000000"/>
          <w:sz w:val="24"/>
          <w:szCs w:val="24"/>
          <w:lang w:val="en-US" w:eastAsia="zh-CN"/>
        </w:rPr>
        <w:t>一、毕业生所在单位对我院学生的评价</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cs="Times New Roman"/>
          <w:color w:val="000000"/>
          <w:sz w:val="24"/>
          <w:szCs w:val="24"/>
          <w:lang w:val="en-US" w:eastAsia="zh-CN"/>
        </w:rPr>
      </w:pPr>
      <w:r>
        <w:rPr>
          <w:rFonts w:hint="eastAsia" w:ascii="宋体" w:hAnsi="宋体" w:cs="Times New Roman"/>
          <w:color w:val="000000"/>
          <w:sz w:val="24"/>
          <w:szCs w:val="24"/>
          <w:lang w:val="en-US" w:eastAsia="zh-CN"/>
        </w:rPr>
        <w:t>通过调查回访，</w:t>
      </w:r>
      <w:r>
        <w:rPr>
          <w:rFonts w:hint="eastAsia" w:ascii="宋体" w:hAnsi="宋体" w:cs="Times New Roman"/>
          <w:color w:val="000000"/>
          <w:sz w:val="24"/>
          <w:szCs w:val="24"/>
        </w:rPr>
        <w:t>就业单位对</w:t>
      </w:r>
      <w:r>
        <w:rPr>
          <w:rFonts w:hint="eastAsia" w:ascii="宋体" w:hAnsi="宋体" w:cs="Times New Roman"/>
          <w:color w:val="000000"/>
          <w:sz w:val="24"/>
          <w:szCs w:val="24"/>
          <w:lang w:val="en-US" w:eastAsia="zh-CN"/>
        </w:rPr>
        <w:t>我院</w:t>
      </w:r>
      <w:r>
        <w:rPr>
          <w:rFonts w:hint="eastAsia" w:ascii="宋体" w:hAnsi="宋体" w:cs="Times New Roman"/>
          <w:color w:val="000000"/>
          <w:sz w:val="24"/>
          <w:szCs w:val="24"/>
        </w:rPr>
        <w:t>毕业生的总体评价是工作态度端正</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具有较强的吃苦耐劳、勤奋务实的精神；知识面宽</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上手快</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并具有较强的创新精神。特别是在基层岗位上</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一致认为我院毕业生在工作中都较为称职</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表现出较高的职业素养</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以及对他们的工作技能和素质给予较高评价。对人才培养模式的建议上</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用人单位建议提高学生的人际沟通、组织管理等能力</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提升综合素质</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进一步加强技能培训</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更好适应岗位要求。</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cs="Times New Roman"/>
          <w:color w:val="000000"/>
          <w:sz w:val="24"/>
          <w:szCs w:val="24"/>
          <w:lang w:val="en-US" w:eastAsia="zh-CN"/>
        </w:rPr>
      </w:pPr>
      <w:r>
        <w:rPr>
          <w:rFonts w:hint="eastAsia" w:ascii="宋体" w:hAnsi="宋体" w:cs="Times New Roman"/>
          <w:color w:val="000000"/>
          <w:sz w:val="24"/>
          <w:szCs w:val="24"/>
          <w:lang w:val="en-US" w:eastAsia="zh-CN"/>
        </w:rPr>
        <w:t>二、毕业生对学校就业工作的评价</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cs="Times New Roman"/>
          <w:color w:val="000000"/>
          <w:sz w:val="24"/>
          <w:szCs w:val="24"/>
          <w:lang w:val="en-US" w:eastAsia="zh-CN"/>
        </w:rPr>
      </w:pPr>
      <w:r>
        <w:rPr>
          <w:rFonts w:hint="eastAsia" w:ascii="宋体" w:hAnsi="宋体" w:cs="Times New Roman"/>
          <w:color w:val="000000"/>
          <w:sz w:val="24"/>
          <w:szCs w:val="24"/>
          <w:lang w:val="en-US" w:eastAsia="zh-CN"/>
        </w:rPr>
        <w:t>关于毕业生对学校提供的就业服务及就业活动安排满意度调查时，大多数毕业生表示满意或比较满意。今后，我们在开展毕业生就业与服务指导方面作进一步努力，使我们的就业指导与服务工作更上一个台阶。毕业生对就业工作的意见或建议方面，许多毕业生都建议学校邀请优秀校友、企业家、企业HR进校进行职业生涯规划和就业指导方面的分享，帮助毕业生答疑解惑，就求职过程中诸如简历制作、面试技巧等关键问题进行帮助指导，为毕业生提供就业过程中面临的就业焦虑情绪等心理问题疏导工作，详细解答专业与企业岗位匹配程度及正确看待个人专业等问题。</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default" w:ascii="宋体" w:hAnsi="宋体" w:cs="Times New Roman"/>
          <w:color w:val="000000"/>
          <w:sz w:val="24"/>
          <w:szCs w:val="24"/>
          <w:lang w:val="en-US" w:eastAsia="zh-CN"/>
        </w:rPr>
      </w:pPr>
      <w:r>
        <w:rPr>
          <w:rFonts w:hint="eastAsia" w:ascii="宋体" w:hAnsi="宋体" w:cs="Times New Roman"/>
          <w:color w:val="000000"/>
          <w:sz w:val="24"/>
          <w:szCs w:val="24"/>
          <w:lang w:val="en-US" w:eastAsia="zh-CN"/>
        </w:rPr>
        <w:t>三、调查结论</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default" w:ascii="宋体" w:hAnsi="宋体" w:cs="Times New Roman"/>
          <w:color w:val="000000"/>
          <w:sz w:val="24"/>
          <w:szCs w:val="24"/>
          <w:lang w:val="en-US" w:eastAsia="zh-CN"/>
        </w:rPr>
      </w:pPr>
      <w:r>
        <w:rPr>
          <w:rFonts w:hint="eastAsia" w:ascii="宋体" w:hAnsi="宋体" w:cs="Times New Roman"/>
          <w:color w:val="000000"/>
          <w:sz w:val="24"/>
          <w:szCs w:val="24"/>
          <w:lang w:val="en-US" w:eastAsia="zh-CN"/>
        </w:rPr>
        <w:t>2022届毕业生希望教育教学应“课程设置和教学内容适应社会需求”和“强化专业实践教学环节”的占比相对较高，其次为“加强学生专业基础知识和技能的培养”。</w:t>
      </w:r>
      <w:r>
        <w:rPr>
          <w:rFonts w:hint="eastAsia" w:ascii="宋体" w:hAnsi="宋体" w:cs="Times New Roman"/>
          <w:color w:val="000000"/>
          <w:sz w:val="24"/>
          <w:szCs w:val="24"/>
        </w:rPr>
        <w:t>学院需要加强学生责任意识和学生创新能力的培养。应加强学生所学理论在工作实践中灵活运用的能力</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加大实践教学环节的力度。在未来教学工作中应培养适应市场需求的毕业生</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注重其应用能力的培养和锻炼。引导学生树立正确的择业观</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客观地进行自我评价</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增强他们的心理素质和在人才市场上的竞争力</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培养出适应社会需求的合格人才。</w:t>
      </w:r>
    </w:p>
    <w:p>
      <w:pPr>
        <w:keepNext w:val="0"/>
        <w:keepLines w:val="0"/>
        <w:pageBreakBefore w:val="0"/>
        <w:widowControl w:val="0"/>
        <w:numPr>
          <w:ilvl w:val="0"/>
          <w:numId w:val="16"/>
        </w:numPr>
        <w:kinsoku/>
        <w:wordWrap/>
        <w:overflowPunct/>
        <w:topLinePunct w:val="0"/>
        <w:autoSpaceDE/>
        <w:autoSpaceDN/>
        <w:bidi w:val="0"/>
        <w:adjustRightInd/>
        <w:snapToGrid/>
        <w:spacing w:before="157" w:beforeLines="50" w:after="157" w:afterLines="50" w:line="360" w:lineRule="auto"/>
        <w:ind w:firstLine="482" w:firstLineChars="200"/>
        <w:jc w:val="left"/>
        <w:textAlignment w:val="auto"/>
        <w:rPr>
          <w:rFonts w:hint="eastAsia" w:ascii="宋体" w:hAnsi="宋体"/>
          <w:b/>
          <w:sz w:val="24"/>
          <w:szCs w:val="24"/>
          <w:lang w:val="en-US" w:eastAsia="zh-CN"/>
        </w:rPr>
      </w:pPr>
      <w:r>
        <w:rPr>
          <w:rFonts w:hint="eastAsia" w:ascii="宋体" w:hAnsi="宋体"/>
          <w:b/>
          <w:sz w:val="24"/>
          <w:szCs w:val="24"/>
          <w:lang w:val="en-US" w:eastAsia="zh-CN"/>
        </w:rPr>
        <w:t> 旅游与会展学院毕业生基层就业情况和案例</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default" w:ascii="宋体" w:hAnsi="宋体" w:cs="Times New Roman"/>
          <w:color w:val="000000"/>
          <w:sz w:val="24"/>
          <w:szCs w:val="24"/>
          <w:lang w:val="en-US" w:eastAsia="zh-CN"/>
        </w:rPr>
      </w:pPr>
      <w:r>
        <w:rPr>
          <w:rFonts w:hint="eastAsia" w:ascii="宋体" w:hAnsi="宋体" w:cs="Times New Roman"/>
          <w:color w:val="000000"/>
          <w:sz w:val="24"/>
          <w:szCs w:val="24"/>
          <w:lang w:val="en-US" w:eastAsia="zh-CN"/>
        </w:rPr>
        <w:t>我院</w:t>
      </w:r>
      <w:r>
        <w:rPr>
          <w:rFonts w:hint="eastAsia" w:ascii="宋体" w:hAnsi="宋体" w:cs="Times New Roman"/>
          <w:color w:val="000000"/>
          <w:sz w:val="24"/>
          <w:szCs w:val="24"/>
        </w:rPr>
        <w:t>积极鼓励同学们到基层就业</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引导他们到国家和人民需要的位置上工作</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服务人民、锻炼才干。</w:t>
      </w:r>
      <w:r>
        <w:rPr>
          <w:rFonts w:hint="eastAsia" w:ascii="宋体" w:hAnsi="宋体" w:cs="Times New Roman"/>
          <w:color w:val="000000"/>
          <w:sz w:val="24"/>
          <w:szCs w:val="24"/>
          <w:lang w:val="en-US" w:eastAsia="zh-CN"/>
        </w:rPr>
        <w:t>2022届毕业生中参与基层服务项目共5人，其中考取选调生1人、新疆专招1人、拟参军入伍3人。</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jc w:val="both"/>
        <w:textAlignment w:val="auto"/>
        <w:rPr>
          <w:rFonts w:hint="eastAsia" w:ascii="宋体" w:hAnsi="宋体" w:eastAsia="宋体" w:cs="Times New Roman"/>
          <w:color w:val="000000"/>
          <w:sz w:val="24"/>
          <w:szCs w:val="24"/>
          <w:lang w:val="en-US" w:eastAsia="zh-CN"/>
        </w:rPr>
      </w:pPr>
      <w:r>
        <w:rPr>
          <w:rFonts w:hint="eastAsia" w:ascii="宋体" w:hAnsi="宋体" w:cs="Times New Roman"/>
          <w:b/>
          <w:bCs/>
          <w:color w:val="000000"/>
          <w:sz w:val="24"/>
          <w:szCs w:val="24"/>
          <w:lang w:val="en-US" w:eastAsia="zh-CN"/>
        </w:rPr>
        <w:t>例一：</w:t>
      </w:r>
      <w:r>
        <w:rPr>
          <w:rFonts w:hint="eastAsia" w:ascii="宋体" w:hAnsi="宋体" w:cs="Times New Roman"/>
          <w:color w:val="000000"/>
          <w:sz w:val="24"/>
          <w:szCs w:val="24"/>
          <w:lang w:val="en-US" w:eastAsia="zh-CN"/>
        </w:rPr>
        <w:t>王悟明，</w:t>
      </w:r>
      <w:r>
        <w:rPr>
          <w:rFonts w:hint="eastAsia" w:ascii="宋体" w:hAnsi="宋体" w:eastAsia="宋体" w:cs="Times New Roman"/>
          <w:color w:val="000000"/>
          <w:sz w:val="24"/>
          <w:szCs w:val="24"/>
          <w:lang w:val="en-US" w:eastAsia="zh-CN"/>
        </w:rPr>
        <w:t>旅游与会展学院人文地理与城乡规划专业</w:t>
      </w:r>
      <w:r>
        <w:rPr>
          <w:rFonts w:hint="eastAsia" w:ascii="宋体" w:hAnsi="宋体" w:cs="Times New Roman"/>
          <w:color w:val="000000"/>
          <w:sz w:val="24"/>
          <w:szCs w:val="24"/>
          <w:lang w:val="en-US" w:eastAsia="zh-CN"/>
        </w:rPr>
        <w:t>2022届毕业生</w:t>
      </w:r>
      <w:r>
        <w:rPr>
          <w:rFonts w:hint="eastAsia" w:ascii="宋体" w:hAnsi="宋体" w:eastAsia="宋体" w:cs="Times New Roman"/>
          <w:color w:val="000000"/>
          <w:sz w:val="24"/>
          <w:szCs w:val="24"/>
          <w:lang w:val="en-US" w:eastAsia="zh-CN"/>
        </w:rPr>
        <w:t>，</w:t>
      </w:r>
      <w:r>
        <w:rPr>
          <w:rFonts w:hint="eastAsia" w:ascii="宋体" w:hAnsi="宋体" w:cs="Times New Roman"/>
          <w:color w:val="000000"/>
          <w:sz w:val="24"/>
          <w:szCs w:val="24"/>
          <w:lang w:val="en-US" w:eastAsia="zh-CN"/>
        </w:rPr>
        <w:t>毕业前在校参加征兵入伍。</w:t>
      </w:r>
      <w:r>
        <w:rPr>
          <w:rFonts w:hint="eastAsia" w:ascii="宋体" w:hAnsi="宋体" w:eastAsia="宋体" w:cs="Times New Roman"/>
          <w:color w:val="000000"/>
          <w:sz w:val="24"/>
          <w:szCs w:val="24"/>
          <w:lang w:val="en-US" w:eastAsia="zh-CN"/>
        </w:rPr>
        <w:t>从大学入学以来，辅导员</w:t>
      </w:r>
      <w:r>
        <w:rPr>
          <w:rFonts w:hint="eastAsia" w:ascii="宋体" w:hAnsi="宋体" w:cs="Times New Roman"/>
          <w:color w:val="000000"/>
          <w:sz w:val="24"/>
          <w:szCs w:val="24"/>
          <w:lang w:val="en-US" w:eastAsia="zh-CN"/>
        </w:rPr>
        <w:t>蔡灵美老师经常性的召开主题班会</w:t>
      </w:r>
      <w:r>
        <w:rPr>
          <w:rFonts w:hint="eastAsia" w:ascii="宋体" w:hAnsi="宋体" w:eastAsia="宋体" w:cs="Times New Roman"/>
          <w:color w:val="000000"/>
          <w:sz w:val="24"/>
          <w:szCs w:val="24"/>
          <w:lang w:val="en-US" w:eastAsia="zh-CN"/>
        </w:rPr>
        <w:t>宣</w:t>
      </w:r>
      <w:r>
        <w:rPr>
          <w:rFonts w:hint="eastAsia" w:ascii="宋体" w:hAnsi="宋体" w:cs="Times New Roman"/>
          <w:color w:val="000000"/>
          <w:sz w:val="24"/>
          <w:szCs w:val="24"/>
          <w:lang w:val="en-US" w:eastAsia="zh-CN"/>
        </w:rPr>
        <w:t>讲征兵</w:t>
      </w:r>
      <w:r>
        <w:rPr>
          <w:rFonts w:hint="eastAsia" w:ascii="宋体" w:hAnsi="宋体" w:eastAsia="宋体" w:cs="Times New Roman"/>
          <w:color w:val="000000"/>
          <w:sz w:val="24"/>
          <w:szCs w:val="24"/>
          <w:lang w:val="en-US" w:eastAsia="zh-CN"/>
        </w:rPr>
        <w:t>政策，介绍</w:t>
      </w:r>
      <w:r>
        <w:rPr>
          <w:rFonts w:hint="eastAsia" w:ascii="宋体" w:hAnsi="宋体" w:cs="Times New Roman"/>
          <w:color w:val="000000"/>
          <w:sz w:val="24"/>
          <w:szCs w:val="24"/>
          <w:lang w:val="en-US" w:eastAsia="zh-CN"/>
        </w:rPr>
        <w:t>已经参军</w:t>
      </w:r>
      <w:r>
        <w:rPr>
          <w:rFonts w:hint="eastAsia" w:ascii="宋体" w:hAnsi="宋体" w:eastAsia="宋体" w:cs="Times New Roman"/>
          <w:color w:val="000000"/>
          <w:sz w:val="24"/>
          <w:szCs w:val="24"/>
          <w:lang w:val="en-US" w:eastAsia="zh-CN"/>
        </w:rPr>
        <w:t>的</w:t>
      </w:r>
      <w:r>
        <w:rPr>
          <w:rFonts w:hint="eastAsia" w:ascii="宋体" w:hAnsi="宋体" w:cs="Times New Roman"/>
          <w:color w:val="000000"/>
          <w:sz w:val="24"/>
          <w:szCs w:val="24"/>
          <w:lang w:val="en-US" w:eastAsia="zh-CN"/>
        </w:rPr>
        <w:t>往届学生</w:t>
      </w:r>
      <w:r>
        <w:rPr>
          <w:rFonts w:hint="eastAsia" w:ascii="宋体" w:hAnsi="宋体" w:eastAsia="宋体" w:cs="Times New Roman"/>
          <w:color w:val="000000"/>
          <w:sz w:val="24"/>
          <w:szCs w:val="24"/>
          <w:lang w:val="en-US" w:eastAsia="zh-CN"/>
        </w:rPr>
        <w:t>优秀事迹，激励</w:t>
      </w:r>
      <w:r>
        <w:rPr>
          <w:rFonts w:hint="eastAsia" w:ascii="宋体" w:hAnsi="宋体" w:cs="Times New Roman"/>
          <w:color w:val="000000"/>
          <w:sz w:val="24"/>
          <w:szCs w:val="24"/>
          <w:lang w:val="en-US" w:eastAsia="zh-CN"/>
        </w:rPr>
        <w:t>学生参军</w:t>
      </w:r>
      <w:r>
        <w:rPr>
          <w:rFonts w:hint="eastAsia" w:ascii="宋体" w:hAnsi="宋体" w:eastAsia="宋体" w:cs="Times New Roman"/>
          <w:color w:val="000000"/>
          <w:sz w:val="24"/>
          <w:szCs w:val="24"/>
          <w:lang w:val="en-US" w:eastAsia="zh-CN"/>
        </w:rPr>
        <w:t>报国</w:t>
      </w:r>
      <w:r>
        <w:rPr>
          <w:rFonts w:hint="eastAsia" w:ascii="宋体" w:hAnsi="宋体" w:cs="Times New Roman"/>
          <w:color w:val="000000"/>
          <w:sz w:val="24"/>
          <w:szCs w:val="24"/>
          <w:lang w:val="en-US" w:eastAsia="zh-CN"/>
        </w:rPr>
        <w:t>；</w:t>
      </w:r>
      <w:r>
        <w:rPr>
          <w:rFonts w:hint="eastAsia" w:ascii="宋体" w:hAnsi="宋体" w:eastAsia="宋体" w:cs="Times New Roman"/>
          <w:color w:val="000000"/>
          <w:sz w:val="24"/>
          <w:szCs w:val="24"/>
          <w:lang w:val="en-US" w:eastAsia="zh-CN"/>
        </w:rPr>
        <w:t>邀请退伍的</w:t>
      </w:r>
      <w:r>
        <w:rPr>
          <w:rFonts w:hint="eastAsia" w:ascii="宋体" w:hAnsi="宋体" w:cs="Times New Roman"/>
          <w:color w:val="000000"/>
          <w:sz w:val="24"/>
          <w:szCs w:val="24"/>
          <w:lang w:val="en-US" w:eastAsia="zh-CN"/>
        </w:rPr>
        <w:t>学生</w:t>
      </w:r>
      <w:r>
        <w:rPr>
          <w:rFonts w:hint="eastAsia" w:ascii="宋体" w:hAnsi="宋体" w:eastAsia="宋体" w:cs="Times New Roman"/>
          <w:color w:val="000000"/>
          <w:sz w:val="24"/>
          <w:szCs w:val="24"/>
          <w:lang w:val="en-US" w:eastAsia="zh-CN"/>
        </w:rPr>
        <w:t>做报告，详细介绍部队生活</w:t>
      </w:r>
      <w:r>
        <w:rPr>
          <w:rFonts w:hint="eastAsia" w:ascii="宋体" w:hAnsi="宋体" w:cs="Times New Roman"/>
          <w:color w:val="000000"/>
          <w:sz w:val="24"/>
          <w:szCs w:val="24"/>
          <w:lang w:val="en-US" w:eastAsia="zh-CN"/>
        </w:rPr>
        <w:t>。</w:t>
      </w:r>
      <w:r>
        <w:rPr>
          <w:rFonts w:hint="eastAsia" w:ascii="宋体" w:hAnsi="宋体" w:eastAsia="宋体" w:cs="Times New Roman"/>
          <w:color w:val="000000"/>
          <w:sz w:val="24"/>
          <w:szCs w:val="24"/>
          <w:lang w:val="en-US" w:eastAsia="zh-CN"/>
        </w:rPr>
        <w:t>大四时，</w:t>
      </w:r>
      <w:r>
        <w:rPr>
          <w:rFonts w:hint="eastAsia" w:ascii="宋体" w:hAnsi="宋体" w:cs="Times New Roman"/>
          <w:color w:val="000000"/>
          <w:sz w:val="24"/>
          <w:szCs w:val="24"/>
          <w:lang w:val="en-US" w:eastAsia="zh-CN"/>
        </w:rPr>
        <w:t>得知该生的入伍意愿后，</w:t>
      </w:r>
      <w:r>
        <w:rPr>
          <w:rFonts w:hint="eastAsia" w:ascii="宋体" w:hAnsi="宋体" w:eastAsia="宋体" w:cs="Times New Roman"/>
          <w:color w:val="000000"/>
          <w:sz w:val="24"/>
          <w:szCs w:val="24"/>
          <w:lang w:val="en-US" w:eastAsia="zh-CN"/>
        </w:rPr>
        <w:t>学校</w:t>
      </w:r>
      <w:r>
        <w:rPr>
          <w:rFonts w:hint="eastAsia" w:ascii="宋体" w:hAnsi="宋体" w:cs="Times New Roman"/>
          <w:color w:val="000000"/>
          <w:sz w:val="24"/>
          <w:szCs w:val="24"/>
          <w:lang w:val="en-US" w:eastAsia="zh-CN"/>
        </w:rPr>
        <w:t>和辅导员</w:t>
      </w:r>
      <w:r>
        <w:rPr>
          <w:rFonts w:hint="eastAsia" w:ascii="宋体" w:hAnsi="宋体" w:eastAsia="宋体" w:cs="Times New Roman"/>
          <w:color w:val="000000"/>
          <w:sz w:val="24"/>
          <w:szCs w:val="24"/>
          <w:lang w:val="en-US" w:eastAsia="zh-CN"/>
        </w:rPr>
        <w:t>积极协调各方</w:t>
      </w:r>
      <w:r>
        <w:rPr>
          <w:rFonts w:hint="eastAsia" w:ascii="宋体" w:hAnsi="宋体" w:cs="Times New Roman"/>
          <w:color w:val="000000"/>
          <w:sz w:val="24"/>
          <w:szCs w:val="24"/>
          <w:lang w:val="en-US" w:eastAsia="zh-CN"/>
        </w:rPr>
        <w:t>帮助学生完成入伍流程。</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cs="Times New Roman"/>
          <w:color w:val="000000"/>
          <w:sz w:val="24"/>
          <w:szCs w:val="24"/>
          <w:lang w:val="en-US" w:eastAsia="zh-CN"/>
        </w:rPr>
      </w:pPr>
      <w:r>
        <w:rPr>
          <w:rFonts w:hint="eastAsia" w:ascii="宋体" w:hAnsi="宋体" w:cs="Times New Roman"/>
          <w:color w:val="000000"/>
          <w:sz w:val="24"/>
          <w:szCs w:val="24"/>
          <w:lang w:val="en-US" w:eastAsia="zh-CN"/>
        </w:rPr>
        <w:t>王悟明说：“</w:t>
      </w:r>
      <w:r>
        <w:rPr>
          <w:rFonts w:hint="eastAsia" w:ascii="宋体" w:hAnsi="宋体" w:eastAsia="宋体" w:cs="Times New Roman"/>
          <w:color w:val="000000"/>
          <w:sz w:val="24"/>
          <w:szCs w:val="24"/>
          <w:lang w:val="en-US" w:eastAsia="zh-CN"/>
        </w:rPr>
        <w:t>从抗震抗洪，再到新冠疫情，都有解放军的身影，从军报国的种子也在我的心中慢慢生根发芽，同时，我也是一名党员，应该起到带头引领作用，因此，我决定参军。</w:t>
      </w:r>
      <w:r>
        <w:rPr>
          <w:rFonts w:hint="eastAsia" w:ascii="宋体" w:hAnsi="宋体" w:cs="Times New Roman"/>
          <w:color w:val="000000"/>
          <w:sz w:val="24"/>
          <w:szCs w:val="24"/>
          <w:lang w:val="en-US" w:eastAsia="zh-CN"/>
        </w:rPr>
        <w:t>”</w:t>
      </w:r>
    </w:p>
    <w:p>
      <w:pPr>
        <w:pStyle w:val="2"/>
        <w:keepNext w:val="0"/>
        <w:keepLines w:val="0"/>
        <w:pageBreakBefore w:val="0"/>
        <w:widowControl w:val="0"/>
        <w:kinsoku/>
        <w:wordWrap/>
        <w:overflowPunct/>
        <w:topLinePunct w:val="0"/>
        <w:autoSpaceDE/>
        <w:autoSpaceDN/>
        <w:bidi w:val="0"/>
        <w:adjustRightInd/>
        <w:snapToGrid/>
        <w:spacing w:line="360" w:lineRule="auto"/>
        <w:ind w:left="0"/>
        <w:jc w:val="center"/>
        <w:textAlignment w:val="auto"/>
        <w:rPr>
          <w:rFonts w:hint="eastAsia"/>
          <w:lang w:val="en-US" w:eastAsia="zh-CN"/>
        </w:rPr>
      </w:pPr>
      <w:r>
        <w:rPr>
          <w:rFonts w:hint="eastAsia"/>
          <w:lang w:val="en-US" w:eastAsia="zh-CN"/>
        </w:rPr>
        <w:drawing>
          <wp:inline distT="0" distB="0" distL="114300" distR="114300">
            <wp:extent cx="2491105" cy="2859405"/>
            <wp:effectExtent l="0" t="0" r="4445" b="7620"/>
            <wp:docPr id="43" name="图片 43" descr="QQ图片20221208093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QQ图片20221208093559"/>
                    <pic:cNvPicPr>
                      <a:picLocks noChangeAspect="1"/>
                    </pic:cNvPicPr>
                  </pic:nvPicPr>
                  <pic:blipFill>
                    <a:blip r:embed="rId122"/>
                    <a:stretch>
                      <a:fillRect/>
                    </a:stretch>
                  </pic:blipFill>
                  <pic:spPr>
                    <a:xfrm>
                      <a:off x="0" y="0"/>
                      <a:ext cx="2491105" cy="2859405"/>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jc w:val="both"/>
        <w:textAlignment w:val="auto"/>
        <w:rPr>
          <w:rFonts w:hint="eastAsia" w:ascii="宋体" w:hAnsi="宋体" w:eastAsia="宋体" w:cs="Times New Roman"/>
          <w:color w:val="000000"/>
          <w:sz w:val="24"/>
          <w:szCs w:val="24"/>
          <w:lang w:val="en-US" w:eastAsia="zh-CN"/>
        </w:rPr>
      </w:pPr>
      <w:r>
        <w:rPr>
          <w:rFonts w:hint="eastAsia" w:ascii="宋体" w:hAnsi="宋体" w:cs="Times New Roman"/>
          <w:b/>
          <w:bCs/>
          <w:color w:val="000000"/>
          <w:sz w:val="24"/>
          <w:szCs w:val="24"/>
          <w:lang w:val="en-US" w:eastAsia="zh-CN"/>
        </w:rPr>
        <w:t>例二：</w:t>
      </w:r>
      <w:r>
        <w:rPr>
          <w:rFonts w:hint="eastAsia" w:ascii="宋体" w:hAnsi="宋体" w:eastAsia="宋体" w:cs="Times New Roman"/>
          <w:color w:val="000000"/>
          <w:sz w:val="24"/>
          <w:szCs w:val="24"/>
          <w:lang w:val="en-US" w:eastAsia="zh-CN"/>
        </w:rPr>
        <w:t>刘凡铭，旅游与会展学院人文地理与城乡规划专业</w:t>
      </w:r>
      <w:r>
        <w:rPr>
          <w:rFonts w:hint="eastAsia" w:ascii="宋体" w:hAnsi="宋体" w:cs="Times New Roman"/>
          <w:color w:val="000000"/>
          <w:sz w:val="24"/>
          <w:szCs w:val="24"/>
          <w:lang w:val="en-US" w:eastAsia="zh-CN"/>
        </w:rPr>
        <w:t>2022届毕业生</w:t>
      </w:r>
      <w:r>
        <w:rPr>
          <w:rFonts w:hint="eastAsia" w:ascii="宋体" w:hAnsi="宋体" w:eastAsia="宋体" w:cs="Times New Roman"/>
          <w:color w:val="000000"/>
          <w:sz w:val="24"/>
          <w:szCs w:val="24"/>
          <w:lang w:val="en-US" w:eastAsia="zh-CN"/>
        </w:rPr>
        <w:t>，临近毕业之际，他突然收到了辅导员私发的来自新疆生产建设兵团第一师阿拉尔市面向安徽省各高校应届毕业生招录公务员的消息。了解具体后情况后，他按照辅导员给的信息提交了申请表。当辅导员收到申请表后，通过电话确认其个人意愿是否坚定，他的回答是：“蔡老师，我的意志非常坚定，在此之前我也一直在准备家乡的公务员考试，由于疫情延期了还没考。这次又多了这个机会，我想的很清楚了，我认为新疆也是一个非常需要人才输入的地方，不管是在哪贡献自己的力量，对于我个人来说都是非常有意义的，我也已经和父母沟通好了，他们很支持我的想法。”。最后在8月被成功录用为新疆生产建设兵团第一师阿拉尔市十六团新开岭镇基层公务员，现为新疆生产建设兵团第一师阿拉尔市十六团新开岭镇经济发展办公室干部。</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Times New Roman"/>
          <w:color w:val="000000"/>
          <w:sz w:val="24"/>
          <w:szCs w:val="24"/>
          <w:lang w:val="en-US" w:eastAsia="zh-CN"/>
        </w:rPr>
      </w:pPr>
      <w:r>
        <w:rPr>
          <w:rFonts w:hint="eastAsia" w:ascii="宋体" w:hAnsi="宋体" w:eastAsia="宋体" w:cs="Times New Roman"/>
          <w:color w:val="000000"/>
          <w:sz w:val="24"/>
          <w:szCs w:val="24"/>
          <w:lang w:val="en-US" w:eastAsia="zh-CN"/>
        </w:rPr>
        <w:t>进疆后的两个月，他是在党校进行了深度的理论学习，增强了意识，树牢了思想，坚定了信念。也进一步了解了新疆、了解了兵团。国庆收假后，他分配到了十六团新开岭镇经济发展办公室负责安全生产和应急管理的工作。在一个新环境中，他谦虚谨慎地向同事学习，只为快速转变工作角色，明确工作职责。在学习过程中，他明白了：“作为一个管安全的工作者必须要时刻保持严谨的态度，每一个细节都要抓实抓牢，切实保障好人民群众的生命财产安全。”</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640" w:firstLineChars="200"/>
        <w:jc w:val="both"/>
        <w:textAlignment w:val="auto"/>
        <w:rPr>
          <w:rFonts w:hint="eastAsia"/>
          <w:lang w:val="en-US" w:eastAsia="zh-CN"/>
        </w:rPr>
      </w:pPr>
      <w:r>
        <w:rPr>
          <w:rFonts w:hint="default" w:ascii="仿宋_GB2312" w:hAnsi="仿宋_GB2312" w:eastAsia="仿宋_GB2312" w:cs="仿宋_GB2312"/>
          <w:sz w:val="32"/>
          <w:szCs w:val="32"/>
          <w:lang w:val="en-US" w:eastAsia="zh-CN"/>
        </w:rPr>
        <w:drawing>
          <wp:anchor distT="0" distB="0" distL="114300" distR="114300" simplePos="0" relativeHeight="251664384" behindDoc="0" locked="0" layoutInCell="1" allowOverlap="1">
            <wp:simplePos x="0" y="0"/>
            <wp:positionH relativeFrom="column">
              <wp:posOffset>297180</wp:posOffset>
            </wp:positionH>
            <wp:positionV relativeFrom="paragraph">
              <wp:posOffset>702945</wp:posOffset>
            </wp:positionV>
            <wp:extent cx="4679950" cy="3623945"/>
            <wp:effectExtent l="0" t="0" r="6350" b="5080"/>
            <wp:wrapTopAndBottom/>
            <wp:docPr id="44" name="图片 44" descr="mmexport1670474290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mmexport1670474290076"/>
                    <pic:cNvPicPr>
                      <a:picLocks noChangeAspect="1"/>
                    </pic:cNvPicPr>
                  </pic:nvPicPr>
                  <pic:blipFill>
                    <a:blip r:embed="rId123"/>
                    <a:stretch>
                      <a:fillRect/>
                    </a:stretch>
                  </pic:blipFill>
                  <pic:spPr>
                    <a:xfrm>
                      <a:off x="0" y="0"/>
                      <a:ext cx="4679950" cy="3623945"/>
                    </a:xfrm>
                    <a:prstGeom prst="rect">
                      <a:avLst/>
                    </a:prstGeom>
                  </pic:spPr>
                </pic:pic>
              </a:graphicData>
            </a:graphic>
          </wp:anchor>
        </w:drawing>
      </w:r>
      <w:r>
        <w:rPr>
          <w:rFonts w:hint="eastAsia" w:ascii="宋体" w:hAnsi="宋体" w:eastAsia="宋体" w:cs="Times New Roman"/>
          <w:color w:val="000000"/>
          <w:sz w:val="24"/>
          <w:szCs w:val="24"/>
          <w:lang w:val="en-US" w:eastAsia="zh-CN"/>
        </w:rPr>
        <w:t>现在，他还在不断地熟悉工作内容，积累工作经验。只为进一步提高自己的业务水平，更好地服务人民群众。</w:t>
      </w:r>
    </w:p>
    <w:p>
      <w:pPr>
        <w:keepNext w:val="0"/>
        <w:keepLines w:val="0"/>
        <w:pageBreakBefore w:val="0"/>
        <w:widowControl w:val="0"/>
        <w:numPr>
          <w:ilvl w:val="0"/>
          <w:numId w:val="16"/>
        </w:numPr>
        <w:kinsoku/>
        <w:wordWrap/>
        <w:overflowPunct/>
        <w:topLinePunct w:val="0"/>
        <w:autoSpaceDE/>
        <w:autoSpaceDN/>
        <w:bidi w:val="0"/>
        <w:adjustRightInd/>
        <w:snapToGrid/>
        <w:spacing w:before="313" w:beforeLines="100" w:after="157" w:afterLines="50" w:line="360" w:lineRule="auto"/>
        <w:ind w:firstLine="482" w:firstLineChars="200"/>
        <w:jc w:val="left"/>
        <w:textAlignment w:val="auto"/>
        <w:rPr>
          <w:rFonts w:hint="eastAsia" w:ascii="宋体" w:hAnsi="宋体"/>
          <w:b/>
          <w:sz w:val="24"/>
          <w:szCs w:val="24"/>
          <w:highlight w:val="none"/>
          <w:lang w:val="en-US" w:eastAsia="zh-CN"/>
        </w:rPr>
      </w:pPr>
      <w:r>
        <w:rPr>
          <w:rFonts w:hint="eastAsia" w:ascii="宋体" w:hAnsi="宋体"/>
          <w:b/>
          <w:sz w:val="24"/>
          <w:szCs w:val="24"/>
          <w:highlight w:val="none"/>
          <w:lang w:val="en-US" w:eastAsia="zh-CN"/>
        </w:rPr>
        <w:t>旅游与会展学院创业情况及典型案例</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cs="Times New Roman"/>
          <w:color w:val="000000"/>
          <w:sz w:val="24"/>
          <w:szCs w:val="24"/>
          <w:lang w:eastAsia="zh-CN"/>
        </w:rPr>
      </w:pPr>
      <w:r>
        <w:rPr>
          <w:rFonts w:hint="eastAsia" w:ascii="宋体" w:hAnsi="宋体" w:cs="Times New Roman"/>
          <w:color w:val="000000"/>
          <w:sz w:val="24"/>
          <w:szCs w:val="24"/>
        </w:rPr>
        <w:t>大学生创业是大学生将书本知识与实践能力相结合的最直接的方式之一，也是大学生运用书本知识、解决实际问题的能力表现。旅游与会展学院紧密围绕学院“地方性、应用型、国际化”的办学定位</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继续秉承“一切为了学生</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为了学生一切</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为了一切学生”的教学理念</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努力实现就业指导与服务工作全过程、全方位、全员化。领导和老师十分重视我院学生的创业工作，不仅利用就业指导课</w:t>
      </w:r>
      <w:r>
        <w:rPr>
          <w:rFonts w:hint="eastAsia" w:ascii="宋体" w:hAnsi="宋体" w:cs="Times New Roman"/>
          <w:color w:val="000000"/>
          <w:sz w:val="24"/>
          <w:szCs w:val="24"/>
          <w:lang w:val="en-US" w:eastAsia="zh-CN"/>
        </w:rPr>
        <w:t>和创业基础课</w:t>
      </w:r>
      <w:r>
        <w:rPr>
          <w:rFonts w:hint="eastAsia" w:ascii="宋体" w:hAnsi="宋体" w:cs="Times New Roman"/>
          <w:color w:val="000000"/>
          <w:sz w:val="24"/>
          <w:szCs w:val="24"/>
        </w:rPr>
        <w:t>教授学生有关创业的基本知识、增强学生的创业意识，还鼓励有条件、有想法的学生亲自动手锻炼，培养自身的创业实践能力。在我院促进学生就业创业的工作中</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积极开展了就业指导会、就业见习、寒暑假社会实践、挂职锻炼等丰富多彩的活动</w:t>
      </w:r>
      <w:r>
        <w:rPr>
          <w:rFonts w:hint="eastAsia" w:ascii="宋体" w:hAnsi="宋体" w:cs="Times New Roman"/>
          <w:color w:val="000000"/>
          <w:sz w:val="24"/>
          <w:szCs w:val="24"/>
          <w:lang w:eastAsia="zh-CN"/>
        </w:rPr>
        <w:t>，</w:t>
      </w:r>
      <w:r>
        <w:rPr>
          <w:rFonts w:hint="eastAsia" w:ascii="宋体" w:hAnsi="宋体" w:cs="Times New Roman"/>
          <w:color w:val="000000"/>
          <w:sz w:val="24"/>
          <w:szCs w:val="24"/>
        </w:rPr>
        <w:t>还积极组织同学们参加模拟招聘会、对话企业家系列活动等。我院积极参与“挑战杯”以及其他各项高水平科技赛事</w:t>
      </w:r>
      <w:r>
        <w:rPr>
          <w:rFonts w:hint="eastAsia" w:ascii="宋体" w:hAnsi="宋体" w:cs="Times New Roman"/>
          <w:color w:val="000000"/>
          <w:sz w:val="24"/>
          <w:szCs w:val="24"/>
          <w:lang w:eastAsia="zh-CN"/>
        </w:rPr>
        <w:t>。</w:t>
      </w:r>
    </w:p>
    <w:p>
      <w:pPr>
        <w:pStyle w:val="2"/>
        <w:keepNext w:val="0"/>
        <w:keepLines w:val="0"/>
        <w:pageBreakBefore w:val="0"/>
        <w:widowControl w:val="0"/>
        <w:kinsoku/>
        <w:wordWrap/>
        <w:overflowPunct/>
        <w:topLinePunct w:val="0"/>
        <w:autoSpaceDE/>
        <w:autoSpaceDN/>
        <w:bidi w:val="0"/>
        <w:adjustRightInd/>
        <w:snapToGrid/>
        <w:spacing w:line="360" w:lineRule="auto"/>
        <w:ind w:left="0" w:firstLine="482" w:firstLineChars="200"/>
        <w:textAlignment w:val="auto"/>
      </w:pPr>
      <w:r>
        <w:rPr>
          <w:rFonts w:hint="eastAsia" w:ascii="宋体" w:hAnsi="宋体" w:eastAsia="宋体" w:cs="Times New Roman"/>
          <w:b/>
          <w:bCs/>
          <w:color w:val="000000"/>
          <w:kern w:val="2"/>
          <w:sz w:val="24"/>
          <w:szCs w:val="24"/>
          <w:lang w:val="en-US" w:eastAsia="zh-CN" w:bidi="ar-SA"/>
        </w:rPr>
        <w:t>创业案例：</w:t>
      </w:r>
      <w:r>
        <w:rPr>
          <w:rFonts w:hint="eastAsia" w:ascii="宋体" w:hAnsi="宋体" w:eastAsia="宋体" w:cs="Times New Roman"/>
          <w:b w:val="0"/>
          <w:bCs w:val="0"/>
          <w:color w:val="000000"/>
          <w:kern w:val="2"/>
          <w:sz w:val="24"/>
          <w:szCs w:val="24"/>
          <w:lang w:val="en-US" w:eastAsia="zh-CN" w:bidi="ar-SA"/>
        </w:rPr>
        <w:t>李逵，11届旅游管理毕业生，与2018年创办安徽皖椒农业科技有限公司。公司专注辣椒种子科研,生产,加工,销售以及售后技术指导于一体。“民为本,种先行”，公司始终坚持科研为基础,站在新起点,抓住新机遇,开辟新品牌。以奉献开拓的精神,砥砺前行。致力保证每一粒种子的质量,保障毎一位合作商的效益,保证广大种植者的利益。在实现共赢,多赢的前提下,为继续建设绿色辣椒事业而奋斗不已。公司期望、欢迎种子界同仁,携手进步,其创辉煌。</w:t>
      </w:r>
    </w:p>
    <w:sectPr>
      <w:headerReference r:id="rId12" w:type="first"/>
      <w:footerReference r:id="rId15" w:type="first"/>
      <w:headerReference r:id="rId10" w:type="default"/>
      <w:footerReference r:id="rId13" w:type="default"/>
      <w:headerReference r:id="rId11" w:type="even"/>
      <w:footerReference r:id="rId14" w:type="even"/>
      <w:pgSz w:w="11906" w:h="16838"/>
      <w:pgMar w:top="1440" w:right="1800" w:bottom="1440" w:left="1800" w:header="851" w:footer="992" w:gutter="0"/>
      <w:pgNumType w:fmt="numberInDash" w:start="1"/>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Microsoft JhengHei">
    <w:panose1 w:val="020B0604030504040204"/>
    <w:charset w:val="88"/>
    <w:family w:val="swiss"/>
    <w:pitch w:val="default"/>
    <w:sig w:usb0="000002A7" w:usb1="28CF4400" w:usb2="00000016" w:usb3="00000000" w:csb0="00100009" w:csb1="00000000"/>
  </w:font>
  <w:font w:name="Cambria">
    <w:panose1 w:val="02040503050406030204"/>
    <w:charset w:val="00"/>
    <w:family w:val="roman"/>
    <w:pitch w:val="default"/>
    <w:sig w:usb0="E00006FF" w:usb1="420024FF" w:usb2="02000000" w:usb3="00000000" w:csb0="2000019F" w:csb1="00000000"/>
  </w:font>
  <w:font w:name="楷体_GB2312">
    <w:altName w:val="楷体"/>
    <w:panose1 w:val="00000000000000000000"/>
    <w:charset w:val="86"/>
    <w:family w:val="auto"/>
    <w:pitch w:val="default"/>
    <w:sig w:usb0="00000000" w:usb1="00000000" w:usb2="00000000" w:usb3="00000000" w:csb0="00040000" w:csb1="00000000"/>
  </w:font>
  <w:font w:name="华文仿宋">
    <w:panose1 w:val="02010600040101010101"/>
    <w:charset w:val="86"/>
    <w:family w:val="auto"/>
    <w:pitch w:val="default"/>
    <w:sig w:usb0="00000287" w:usb1="080F0000" w:usb2="00000000" w:usb3="00000000" w:csb0="0004009F" w:csb1="DFD70000"/>
  </w:font>
  <w:font w:name="仿宋_GB2312">
    <w:altName w:val="仿宋"/>
    <w:panose1 w:val="00000000000000000000"/>
    <w:charset w:val="86"/>
    <w:family w:val="auto"/>
    <w:pitch w:val="default"/>
    <w:sig w:usb0="00000000" w:usb1="00000000" w:usb2="00000000" w:usb3="00000000" w:csb0="00040000" w:csb1="00000000"/>
  </w:font>
  <w:font w:name="仿宋">
    <w:panose1 w:val="02010609060101010101"/>
    <w:charset w:val="86"/>
    <w:family w:val="modern"/>
    <w:pitch w:val="default"/>
    <w:sig w:usb0="800002BF" w:usb1="38CF7CFA" w:usb2="00000016" w:usb3="00000000" w:csb0="00040001" w:csb1="00000000"/>
  </w:font>
  <w:font w:name="微软雅黑">
    <w:panose1 w:val="020B0503020204020204"/>
    <w:charset w:val="86"/>
    <w:family w:val="auto"/>
    <w:pitch w:val="default"/>
    <w:sig w:usb0="80000287" w:usb1="2ACF3C50" w:usb2="00000016" w:usb3="00000000" w:csb0="0004001F" w:csb1="00000000"/>
  </w:font>
  <w:font w:name="等线">
    <w:panose1 w:val="02010600030101010101"/>
    <w:charset w:val="86"/>
    <w:family w:val="auto"/>
    <w:pitch w:val="default"/>
    <w:sig w:usb0="A00002BF" w:usb1="38CF7CFA" w:usb2="00000016" w:usb3="00000000" w:csb0="0004000F"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jc w:val="right"/>
      <w:rPr>
        <w:caps/>
        <w:color w:val="4F81BD" w:themeColor="accent1"/>
        <w:sz w:val="24"/>
        <w:szCs w:val="24"/>
        <w14:textFill>
          <w14:solidFill>
            <w14:schemeClr w14:val="accent1"/>
          </w14:solidFill>
        </w14:textFill>
      </w:rPr>
    </w:pPr>
    <w:r>
      <w:rPr>
        <w:caps/>
        <w:color w:val="4F81BD" w:themeColor="accent1"/>
        <w:sz w:val="24"/>
        <w:szCs w:val="24"/>
        <w14:textFill>
          <w14:solidFill>
            <w14:schemeClr w14:val="accent1"/>
          </w14:solidFill>
        </w14:textFill>
      </w:rPr>
      <w:fldChar w:fldCharType="begin"/>
    </w:r>
    <w:r>
      <w:rPr>
        <w:caps/>
        <w:color w:val="4F81BD" w:themeColor="accent1"/>
        <w:sz w:val="24"/>
        <w:szCs w:val="24"/>
        <w14:textFill>
          <w14:solidFill>
            <w14:schemeClr w14:val="accent1"/>
          </w14:solidFill>
        </w14:textFill>
      </w:rPr>
      <w:instrText xml:space="preserve"> PAGE  \* ArabicDash  \* MERGEFORMAT </w:instrText>
    </w:r>
    <w:r>
      <w:rPr>
        <w:caps/>
        <w:color w:val="4F81BD" w:themeColor="accent1"/>
        <w:sz w:val="24"/>
        <w:szCs w:val="24"/>
        <w14:textFill>
          <w14:solidFill>
            <w14:schemeClr w14:val="accent1"/>
          </w14:solidFill>
        </w14:textFill>
      </w:rPr>
      <w:fldChar w:fldCharType="separate"/>
    </w:r>
    <w:r>
      <w:rPr>
        <w:caps/>
        <w:color w:val="4F81BD" w:themeColor="accent1"/>
        <w:sz w:val="24"/>
        <w:szCs w:val="24"/>
        <w14:textFill>
          <w14:solidFill>
            <w14:schemeClr w14:val="accent1"/>
          </w14:solidFill>
        </w14:textFill>
      </w:rPr>
      <w:t>- 3 -</w:t>
    </w:r>
    <w:r>
      <w:rPr>
        <w:caps/>
        <w:color w:val="4F81BD" w:themeColor="accent1"/>
        <w:sz w:val="24"/>
        <w:szCs w:val="24"/>
        <w14:textFill>
          <w14:solidFill>
            <w14:schemeClr w14:val="accent1"/>
          </w14:solidFill>
        </w14:textFill>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rPr>
        <w:caps/>
        <w:color w:val="4F81BD" w:themeColor="accent1"/>
        <w:sz w:val="24"/>
        <w:szCs w:val="24"/>
        <w14:textFill>
          <w14:solidFill>
            <w14:schemeClr w14:val="accent1"/>
          </w14:solidFill>
        </w14:textFill>
      </w:rPr>
    </w:pPr>
    <w:r>
      <w:rPr>
        <w:caps/>
        <w:color w:val="4F81BD" w:themeColor="accent1"/>
        <w:sz w:val="24"/>
        <w:szCs w:val="24"/>
        <w14:textFill>
          <w14:solidFill>
            <w14:schemeClr w14:val="accent1"/>
          </w14:solidFill>
        </w14:textFill>
      </w:rPr>
      <w:fldChar w:fldCharType="begin"/>
    </w:r>
    <w:r>
      <w:rPr>
        <w:caps/>
        <w:color w:val="4F81BD" w:themeColor="accent1"/>
        <w:sz w:val="24"/>
        <w:szCs w:val="24"/>
        <w14:textFill>
          <w14:solidFill>
            <w14:schemeClr w14:val="accent1"/>
          </w14:solidFill>
        </w14:textFill>
      </w:rPr>
      <w:instrText xml:space="preserve">PAGE   \* MERGEFORMAT</w:instrText>
    </w:r>
    <w:r>
      <w:rPr>
        <w:caps/>
        <w:color w:val="4F81BD" w:themeColor="accent1"/>
        <w:sz w:val="24"/>
        <w:szCs w:val="24"/>
        <w14:textFill>
          <w14:solidFill>
            <w14:schemeClr w14:val="accent1"/>
          </w14:solidFill>
        </w14:textFill>
      </w:rPr>
      <w:fldChar w:fldCharType="separate"/>
    </w:r>
    <w:r>
      <w:rPr>
        <w:caps/>
        <w:color w:val="4F81BD" w:themeColor="accent1"/>
        <w:sz w:val="24"/>
        <w:szCs w:val="24"/>
        <w:lang w:val="zh-CN"/>
        <w14:textFill>
          <w14:solidFill>
            <w14:schemeClr w14:val="accent1"/>
          </w14:solidFill>
        </w14:textFill>
      </w:rPr>
      <w:t>2</w:t>
    </w:r>
    <w:r>
      <w:rPr>
        <w:caps/>
        <w:color w:val="4F81BD" w:themeColor="accent1"/>
        <w:sz w:val="24"/>
        <w:szCs w:val="24"/>
        <w14:textFill>
          <w14:solidFill>
            <w14:schemeClr w14:val="accent1"/>
          </w14:solidFill>
        </w14:textFill>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2">
    <w:p>
      <w:r>
        <w:separator/>
      </w:r>
    </w:p>
  </w:footnote>
  <w:footnote w:type="continuationSeparator" w:id="3">
    <w:p>
      <w:r>
        <w:continuationSeparator/>
      </w:r>
    </w:p>
  </w:footnote>
  <w:footnote w:id="0">
    <w:p>
      <w:pPr>
        <w:pStyle w:val="10"/>
        <w:snapToGrid w:val="0"/>
        <w:rPr>
          <w:rFonts w:hint="default" w:eastAsia="宋体"/>
          <w:lang w:val="en-US" w:eastAsia="zh-CN"/>
        </w:rPr>
      </w:pPr>
      <w:r>
        <w:rPr>
          <w:rStyle w:val="20"/>
        </w:rPr>
        <w:footnoteRef/>
      </w:r>
      <w:r>
        <w:t xml:space="preserve"> </w:t>
      </w:r>
      <w:r>
        <w:rPr>
          <w:rFonts w:hint="eastAsia"/>
          <w:lang w:val="en-US" w:eastAsia="zh-CN"/>
        </w:rPr>
        <w:t>实际就业：指签订就业协议或合同，或考取公务员、事业单位等非考研入伍等情况。</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304E6C7"/>
    <w:multiLevelType w:val="singleLevel"/>
    <w:tmpl w:val="9304E6C7"/>
    <w:lvl w:ilvl="0" w:tentative="0">
      <w:start w:val="1"/>
      <w:numFmt w:val="decimal"/>
      <w:suff w:val="nothing"/>
      <w:lvlText w:val="（%1）"/>
      <w:lvlJc w:val="left"/>
    </w:lvl>
  </w:abstractNum>
  <w:abstractNum w:abstractNumId="1">
    <w:nsid w:val="A441B706"/>
    <w:multiLevelType w:val="singleLevel"/>
    <w:tmpl w:val="A441B706"/>
    <w:lvl w:ilvl="0" w:tentative="0">
      <w:start w:val="1"/>
      <w:numFmt w:val="decimal"/>
      <w:suff w:val="nothing"/>
      <w:lvlText w:val="%1、"/>
      <w:lvlJc w:val="left"/>
    </w:lvl>
  </w:abstractNum>
  <w:abstractNum w:abstractNumId="2">
    <w:nsid w:val="C659321D"/>
    <w:multiLevelType w:val="singleLevel"/>
    <w:tmpl w:val="C659321D"/>
    <w:lvl w:ilvl="0" w:tentative="0">
      <w:start w:val="2"/>
      <w:numFmt w:val="chineseCounting"/>
      <w:suff w:val="space"/>
      <w:lvlText w:val="第%1部分"/>
      <w:lvlJc w:val="left"/>
      <w:rPr>
        <w:rFonts w:hint="eastAsia"/>
      </w:rPr>
    </w:lvl>
  </w:abstractNum>
  <w:abstractNum w:abstractNumId="3">
    <w:nsid w:val="C86CFB2A"/>
    <w:multiLevelType w:val="singleLevel"/>
    <w:tmpl w:val="C86CFB2A"/>
    <w:lvl w:ilvl="0" w:tentative="0">
      <w:start w:val="3"/>
      <w:numFmt w:val="chineseCounting"/>
      <w:suff w:val="nothing"/>
      <w:lvlText w:val="（%1）"/>
      <w:lvlJc w:val="left"/>
      <w:rPr>
        <w:rFonts w:hint="eastAsia"/>
      </w:rPr>
    </w:lvl>
  </w:abstractNum>
  <w:abstractNum w:abstractNumId="4">
    <w:nsid w:val="D16213D8"/>
    <w:multiLevelType w:val="singleLevel"/>
    <w:tmpl w:val="D16213D8"/>
    <w:lvl w:ilvl="0" w:tentative="0">
      <w:start w:val="1"/>
      <w:numFmt w:val="chineseCounting"/>
      <w:suff w:val="nothing"/>
      <w:lvlText w:val="%1、"/>
      <w:lvlJc w:val="left"/>
      <w:rPr>
        <w:rFonts w:hint="eastAsia"/>
      </w:rPr>
    </w:lvl>
  </w:abstractNum>
  <w:abstractNum w:abstractNumId="5">
    <w:nsid w:val="DA41EFAC"/>
    <w:multiLevelType w:val="singleLevel"/>
    <w:tmpl w:val="DA41EFAC"/>
    <w:lvl w:ilvl="0" w:tentative="0">
      <w:start w:val="1"/>
      <w:numFmt w:val="chineseCounting"/>
      <w:suff w:val="nothing"/>
      <w:lvlText w:val="%1、"/>
      <w:lvlJc w:val="left"/>
      <w:rPr>
        <w:rFonts w:hint="eastAsia"/>
      </w:rPr>
    </w:lvl>
  </w:abstractNum>
  <w:abstractNum w:abstractNumId="6">
    <w:nsid w:val="DF6B2144"/>
    <w:multiLevelType w:val="singleLevel"/>
    <w:tmpl w:val="DF6B2144"/>
    <w:lvl w:ilvl="0" w:tentative="0">
      <w:start w:val="3"/>
      <w:numFmt w:val="chineseCounting"/>
      <w:suff w:val="nothing"/>
      <w:lvlText w:val="%1、"/>
      <w:lvlJc w:val="left"/>
      <w:rPr>
        <w:rFonts w:hint="eastAsia"/>
      </w:rPr>
    </w:lvl>
  </w:abstractNum>
  <w:abstractNum w:abstractNumId="7">
    <w:nsid w:val="E399CBD7"/>
    <w:multiLevelType w:val="singleLevel"/>
    <w:tmpl w:val="E399CBD7"/>
    <w:lvl w:ilvl="0" w:tentative="0">
      <w:start w:val="1"/>
      <w:numFmt w:val="decimalEnclosedCircleChinese"/>
      <w:suff w:val="space"/>
      <w:lvlText w:val="%1"/>
      <w:lvlJc w:val="left"/>
      <w:rPr>
        <w:rFonts w:hint="eastAsia"/>
      </w:rPr>
    </w:lvl>
  </w:abstractNum>
  <w:abstractNum w:abstractNumId="8">
    <w:nsid w:val="2668FB7B"/>
    <w:multiLevelType w:val="singleLevel"/>
    <w:tmpl w:val="2668FB7B"/>
    <w:lvl w:ilvl="0" w:tentative="0">
      <w:start w:val="1"/>
      <w:numFmt w:val="decimal"/>
      <w:suff w:val="nothing"/>
      <w:lvlText w:val="（%1）"/>
      <w:lvlJc w:val="left"/>
    </w:lvl>
  </w:abstractNum>
  <w:abstractNum w:abstractNumId="9">
    <w:nsid w:val="2B90A90F"/>
    <w:multiLevelType w:val="singleLevel"/>
    <w:tmpl w:val="2B90A90F"/>
    <w:lvl w:ilvl="0" w:tentative="0">
      <w:start w:val="1"/>
      <w:numFmt w:val="chineseCounting"/>
      <w:suff w:val="nothing"/>
      <w:lvlText w:val="%1、"/>
      <w:lvlJc w:val="left"/>
      <w:rPr>
        <w:rFonts w:hint="eastAsia"/>
      </w:rPr>
    </w:lvl>
  </w:abstractNum>
  <w:abstractNum w:abstractNumId="10">
    <w:nsid w:val="30896A7C"/>
    <w:multiLevelType w:val="singleLevel"/>
    <w:tmpl w:val="30896A7C"/>
    <w:lvl w:ilvl="0" w:tentative="0">
      <w:start w:val="1"/>
      <w:numFmt w:val="chineseCounting"/>
      <w:suff w:val="nothing"/>
      <w:lvlText w:val="%1、"/>
      <w:lvlJc w:val="left"/>
      <w:rPr>
        <w:rFonts w:hint="eastAsia"/>
      </w:rPr>
    </w:lvl>
  </w:abstractNum>
  <w:abstractNum w:abstractNumId="11">
    <w:nsid w:val="58255521"/>
    <w:multiLevelType w:val="singleLevel"/>
    <w:tmpl w:val="58255521"/>
    <w:lvl w:ilvl="0" w:tentative="0">
      <w:start w:val="1"/>
      <w:numFmt w:val="decimal"/>
      <w:suff w:val="nothing"/>
      <w:lvlText w:val="%1."/>
      <w:lvlJc w:val="left"/>
    </w:lvl>
  </w:abstractNum>
  <w:abstractNum w:abstractNumId="12">
    <w:nsid w:val="5829166D"/>
    <w:multiLevelType w:val="singleLevel"/>
    <w:tmpl w:val="5829166D"/>
    <w:lvl w:ilvl="0" w:tentative="0">
      <w:start w:val="2"/>
      <w:numFmt w:val="chineseCounting"/>
      <w:suff w:val="nothing"/>
      <w:lvlText w:val="%1、"/>
      <w:lvlJc w:val="left"/>
    </w:lvl>
  </w:abstractNum>
  <w:abstractNum w:abstractNumId="13">
    <w:nsid w:val="58291700"/>
    <w:multiLevelType w:val="singleLevel"/>
    <w:tmpl w:val="58291700"/>
    <w:lvl w:ilvl="0" w:tentative="0">
      <w:start w:val="1"/>
      <w:numFmt w:val="decimal"/>
      <w:suff w:val="nothing"/>
      <w:lvlText w:val="%1."/>
      <w:lvlJc w:val="left"/>
    </w:lvl>
  </w:abstractNum>
  <w:abstractNum w:abstractNumId="14">
    <w:nsid w:val="598D5226"/>
    <w:multiLevelType w:val="multilevel"/>
    <w:tmpl w:val="598D5226"/>
    <w:lvl w:ilvl="0" w:tentative="0">
      <w:start w:val="1"/>
      <w:numFmt w:val="decimal"/>
      <w:lvlText w:val="（%1）"/>
      <w:lvlJc w:val="left"/>
      <w:pPr>
        <w:ind w:left="1140" w:hanging="420"/>
      </w:pPr>
    </w:lvl>
    <w:lvl w:ilvl="1" w:tentative="0">
      <w:start w:val="1"/>
      <w:numFmt w:val="lowerLetter"/>
      <w:lvlText w:val="%2)"/>
      <w:lvlJc w:val="left"/>
      <w:pPr>
        <w:ind w:left="1560" w:hanging="420"/>
      </w:pPr>
    </w:lvl>
    <w:lvl w:ilvl="2" w:tentative="0">
      <w:start w:val="1"/>
      <w:numFmt w:val="lowerRoman"/>
      <w:lvlText w:val="%3."/>
      <w:lvlJc w:val="right"/>
      <w:pPr>
        <w:ind w:left="1980" w:hanging="420"/>
      </w:pPr>
    </w:lvl>
    <w:lvl w:ilvl="3" w:tentative="0">
      <w:start w:val="1"/>
      <w:numFmt w:val="decimal"/>
      <w:lvlText w:val="%4."/>
      <w:lvlJc w:val="left"/>
      <w:pPr>
        <w:ind w:left="2400" w:hanging="420"/>
      </w:pPr>
    </w:lvl>
    <w:lvl w:ilvl="4" w:tentative="0">
      <w:start w:val="1"/>
      <w:numFmt w:val="lowerLetter"/>
      <w:lvlText w:val="%5)"/>
      <w:lvlJc w:val="left"/>
      <w:pPr>
        <w:ind w:left="2820" w:hanging="420"/>
      </w:pPr>
    </w:lvl>
    <w:lvl w:ilvl="5" w:tentative="0">
      <w:start w:val="1"/>
      <w:numFmt w:val="lowerRoman"/>
      <w:lvlText w:val="%6."/>
      <w:lvlJc w:val="right"/>
      <w:pPr>
        <w:ind w:left="3240" w:hanging="420"/>
      </w:pPr>
    </w:lvl>
    <w:lvl w:ilvl="6" w:tentative="0">
      <w:start w:val="1"/>
      <w:numFmt w:val="decimal"/>
      <w:lvlText w:val="%7."/>
      <w:lvlJc w:val="left"/>
      <w:pPr>
        <w:ind w:left="3660" w:hanging="420"/>
      </w:pPr>
    </w:lvl>
    <w:lvl w:ilvl="7" w:tentative="0">
      <w:start w:val="1"/>
      <w:numFmt w:val="lowerLetter"/>
      <w:lvlText w:val="%8)"/>
      <w:lvlJc w:val="left"/>
      <w:pPr>
        <w:ind w:left="4080" w:hanging="420"/>
      </w:pPr>
    </w:lvl>
    <w:lvl w:ilvl="8" w:tentative="0">
      <w:start w:val="1"/>
      <w:numFmt w:val="lowerRoman"/>
      <w:lvlText w:val="%9."/>
      <w:lvlJc w:val="right"/>
      <w:pPr>
        <w:ind w:left="4500" w:hanging="420"/>
      </w:pPr>
    </w:lvl>
  </w:abstractNum>
  <w:abstractNum w:abstractNumId="15">
    <w:nsid w:val="5A000E17"/>
    <w:multiLevelType w:val="singleLevel"/>
    <w:tmpl w:val="5A000E17"/>
    <w:lvl w:ilvl="0" w:tentative="0">
      <w:start w:val="1"/>
      <w:numFmt w:val="chineseCounting"/>
      <w:suff w:val="nothing"/>
      <w:lvlText w:val="第%1部"/>
      <w:lvlJc w:val="left"/>
    </w:lvl>
  </w:abstractNum>
  <w:abstractNum w:abstractNumId="16">
    <w:nsid w:val="69D0E391"/>
    <w:multiLevelType w:val="singleLevel"/>
    <w:tmpl w:val="69D0E391"/>
    <w:lvl w:ilvl="0" w:tentative="0">
      <w:start w:val="1"/>
      <w:numFmt w:val="chineseCounting"/>
      <w:suff w:val="nothing"/>
      <w:lvlText w:val="（%1）"/>
      <w:lvlJc w:val="left"/>
      <w:rPr>
        <w:rFonts w:hint="eastAsia"/>
      </w:rPr>
    </w:lvl>
  </w:abstractNum>
  <w:abstractNum w:abstractNumId="17">
    <w:nsid w:val="6F73F2FE"/>
    <w:multiLevelType w:val="singleLevel"/>
    <w:tmpl w:val="6F73F2FE"/>
    <w:lvl w:ilvl="0" w:tentative="0">
      <w:start w:val="1"/>
      <w:numFmt w:val="decimal"/>
      <w:suff w:val="nothing"/>
      <w:lvlText w:val="（%1）"/>
      <w:lvlJc w:val="left"/>
    </w:lvl>
  </w:abstractNum>
  <w:num w:numId="1">
    <w:abstractNumId w:val="15"/>
  </w:num>
  <w:num w:numId="2">
    <w:abstractNumId w:val="8"/>
  </w:num>
  <w:num w:numId="3">
    <w:abstractNumId w:val="7"/>
  </w:num>
  <w:num w:numId="4">
    <w:abstractNumId w:val="14"/>
  </w:num>
  <w:num w:numId="5">
    <w:abstractNumId w:val="16"/>
  </w:num>
  <w:num w:numId="6">
    <w:abstractNumId w:val="1"/>
  </w:num>
  <w:num w:numId="7">
    <w:abstractNumId w:val="6"/>
  </w:num>
  <w:num w:numId="8">
    <w:abstractNumId w:val="3"/>
  </w:num>
  <w:num w:numId="9">
    <w:abstractNumId w:val="17"/>
  </w:num>
  <w:num w:numId="10">
    <w:abstractNumId w:val="11"/>
  </w:num>
  <w:num w:numId="11">
    <w:abstractNumId w:val="12"/>
  </w:num>
  <w:num w:numId="12">
    <w:abstractNumId w:val="13"/>
  </w:num>
  <w:num w:numId="13">
    <w:abstractNumId w:val="0"/>
  </w:num>
  <w:num w:numId="14">
    <w:abstractNumId w:val="5"/>
  </w:num>
  <w:num w:numId="15">
    <w:abstractNumId w:val="9"/>
  </w:num>
  <w:num w:numId="16">
    <w:abstractNumId w:val="2"/>
  </w:num>
  <w:num w:numId="17">
    <w:abstractNumId w:val="10"/>
  </w:num>
  <w:num w:numId="1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9"/>
  <w:bordersDoNotSurroundHeader w:val="1"/>
  <w:bordersDoNotSurroundFooter w:val="1"/>
  <w:documentProtection w:enforcement="0"/>
  <w:defaultTabStop w:val="420"/>
  <w:evenAndOddHeaders w:val="1"/>
  <w:drawingGridHorizontalSpacing w:val="105"/>
  <w:drawingGridVerticalSpacing w:val="156"/>
  <w:displayHorizontalDrawingGridEvery w:val="0"/>
  <w:displayVerticalDrawingGridEvery w:val="2"/>
  <w:characterSpacingControl w:val="compressPunctuation"/>
  <w:footnotePr>
    <w:footnote w:id="2"/>
    <w:footnote w:id="3"/>
  </w:foot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zQ5ZWRmZGRiYzRkNjcwODg4NTQ2NDIzNzNlNGJlOWEifQ=="/>
    <w:docVar w:name="KSO_WPS_MARK_KEY" w:val="3e16ec75-77dc-4be2-b0b9-0b8db24b19bc"/>
  </w:docVars>
  <w:rsids>
    <w:rsidRoot w:val="00065ED1"/>
    <w:rsid w:val="00065ED1"/>
    <w:rsid w:val="002E566A"/>
    <w:rsid w:val="003244F1"/>
    <w:rsid w:val="003336F7"/>
    <w:rsid w:val="0033402E"/>
    <w:rsid w:val="0038523A"/>
    <w:rsid w:val="00457362"/>
    <w:rsid w:val="00562342"/>
    <w:rsid w:val="005E1B17"/>
    <w:rsid w:val="0063618B"/>
    <w:rsid w:val="00643980"/>
    <w:rsid w:val="00695D3B"/>
    <w:rsid w:val="006A03D7"/>
    <w:rsid w:val="008728F8"/>
    <w:rsid w:val="008A748D"/>
    <w:rsid w:val="00920DD0"/>
    <w:rsid w:val="00980021"/>
    <w:rsid w:val="0099061B"/>
    <w:rsid w:val="009C633A"/>
    <w:rsid w:val="009D6CAD"/>
    <w:rsid w:val="009F5AFB"/>
    <w:rsid w:val="00A14462"/>
    <w:rsid w:val="00AC3C90"/>
    <w:rsid w:val="00AD508B"/>
    <w:rsid w:val="00BA2DD8"/>
    <w:rsid w:val="00C85C0C"/>
    <w:rsid w:val="00D77A70"/>
    <w:rsid w:val="00E875FD"/>
    <w:rsid w:val="00F36E49"/>
    <w:rsid w:val="212F6ED7"/>
    <w:rsid w:val="2703734D"/>
    <w:rsid w:val="37633C65"/>
    <w:rsid w:val="57C47530"/>
    <w:rsid w:val="686E15C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1" w:semiHidden="0"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qFormat="1" w:unhideWhenUsed="0" w:uiPriority="0" w:semiHidden="0" w:name="footnote text"/>
    <w:lsdException w:qFormat="1" w:unhideWhenUsed="0" w:uiPriority="0" w:name="annotation text"/>
    <w:lsdException w:qFormat="1" w:unhideWhenUsed="0" w:uiPriority="99" w:semiHidden="0" w:name="header"/>
    <w:lsdException w:qFormat="1" w:unhideWhenUsed="0"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qFormat="1" w:unhideWhenUsed="0" w:uiPriority="0" w:semiHidden="0" w:name="footnote reference"/>
    <w:lsdException w:uiPriority="99" w:name="annotation reference"/>
    <w:lsdException w:uiPriority="99" w:name="line number"/>
    <w:lsdException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qFormat="1" w:unhideWhenUsed="0" w:uiPriority="1" w:semiHidden="0" w:name="Body Text"/>
    <w:lsdException w:qFormat="1"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20" w:semiHidden="0" w:name="Emphasis"/>
    <w:lsdException w:uiPriority="99" w:name="Document Map"/>
    <w:lsdException w:uiPriority="99"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2"/>
    <w:basedOn w:val="1"/>
    <w:next w:val="1"/>
    <w:qFormat/>
    <w:uiPriority w:val="1"/>
    <w:pPr>
      <w:ind w:left="760"/>
      <w:outlineLvl w:val="1"/>
    </w:pPr>
    <w:rPr>
      <w:rFonts w:ascii="Microsoft JhengHei" w:hAnsi="Microsoft JhengHei" w:eastAsia="Microsoft JhengHei" w:cs="Microsoft JhengHei"/>
      <w:b/>
      <w:bCs/>
      <w:sz w:val="32"/>
      <w:szCs w:val="32"/>
      <w:lang w:val="zh-CN" w:bidi="zh-CN"/>
    </w:rPr>
  </w:style>
  <w:style w:type="character" w:default="1" w:styleId="15">
    <w:name w:val="Default Paragraph Font"/>
    <w:unhideWhenUsed/>
    <w:qFormat/>
    <w:uiPriority w:val="1"/>
  </w:style>
  <w:style w:type="table" w:default="1" w:styleId="13">
    <w:name w:val="Normal Table"/>
    <w:semiHidden/>
    <w:unhideWhenUsed/>
    <w:qFormat/>
    <w:uiPriority w:val="99"/>
    <w:tblPr>
      <w:tblCellMar>
        <w:top w:w="0" w:type="dxa"/>
        <w:left w:w="108" w:type="dxa"/>
        <w:bottom w:w="0" w:type="dxa"/>
        <w:right w:w="108" w:type="dxa"/>
      </w:tblCellMar>
    </w:tblPr>
  </w:style>
  <w:style w:type="paragraph" w:styleId="3">
    <w:name w:val="annotation text"/>
    <w:basedOn w:val="1"/>
    <w:link w:val="37"/>
    <w:semiHidden/>
    <w:qFormat/>
    <w:uiPriority w:val="0"/>
    <w:pPr>
      <w:jc w:val="left"/>
    </w:pPr>
    <w:rPr>
      <w:rFonts w:ascii="Times New Roman" w:hAnsi="Times New Roman" w:eastAsia="宋体" w:cs="Times New Roman"/>
    </w:rPr>
  </w:style>
  <w:style w:type="paragraph" w:styleId="4">
    <w:name w:val="Body Text"/>
    <w:basedOn w:val="1"/>
    <w:link w:val="25"/>
    <w:qFormat/>
    <w:uiPriority w:val="1"/>
    <w:pPr>
      <w:ind w:left="580"/>
    </w:pPr>
    <w:rPr>
      <w:rFonts w:ascii="宋体" w:hAnsi="宋体" w:eastAsia="宋体" w:cs="宋体"/>
      <w:sz w:val="24"/>
      <w:lang w:val="zh-CN" w:bidi="zh-CN"/>
    </w:rPr>
  </w:style>
  <w:style w:type="paragraph" w:styleId="5">
    <w:name w:val="Body Text Indent"/>
    <w:basedOn w:val="1"/>
    <w:link w:val="36"/>
    <w:semiHidden/>
    <w:unhideWhenUsed/>
    <w:qFormat/>
    <w:uiPriority w:val="99"/>
    <w:pPr>
      <w:spacing w:after="120"/>
      <w:ind w:left="420" w:leftChars="200"/>
    </w:pPr>
  </w:style>
  <w:style w:type="paragraph" w:styleId="6">
    <w:name w:val="Balloon Text"/>
    <w:basedOn w:val="1"/>
    <w:link w:val="33"/>
    <w:qFormat/>
    <w:uiPriority w:val="0"/>
    <w:rPr>
      <w:rFonts w:ascii="Times New Roman" w:hAnsi="Times New Roman" w:eastAsia="宋体" w:cs="Times New Roman"/>
      <w:sz w:val="18"/>
      <w:szCs w:val="18"/>
    </w:rPr>
  </w:style>
  <w:style w:type="paragraph" w:styleId="7">
    <w:name w:val="footer"/>
    <w:basedOn w:val="1"/>
    <w:link w:val="24"/>
    <w:qFormat/>
    <w:uiPriority w:val="99"/>
    <w:pPr>
      <w:tabs>
        <w:tab w:val="center" w:pos="4153"/>
        <w:tab w:val="right" w:pos="8306"/>
      </w:tabs>
      <w:snapToGrid w:val="0"/>
      <w:jc w:val="left"/>
    </w:pPr>
    <w:rPr>
      <w:rFonts w:ascii="Times New Roman" w:hAnsi="Times New Roman" w:eastAsia="宋体" w:cs="Times New Roman"/>
      <w:sz w:val="18"/>
      <w:szCs w:val="18"/>
    </w:rPr>
  </w:style>
  <w:style w:type="paragraph" w:styleId="8">
    <w:name w:val="header"/>
    <w:basedOn w:val="1"/>
    <w:link w:val="23"/>
    <w:qFormat/>
    <w:uiPriority w:val="99"/>
    <w:pPr>
      <w:pBdr>
        <w:bottom w:val="single" w:color="auto" w:sz="6" w:space="1"/>
      </w:pBdr>
      <w:tabs>
        <w:tab w:val="center" w:pos="4153"/>
        <w:tab w:val="right" w:pos="8306"/>
      </w:tabs>
      <w:snapToGrid w:val="0"/>
      <w:jc w:val="center"/>
    </w:pPr>
    <w:rPr>
      <w:rFonts w:ascii="Times New Roman" w:hAnsi="Times New Roman" w:eastAsia="宋体" w:cs="Times New Roman"/>
      <w:sz w:val="18"/>
      <w:szCs w:val="18"/>
    </w:rPr>
  </w:style>
  <w:style w:type="paragraph" w:styleId="9">
    <w:name w:val="toc 1"/>
    <w:basedOn w:val="1"/>
    <w:next w:val="1"/>
    <w:unhideWhenUsed/>
    <w:qFormat/>
    <w:uiPriority w:val="39"/>
    <w:pPr>
      <w:tabs>
        <w:tab w:val="right" w:leader="dot" w:pos="8299"/>
      </w:tabs>
      <w:jc w:val="center"/>
    </w:pPr>
    <w:rPr>
      <w:rFonts w:ascii="黑体" w:hAnsi="黑体" w:eastAsia="黑体" w:cs="Times New Roman"/>
      <w:b/>
      <w:bCs/>
      <w:sz w:val="40"/>
      <w:szCs w:val="40"/>
    </w:rPr>
  </w:style>
  <w:style w:type="paragraph" w:styleId="10">
    <w:name w:val="footnote text"/>
    <w:basedOn w:val="1"/>
    <w:qFormat/>
    <w:uiPriority w:val="0"/>
    <w:pPr>
      <w:snapToGrid w:val="0"/>
      <w:jc w:val="left"/>
    </w:pPr>
    <w:rPr>
      <w:sz w:val="18"/>
    </w:rPr>
  </w:style>
  <w:style w:type="paragraph" w:styleId="11">
    <w:name w:val="Normal (Web)"/>
    <w:basedOn w:val="1"/>
    <w:qFormat/>
    <w:uiPriority w:val="99"/>
    <w:rPr>
      <w:rFonts w:ascii="Times New Roman" w:hAnsi="Times New Roman" w:eastAsia="宋体" w:cs="Times New Roman"/>
      <w:sz w:val="24"/>
      <w:szCs w:val="21"/>
    </w:rPr>
  </w:style>
  <w:style w:type="paragraph" w:styleId="12">
    <w:name w:val="Title"/>
    <w:basedOn w:val="1"/>
    <w:next w:val="1"/>
    <w:qFormat/>
    <w:uiPriority w:val="10"/>
    <w:pPr>
      <w:spacing w:before="240" w:after="60"/>
      <w:jc w:val="center"/>
      <w:outlineLvl w:val="0"/>
    </w:pPr>
    <w:rPr>
      <w:rFonts w:ascii="Cambria" w:hAnsi="Cambria" w:eastAsia="宋体" w:cs="Times New Roman"/>
      <w:b/>
      <w:bCs/>
      <w:sz w:val="32"/>
      <w:szCs w:val="32"/>
    </w:rPr>
  </w:style>
  <w:style w:type="table" w:styleId="14">
    <w:name w:val="Table Grid"/>
    <w:basedOn w:val="13"/>
    <w:qFormat/>
    <w:uiPriority w:val="0"/>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6">
    <w:name w:val="Strong"/>
    <w:qFormat/>
    <w:uiPriority w:val="0"/>
    <w:rPr>
      <w:b/>
    </w:rPr>
  </w:style>
  <w:style w:type="character" w:styleId="17">
    <w:name w:val="page number"/>
    <w:basedOn w:val="15"/>
    <w:uiPriority w:val="0"/>
  </w:style>
  <w:style w:type="character" w:styleId="18">
    <w:name w:val="FollowedHyperlink"/>
    <w:qFormat/>
    <w:uiPriority w:val="0"/>
    <w:rPr>
      <w:color w:val="0000FF"/>
      <w:u w:val="single"/>
    </w:rPr>
  </w:style>
  <w:style w:type="character" w:styleId="19">
    <w:name w:val="Hyperlink"/>
    <w:qFormat/>
    <w:uiPriority w:val="0"/>
    <w:rPr>
      <w:color w:val="0000FF"/>
      <w:u w:val="single"/>
    </w:rPr>
  </w:style>
  <w:style w:type="character" w:styleId="20">
    <w:name w:val="footnote reference"/>
    <w:basedOn w:val="15"/>
    <w:qFormat/>
    <w:uiPriority w:val="0"/>
    <w:rPr>
      <w:vertAlign w:val="superscript"/>
    </w:rPr>
  </w:style>
  <w:style w:type="paragraph" w:customStyle="1" w:styleId="21">
    <w:name w:val="列表段落1"/>
    <w:basedOn w:val="1"/>
    <w:qFormat/>
    <w:uiPriority w:val="34"/>
    <w:pPr>
      <w:ind w:firstLine="420" w:firstLineChars="200"/>
    </w:pPr>
    <w:rPr>
      <w:rFonts w:ascii="Times New Roman" w:hAnsi="Times New Roman" w:eastAsia="宋体" w:cs="Times New Roman"/>
      <w:szCs w:val="21"/>
    </w:rPr>
  </w:style>
  <w:style w:type="character" w:customStyle="1" w:styleId="22">
    <w:name w:val="font21"/>
    <w:basedOn w:val="15"/>
    <w:qFormat/>
    <w:uiPriority w:val="0"/>
    <w:rPr>
      <w:rFonts w:hint="eastAsia" w:ascii="宋体" w:hAnsi="宋体" w:eastAsia="宋体" w:cs="宋体"/>
      <w:b/>
      <w:bCs/>
      <w:color w:val="000000"/>
      <w:sz w:val="22"/>
      <w:szCs w:val="22"/>
      <w:u w:val="none"/>
    </w:rPr>
  </w:style>
  <w:style w:type="character" w:customStyle="1" w:styleId="23">
    <w:name w:val="页眉 字符"/>
    <w:basedOn w:val="15"/>
    <w:link w:val="8"/>
    <w:qFormat/>
    <w:uiPriority w:val="99"/>
    <w:rPr>
      <w:rFonts w:ascii="Times New Roman" w:hAnsi="Times New Roman" w:eastAsia="宋体" w:cs="Times New Roman"/>
      <w:sz w:val="18"/>
      <w:szCs w:val="18"/>
    </w:rPr>
  </w:style>
  <w:style w:type="character" w:customStyle="1" w:styleId="24">
    <w:name w:val="页脚 字符"/>
    <w:basedOn w:val="15"/>
    <w:link w:val="7"/>
    <w:qFormat/>
    <w:uiPriority w:val="99"/>
    <w:rPr>
      <w:rFonts w:ascii="Times New Roman" w:hAnsi="Times New Roman" w:eastAsia="宋体" w:cs="Times New Roman"/>
      <w:sz w:val="18"/>
      <w:szCs w:val="18"/>
    </w:rPr>
  </w:style>
  <w:style w:type="character" w:customStyle="1" w:styleId="25">
    <w:name w:val="正文文本 字符"/>
    <w:basedOn w:val="15"/>
    <w:link w:val="4"/>
    <w:qFormat/>
    <w:uiPriority w:val="1"/>
    <w:rPr>
      <w:rFonts w:ascii="宋体" w:hAnsi="宋体" w:eastAsia="宋体" w:cs="宋体"/>
      <w:sz w:val="24"/>
      <w:szCs w:val="24"/>
      <w:lang w:val="zh-CN" w:bidi="zh-CN"/>
    </w:rPr>
  </w:style>
  <w:style w:type="character" w:customStyle="1" w:styleId="26">
    <w:name w:val="无"/>
    <w:qFormat/>
    <w:uiPriority w:val="0"/>
  </w:style>
  <w:style w:type="character" w:customStyle="1" w:styleId="27">
    <w:name w:val="con-all2"/>
    <w:qFormat/>
    <w:uiPriority w:val="0"/>
  </w:style>
  <w:style w:type="character" w:customStyle="1" w:styleId="28">
    <w:name w:val="Hyperlink.2"/>
    <w:qFormat/>
    <w:uiPriority w:val="0"/>
    <w:rPr>
      <w:rFonts w:ascii="Calibri" w:hAnsi="Calibri" w:eastAsia="Calibri" w:cs="Calibri"/>
      <w:lang w:val="en-US"/>
    </w:rPr>
  </w:style>
  <w:style w:type="character" w:customStyle="1" w:styleId="29">
    <w:name w:val="Hyperlink.3"/>
    <w:qFormat/>
    <w:uiPriority w:val="0"/>
    <w:rPr>
      <w:rFonts w:ascii="Calibri" w:hAnsi="Calibri" w:eastAsia="Calibri" w:cs="Calibri"/>
      <w:lang w:val="zh-TW" w:eastAsia="zh-TW"/>
    </w:rPr>
  </w:style>
  <w:style w:type="character" w:customStyle="1" w:styleId="30">
    <w:name w:val="ca-32"/>
    <w:basedOn w:val="15"/>
    <w:qFormat/>
    <w:uiPriority w:val="0"/>
  </w:style>
  <w:style w:type="character" w:customStyle="1" w:styleId="31">
    <w:name w:val="href"/>
    <w:qFormat/>
    <w:uiPriority w:val="0"/>
    <w:rPr>
      <w:color w:val="0000FF"/>
      <w:u w:val="single"/>
    </w:rPr>
  </w:style>
  <w:style w:type="paragraph" w:customStyle="1" w:styleId="32">
    <w:name w:val="pa-2"/>
    <w:basedOn w:val="1"/>
    <w:qFormat/>
    <w:uiPriority w:val="0"/>
    <w:pPr>
      <w:widowControl/>
      <w:spacing w:before="100" w:beforeAutospacing="1" w:after="100" w:afterAutospacing="1"/>
      <w:jc w:val="left"/>
    </w:pPr>
    <w:rPr>
      <w:rFonts w:ascii="宋体" w:hAnsi="宋体" w:eastAsia="宋体" w:cs="宋体"/>
      <w:kern w:val="0"/>
      <w:sz w:val="24"/>
    </w:rPr>
  </w:style>
  <w:style w:type="character" w:customStyle="1" w:styleId="33">
    <w:name w:val="批注框文本 字符"/>
    <w:basedOn w:val="15"/>
    <w:link w:val="6"/>
    <w:qFormat/>
    <w:uiPriority w:val="0"/>
    <w:rPr>
      <w:rFonts w:ascii="Times New Roman" w:hAnsi="Times New Roman" w:eastAsia="宋体" w:cs="Times New Roman"/>
      <w:sz w:val="18"/>
      <w:szCs w:val="18"/>
    </w:rPr>
  </w:style>
  <w:style w:type="character" w:customStyle="1" w:styleId="34">
    <w:name w:val="article_index"/>
    <w:qFormat/>
    <w:uiPriority w:val="0"/>
  </w:style>
  <w:style w:type="character" w:customStyle="1" w:styleId="35">
    <w:name w:val="article_title"/>
    <w:qFormat/>
    <w:uiPriority w:val="0"/>
  </w:style>
  <w:style w:type="character" w:customStyle="1" w:styleId="36">
    <w:name w:val="正文文本缩进 字符"/>
    <w:basedOn w:val="15"/>
    <w:link w:val="5"/>
    <w:semiHidden/>
    <w:qFormat/>
    <w:uiPriority w:val="99"/>
    <w:rPr>
      <w:szCs w:val="24"/>
    </w:rPr>
  </w:style>
  <w:style w:type="character" w:customStyle="1" w:styleId="37">
    <w:name w:val="批注文字 字符"/>
    <w:basedOn w:val="15"/>
    <w:link w:val="3"/>
    <w:semiHidden/>
    <w:qFormat/>
    <w:uiPriority w:val="0"/>
    <w:rPr>
      <w:rFonts w:ascii="Times New Roman" w:hAnsi="Times New Roman" w:eastAsia="宋体" w:cs="Times New Roman"/>
      <w:szCs w:val="24"/>
    </w:rPr>
  </w:style>
  <w:style w:type="character" w:customStyle="1" w:styleId="38">
    <w:name w:val="标题 Char1"/>
    <w:qFormat/>
    <w:uiPriority w:val="10"/>
    <w:rPr>
      <w:rFonts w:hint="default" w:ascii="Cambria" w:hAnsi="Cambria" w:eastAsia="宋体" w:cs="Times New Roman"/>
      <w:b/>
      <w:bCs/>
      <w:sz w:val="32"/>
      <w:szCs w:val="32"/>
    </w:rPr>
  </w:style>
  <w:style w:type="paragraph" w:styleId="39">
    <w:name w:val="List Paragraph"/>
    <w:basedOn w:val="1"/>
    <w:qFormat/>
    <w:uiPriority w:val="99"/>
    <w:pPr>
      <w:ind w:firstLine="420" w:firstLineChars="200"/>
    </w:pPr>
  </w:style>
</w:styles>
</file>

<file path=word/_rels/document.xml.rels><?xml version="1.0" encoding="UTF-8" standalone="yes"?>
<Relationships xmlns="http://schemas.openxmlformats.org/package/2006/relationships"><Relationship Id="rId99" Type="http://schemas.openxmlformats.org/officeDocument/2006/relationships/chart" Target="charts/chart20.xml"/><Relationship Id="rId98" Type="http://schemas.openxmlformats.org/officeDocument/2006/relationships/chart" Target="charts/chart19.xml"/><Relationship Id="rId97" Type="http://schemas.openxmlformats.org/officeDocument/2006/relationships/chart" Target="charts/chart18.xml"/><Relationship Id="rId96" Type="http://schemas.openxmlformats.org/officeDocument/2006/relationships/chart" Target="charts/chart17.xml"/><Relationship Id="rId95" Type="http://schemas.openxmlformats.org/officeDocument/2006/relationships/chart" Target="charts/chart16.xml"/><Relationship Id="rId94" Type="http://schemas.openxmlformats.org/officeDocument/2006/relationships/chart" Target="charts/chart15.xml"/><Relationship Id="rId93" Type="http://schemas.openxmlformats.org/officeDocument/2006/relationships/image" Target="media/image49.jpeg"/><Relationship Id="rId92" Type="http://schemas.openxmlformats.org/officeDocument/2006/relationships/chart" Target="charts/chart14.xml"/><Relationship Id="rId91" Type="http://schemas.openxmlformats.org/officeDocument/2006/relationships/chart" Target="charts/chart13.xml"/><Relationship Id="rId90" Type="http://schemas.openxmlformats.org/officeDocument/2006/relationships/chart" Target="charts/chart12.xml"/><Relationship Id="rId9" Type="http://schemas.openxmlformats.org/officeDocument/2006/relationships/footer" Target="footer3.xml"/><Relationship Id="rId89" Type="http://schemas.openxmlformats.org/officeDocument/2006/relationships/chart" Target="charts/chart11.xml"/><Relationship Id="rId88" Type="http://schemas.openxmlformats.org/officeDocument/2006/relationships/chart" Target="charts/chart10.xml"/><Relationship Id="rId87" Type="http://schemas.openxmlformats.org/officeDocument/2006/relationships/chart" Target="charts/chart9.xml"/><Relationship Id="rId86" Type="http://schemas.openxmlformats.org/officeDocument/2006/relationships/chart" Target="charts/chart8.xml"/><Relationship Id="rId85" Type="http://schemas.openxmlformats.org/officeDocument/2006/relationships/image" Target="media/image48.png"/><Relationship Id="rId84" Type="http://schemas.openxmlformats.org/officeDocument/2006/relationships/image" Target="media/image47.jpeg"/><Relationship Id="rId83" Type="http://schemas.openxmlformats.org/officeDocument/2006/relationships/image" Target="media/image46.jpeg"/><Relationship Id="rId82" Type="http://schemas.openxmlformats.org/officeDocument/2006/relationships/image" Target="media/image45.jpeg"/><Relationship Id="rId81" Type="http://schemas.openxmlformats.org/officeDocument/2006/relationships/image" Target="media/image44.jpeg"/><Relationship Id="rId80" Type="http://schemas.openxmlformats.org/officeDocument/2006/relationships/image" Target="media/image43.png"/><Relationship Id="rId8" Type="http://schemas.openxmlformats.org/officeDocument/2006/relationships/footer" Target="footer2.xml"/><Relationship Id="rId79" Type="http://schemas.openxmlformats.org/officeDocument/2006/relationships/image" Target="media/image42.jpeg"/><Relationship Id="rId78" Type="http://schemas.openxmlformats.org/officeDocument/2006/relationships/image" Target="media/image41.png"/><Relationship Id="rId77" Type="http://schemas.openxmlformats.org/officeDocument/2006/relationships/image" Target="media/image40.jpeg"/><Relationship Id="rId76" Type="http://schemas.openxmlformats.org/officeDocument/2006/relationships/image" Target="media/image39.jpeg"/><Relationship Id="rId75" Type="http://schemas.openxmlformats.org/officeDocument/2006/relationships/image" Target="media/image38.jpeg"/><Relationship Id="rId74" Type="http://schemas.openxmlformats.org/officeDocument/2006/relationships/image" Target="media/image37.png"/><Relationship Id="rId73" Type="http://schemas.openxmlformats.org/officeDocument/2006/relationships/image" Target="media/image36.jpeg"/><Relationship Id="rId72" Type="http://schemas.openxmlformats.org/officeDocument/2006/relationships/image" Target="media/image35.png"/><Relationship Id="rId71" Type="http://schemas.openxmlformats.org/officeDocument/2006/relationships/image" Target="media/image34.png"/><Relationship Id="rId70" Type="http://schemas.openxmlformats.org/officeDocument/2006/relationships/image" Target="media/image33.png"/><Relationship Id="rId7" Type="http://schemas.openxmlformats.org/officeDocument/2006/relationships/footer" Target="footer1.xml"/><Relationship Id="rId69" Type="http://schemas.openxmlformats.org/officeDocument/2006/relationships/image" Target="media/image32.png"/><Relationship Id="rId68" Type="http://schemas.openxmlformats.org/officeDocument/2006/relationships/image" Target="media/image31.png"/><Relationship Id="rId67" Type="http://schemas.openxmlformats.org/officeDocument/2006/relationships/image" Target="media/image30.jpeg"/><Relationship Id="rId66" Type="http://schemas.openxmlformats.org/officeDocument/2006/relationships/image" Target="media/image29.emf"/><Relationship Id="rId65" Type="http://schemas.openxmlformats.org/officeDocument/2006/relationships/oleObject" Target="embeddings/oleObject14.bin"/><Relationship Id="rId64" Type="http://schemas.openxmlformats.org/officeDocument/2006/relationships/image" Target="media/image28.emf"/><Relationship Id="rId63" Type="http://schemas.openxmlformats.org/officeDocument/2006/relationships/oleObject" Target="embeddings/oleObject13.bin"/><Relationship Id="rId62" Type="http://schemas.openxmlformats.org/officeDocument/2006/relationships/image" Target="media/image27.emf"/><Relationship Id="rId61" Type="http://schemas.openxmlformats.org/officeDocument/2006/relationships/oleObject" Target="embeddings/oleObject12.bin"/><Relationship Id="rId60" Type="http://schemas.openxmlformats.org/officeDocument/2006/relationships/image" Target="media/image26.emf"/><Relationship Id="rId6" Type="http://schemas.openxmlformats.org/officeDocument/2006/relationships/header" Target="header3.xml"/><Relationship Id="rId59" Type="http://schemas.openxmlformats.org/officeDocument/2006/relationships/oleObject" Target="embeddings/oleObject11.bin"/><Relationship Id="rId58" Type="http://schemas.openxmlformats.org/officeDocument/2006/relationships/image" Target="media/image25.emf"/><Relationship Id="rId57" Type="http://schemas.openxmlformats.org/officeDocument/2006/relationships/oleObject" Target="embeddings/oleObject10.bin"/><Relationship Id="rId56" Type="http://schemas.openxmlformats.org/officeDocument/2006/relationships/image" Target="media/image24.emf"/><Relationship Id="rId55" Type="http://schemas.openxmlformats.org/officeDocument/2006/relationships/oleObject" Target="embeddings/oleObject9.bin"/><Relationship Id="rId54" Type="http://schemas.openxmlformats.org/officeDocument/2006/relationships/image" Target="media/image23.emf"/><Relationship Id="rId53" Type="http://schemas.openxmlformats.org/officeDocument/2006/relationships/oleObject" Target="embeddings/oleObject8.bin"/><Relationship Id="rId52" Type="http://schemas.openxmlformats.org/officeDocument/2006/relationships/image" Target="media/image22.emf"/><Relationship Id="rId51" Type="http://schemas.openxmlformats.org/officeDocument/2006/relationships/oleObject" Target="embeddings/oleObject7.bin"/><Relationship Id="rId50" Type="http://schemas.openxmlformats.org/officeDocument/2006/relationships/image" Target="media/image21.emf"/><Relationship Id="rId5" Type="http://schemas.openxmlformats.org/officeDocument/2006/relationships/header" Target="header2.xml"/><Relationship Id="rId49" Type="http://schemas.openxmlformats.org/officeDocument/2006/relationships/oleObject" Target="embeddings/oleObject6.bin"/><Relationship Id="rId48" Type="http://schemas.openxmlformats.org/officeDocument/2006/relationships/image" Target="media/image20.emf"/><Relationship Id="rId47" Type="http://schemas.openxmlformats.org/officeDocument/2006/relationships/oleObject" Target="embeddings/oleObject5.bin"/><Relationship Id="rId46" Type="http://schemas.openxmlformats.org/officeDocument/2006/relationships/image" Target="media/image19.emf"/><Relationship Id="rId45" Type="http://schemas.openxmlformats.org/officeDocument/2006/relationships/oleObject" Target="embeddings/oleObject4.bin"/><Relationship Id="rId44" Type="http://schemas.openxmlformats.org/officeDocument/2006/relationships/image" Target="media/image18.emf"/><Relationship Id="rId43" Type="http://schemas.openxmlformats.org/officeDocument/2006/relationships/oleObject" Target="embeddings/oleObject3.bin"/><Relationship Id="rId42" Type="http://schemas.openxmlformats.org/officeDocument/2006/relationships/image" Target="media/image17.jpeg"/><Relationship Id="rId41" Type="http://schemas.openxmlformats.org/officeDocument/2006/relationships/image" Target="media/image16.emf"/><Relationship Id="rId40" Type="http://schemas.openxmlformats.org/officeDocument/2006/relationships/image" Target="media/image15.jpeg"/><Relationship Id="rId4" Type="http://schemas.openxmlformats.org/officeDocument/2006/relationships/header" Target="header1.xml"/><Relationship Id="rId39" Type="http://schemas.openxmlformats.org/officeDocument/2006/relationships/image" Target="media/image14.jpeg"/><Relationship Id="rId38" Type="http://schemas.openxmlformats.org/officeDocument/2006/relationships/image" Target="media/image13.jpeg"/><Relationship Id="rId37" Type="http://schemas.openxmlformats.org/officeDocument/2006/relationships/image" Target="media/image12.jpeg"/><Relationship Id="rId36" Type="http://schemas.openxmlformats.org/officeDocument/2006/relationships/image" Target="media/image11.jpeg"/><Relationship Id="rId35" Type="http://schemas.openxmlformats.org/officeDocument/2006/relationships/image" Target="media/image10.jpeg"/><Relationship Id="rId34" Type="http://schemas.openxmlformats.org/officeDocument/2006/relationships/image" Target="media/image9.jpeg"/><Relationship Id="rId33" Type="http://schemas.openxmlformats.org/officeDocument/2006/relationships/image" Target="media/image8.png"/><Relationship Id="rId32" Type="http://schemas.openxmlformats.org/officeDocument/2006/relationships/image" Target="media/image7.png"/><Relationship Id="rId31" Type="http://schemas.openxmlformats.org/officeDocument/2006/relationships/image" Target="media/image6.png"/><Relationship Id="rId30" Type="http://schemas.openxmlformats.org/officeDocument/2006/relationships/oleObject" Target="embeddings/oleObject2.bin"/><Relationship Id="rId3" Type="http://schemas.openxmlformats.org/officeDocument/2006/relationships/footnotes" Target="footnotes.xml"/><Relationship Id="rId29" Type="http://schemas.openxmlformats.org/officeDocument/2006/relationships/image" Target="media/image5.png"/><Relationship Id="rId28" Type="http://schemas.openxmlformats.org/officeDocument/2006/relationships/oleObject" Target="embeddings/oleObject1.bin"/><Relationship Id="rId27" Type="http://schemas.openxmlformats.org/officeDocument/2006/relationships/image" Target="media/image4.png"/><Relationship Id="rId26" Type="http://schemas.openxmlformats.org/officeDocument/2006/relationships/image" Target="media/image3.png"/><Relationship Id="rId25" Type="http://schemas.openxmlformats.org/officeDocument/2006/relationships/image" Target="media/image2.png"/><Relationship Id="rId24" Type="http://schemas.openxmlformats.org/officeDocument/2006/relationships/image" Target="media/image1.png"/><Relationship Id="rId23" Type="http://schemas.openxmlformats.org/officeDocument/2006/relationships/chart" Target="charts/chart7.xml"/><Relationship Id="rId22" Type="http://schemas.openxmlformats.org/officeDocument/2006/relationships/chart" Target="charts/chart6.xml"/><Relationship Id="rId21" Type="http://schemas.openxmlformats.org/officeDocument/2006/relationships/chart" Target="charts/chart5.xml"/><Relationship Id="rId20" Type="http://schemas.openxmlformats.org/officeDocument/2006/relationships/chart" Target="charts/chart4.xml"/><Relationship Id="rId2" Type="http://schemas.openxmlformats.org/officeDocument/2006/relationships/settings" Target="settings.xml"/><Relationship Id="rId19" Type="http://schemas.openxmlformats.org/officeDocument/2006/relationships/chart" Target="charts/chart3.xml"/><Relationship Id="rId18" Type="http://schemas.openxmlformats.org/officeDocument/2006/relationships/chart" Target="charts/chart2.xml"/><Relationship Id="rId17" Type="http://schemas.openxmlformats.org/officeDocument/2006/relationships/chart" Target="charts/chart1.xml"/><Relationship Id="rId16" Type="http://schemas.openxmlformats.org/officeDocument/2006/relationships/theme" Target="theme/theme1.xml"/><Relationship Id="rId15" Type="http://schemas.openxmlformats.org/officeDocument/2006/relationships/footer" Target="footer6.xml"/><Relationship Id="rId14" Type="http://schemas.openxmlformats.org/officeDocument/2006/relationships/footer" Target="footer5.xml"/><Relationship Id="rId13" Type="http://schemas.openxmlformats.org/officeDocument/2006/relationships/footer" Target="footer4.xml"/><Relationship Id="rId126" Type="http://schemas.openxmlformats.org/officeDocument/2006/relationships/fontTable" Target="fontTable.xml"/><Relationship Id="rId125" Type="http://schemas.openxmlformats.org/officeDocument/2006/relationships/numbering" Target="numbering.xml"/><Relationship Id="rId124" Type="http://schemas.openxmlformats.org/officeDocument/2006/relationships/customXml" Target="../customXml/item1.xml"/><Relationship Id="rId123" Type="http://schemas.openxmlformats.org/officeDocument/2006/relationships/image" Target="media/image60.jpeg"/><Relationship Id="rId122" Type="http://schemas.openxmlformats.org/officeDocument/2006/relationships/image" Target="media/image59.jpeg"/><Relationship Id="rId121" Type="http://schemas.openxmlformats.org/officeDocument/2006/relationships/chart" Target="charts/chart33.xml"/><Relationship Id="rId120" Type="http://schemas.openxmlformats.org/officeDocument/2006/relationships/chart" Target="charts/chart32.xml"/><Relationship Id="rId12" Type="http://schemas.openxmlformats.org/officeDocument/2006/relationships/header" Target="header6.xml"/><Relationship Id="rId119" Type="http://schemas.openxmlformats.org/officeDocument/2006/relationships/chart" Target="charts/chart31.xml"/><Relationship Id="rId118" Type="http://schemas.openxmlformats.org/officeDocument/2006/relationships/chart" Target="charts/chart30.xml"/><Relationship Id="rId117" Type="http://schemas.openxmlformats.org/officeDocument/2006/relationships/chart" Target="charts/chart29.xml"/><Relationship Id="rId116" Type="http://schemas.openxmlformats.org/officeDocument/2006/relationships/chart" Target="charts/chart28.xml"/><Relationship Id="rId115" Type="http://schemas.openxmlformats.org/officeDocument/2006/relationships/chart" Target="charts/chart27.xml"/><Relationship Id="rId114" Type="http://schemas.openxmlformats.org/officeDocument/2006/relationships/chart" Target="charts/chart26.xml"/><Relationship Id="rId113" Type="http://schemas.openxmlformats.org/officeDocument/2006/relationships/chart" Target="charts/chart25.xml"/><Relationship Id="rId112" Type="http://schemas.openxmlformats.org/officeDocument/2006/relationships/chart" Target="charts/chart24.xml"/><Relationship Id="rId111" Type="http://schemas.openxmlformats.org/officeDocument/2006/relationships/chart" Target="charts/chart23.xml"/><Relationship Id="rId110" Type="http://schemas.openxmlformats.org/officeDocument/2006/relationships/image" Target="media/image58.png"/><Relationship Id="rId11" Type="http://schemas.openxmlformats.org/officeDocument/2006/relationships/header" Target="header5.xml"/><Relationship Id="rId109" Type="http://schemas.openxmlformats.org/officeDocument/2006/relationships/image" Target="media/image57.png"/><Relationship Id="rId108" Type="http://schemas.openxmlformats.org/officeDocument/2006/relationships/image" Target="media/image56.png"/><Relationship Id="rId107" Type="http://schemas.openxmlformats.org/officeDocument/2006/relationships/image" Target="media/image55.png"/><Relationship Id="rId106" Type="http://schemas.openxmlformats.org/officeDocument/2006/relationships/chart" Target="charts/chart22.xml"/><Relationship Id="rId105" Type="http://schemas.openxmlformats.org/officeDocument/2006/relationships/image" Target="media/image54.png"/><Relationship Id="rId104" Type="http://schemas.openxmlformats.org/officeDocument/2006/relationships/image" Target="media/image53.jpeg"/><Relationship Id="rId103" Type="http://schemas.openxmlformats.org/officeDocument/2006/relationships/image" Target="media/image52.jpeg"/><Relationship Id="rId102" Type="http://schemas.openxmlformats.org/officeDocument/2006/relationships/image" Target="media/image51.jpeg"/><Relationship Id="rId101" Type="http://schemas.openxmlformats.org/officeDocument/2006/relationships/image" Target="media/image50.jpeg"/><Relationship Id="rId100" Type="http://schemas.openxmlformats.org/officeDocument/2006/relationships/chart" Target="charts/chart21.xml"/><Relationship Id="rId10" Type="http://schemas.openxmlformats.org/officeDocument/2006/relationships/header" Target="header4.xml"/><Relationship Id="rId1"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package" Target="../embeddings/Workbook11.xlsx"/></Relationships>
</file>

<file path=word/charts/_rels/chart10.xml.rels><?xml version="1.0" encoding="UTF-8" standalone="yes"?>
<Relationships xmlns="http://schemas.openxmlformats.org/package/2006/relationships"><Relationship Id="rId3" Type="http://schemas.microsoft.com/office/2011/relationships/chartColorStyle" Target="colors12.xml"/><Relationship Id="rId2" Type="http://schemas.microsoft.com/office/2011/relationships/chartStyle" Target="style12.xml"/><Relationship Id="rId1" Type="http://schemas.openxmlformats.org/officeDocument/2006/relationships/oleObject" Target="&#24037;&#20316;&#31807;1" TargetMode="External"/></Relationships>
</file>

<file path=word/charts/_rels/chart11.xml.rels><?xml version="1.0" encoding="UTF-8" standalone="yes"?>
<Relationships xmlns="http://schemas.openxmlformats.org/package/2006/relationships"><Relationship Id="rId3" Type="http://schemas.microsoft.com/office/2011/relationships/chartColorStyle" Target="colors3.xml"/><Relationship Id="rId2" Type="http://schemas.microsoft.com/office/2011/relationships/chartStyle" Target="style3.xml"/><Relationship Id="rId1" Type="http://schemas.openxmlformats.org/officeDocument/2006/relationships/package" Target="../embeddings/Workbook3.xlsx"/></Relationships>
</file>

<file path=word/charts/_rels/chart12.xml.rels><?xml version="1.0" encoding="UTF-8" standalone="yes"?>
<Relationships xmlns="http://schemas.openxmlformats.org/package/2006/relationships"><Relationship Id="rId3" Type="http://schemas.microsoft.com/office/2011/relationships/chartColorStyle" Target="colors5.xml"/><Relationship Id="rId2" Type="http://schemas.microsoft.com/office/2011/relationships/chartStyle" Target="style5.xml"/><Relationship Id="rId1" Type="http://schemas.openxmlformats.org/officeDocument/2006/relationships/package" Target="../embeddings/Workbook5.xlsx"/></Relationships>
</file>

<file path=word/charts/_rels/chart13.xml.rels><?xml version="1.0" encoding="UTF-8" standalone="yes"?>
<Relationships xmlns="http://schemas.openxmlformats.org/package/2006/relationships"><Relationship Id="rId3" Type="http://schemas.microsoft.com/office/2011/relationships/chartColorStyle" Target="colors4.xml"/><Relationship Id="rId2" Type="http://schemas.microsoft.com/office/2011/relationships/chartStyle" Target="style4.xml"/><Relationship Id="rId1" Type="http://schemas.openxmlformats.org/officeDocument/2006/relationships/package" Target="../embeddings/Workbook4.xlsx"/></Relationships>
</file>

<file path=word/charts/_rels/chart14.xml.rels><?xml version="1.0" encoding="UTF-8" standalone="yes"?>
<Relationships xmlns="http://schemas.openxmlformats.org/package/2006/relationships"><Relationship Id="rId3" Type="http://schemas.microsoft.com/office/2011/relationships/chartColorStyle" Target="colors2.xml"/><Relationship Id="rId2" Type="http://schemas.microsoft.com/office/2011/relationships/chartStyle" Target="style2.xml"/><Relationship Id="rId1" Type="http://schemas.openxmlformats.org/officeDocument/2006/relationships/package" Target="../embeddings/Workbook2.xlsx"/></Relationships>
</file>

<file path=word/charts/_rels/chart15.xml.rels><?xml version="1.0" encoding="UTF-8" standalone="yes"?>
<Relationships xmlns="http://schemas.openxmlformats.org/package/2006/relationships"><Relationship Id="rId3" Type="http://schemas.microsoft.com/office/2011/relationships/chartColorStyle" Target="colors13.xml"/><Relationship Id="rId2" Type="http://schemas.microsoft.com/office/2011/relationships/chartStyle" Target="style13.xml"/><Relationship Id="rId1" Type="http://schemas.openxmlformats.org/officeDocument/2006/relationships/package" Target="../embeddings/Workbook12.xlsx"/></Relationships>
</file>

<file path=word/charts/_rels/chart16.xml.rels><?xml version="1.0" encoding="UTF-8" standalone="yes"?>
<Relationships xmlns="http://schemas.openxmlformats.org/package/2006/relationships"><Relationship Id="rId3" Type="http://schemas.microsoft.com/office/2011/relationships/chartColorStyle" Target="colors10.xml"/><Relationship Id="rId2" Type="http://schemas.microsoft.com/office/2011/relationships/chartStyle" Target="style10.xml"/><Relationship Id="rId1" Type="http://schemas.openxmlformats.org/officeDocument/2006/relationships/package" Target="../embeddings/Workbook10.xlsx"/></Relationships>
</file>

<file path=word/charts/_rels/chart17.xml.rels><?xml version="1.0" encoding="UTF-8" standalone="yes"?>
<Relationships xmlns="http://schemas.openxmlformats.org/package/2006/relationships"><Relationship Id="rId3" Type="http://schemas.microsoft.com/office/2011/relationships/chartColorStyle" Target="colors1.xml"/><Relationship Id="rId2" Type="http://schemas.microsoft.com/office/2011/relationships/chartStyle" Target="style1.xml"/><Relationship Id="rId1" Type="http://schemas.openxmlformats.org/officeDocument/2006/relationships/package" Target="../embeddings/Workbook1.xlsx"/></Relationships>
</file>

<file path=word/charts/_rels/chart18.xml.rels><?xml version="1.0" encoding="UTF-8" standalone="yes"?>
<Relationships xmlns="http://schemas.openxmlformats.org/package/2006/relationships"><Relationship Id="rId3" Type="http://schemas.microsoft.com/office/2011/relationships/chartColorStyle" Target="colors6.xml"/><Relationship Id="rId2" Type="http://schemas.microsoft.com/office/2011/relationships/chartStyle" Target="style6.xml"/><Relationship Id="rId1" Type="http://schemas.openxmlformats.org/officeDocument/2006/relationships/package" Target="../embeddings/Workbook6.xlsx"/></Relationships>
</file>

<file path=word/charts/_rels/chart19.xml.rels><?xml version="1.0" encoding="UTF-8" standalone="yes"?>
<Relationships xmlns="http://schemas.openxmlformats.org/package/2006/relationships"><Relationship Id="rId3" Type="http://schemas.microsoft.com/office/2011/relationships/chartColorStyle" Target="colors7.xml"/><Relationship Id="rId2" Type="http://schemas.microsoft.com/office/2011/relationships/chartStyle" Target="style7.xml"/><Relationship Id="rId1" Type="http://schemas.openxmlformats.org/officeDocument/2006/relationships/package" Target="../embeddings/Workbook7.xlsx"/></Relationships>
</file>

<file path=word/charts/_rels/chart2.xml.rels><?xml version="1.0" encoding="UTF-8" standalone="yes"?>
<Relationships xmlns="http://schemas.openxmlformats.org/package/2006/relationships"><Relationship Id="rId1" Type="http://schemas.openxmlformats.org/officeDocument/2006/relationships/oleObject" Target="file:///E:\06.%20&#23601;&#19994;&#31649;&#29702;\&#24635;&#32467;&#25253;&#21578;\2022&#24180;&#20154;&#22823;&#23398;&#38498;&#23601;&#19994;&#35780;&#20272;&#26448;&#26009;\&#21512;&#32933;&#23398;&#38498;&#23601;&#19994;&#20840;&#24211;202212191056.xls" TargetMode="External"/></Relationships>
</file>

<file path=word/charts/_rels/chart20.xml.rels><?xml version="1.0" encoding="UTF-8" standalone="yes"?>
<Relationships xmlns="http://schemas.openxmlformats.org/package/2006/relationships"><Relationship Id="rId3" Type="http://schemas.microsoft.com/office/2011/relationships/chartColorStyle" Target="colors8.xml"/><Relationship Id="rId2" Type="http://schemas.microsoft.com/office/2011/relationships/chartStyle" Target="style8.xml"/><Relationship Id="rId1" Type="http://schemas.openxmlformats.org/officeDocument/2006/relationships/package" Target="../embeddings/Workbook8.xlsx"/></Relationships>
</file>

<file path=word/charts/_rels/chart21.xml.rels><?xml version="1.0" encoding="UTF-8" standalone="yes"?>
<Relationships xmlns="http://schemas.openxmlformats.org/package/2006/relationships"><Relationship Id="rId3" Type="http://schemas.microsoft.com/office/2011/relationships/chartColorStyle" Target="colors14.xml"/><Relationship Id="rId2" Type="http://schemas.microsoft.com/office/2011/relationships/chartStyle" Target="style14.xml"/><Relationship Id="rId1" Type="http://schemas.openxmlformats.org/officeDocument/2006/relationships/package" Target="../embeddings/Workbook13.xlsx"/></Relationships>
</file>

<file path=word/charts/_rels/chart22.xml.rels><?xml version="1.0" encoding="UTF-8" standalone="yes"?>
<Relationships xmlns="http://schemas.openxmlformats.org/package/2006/relationships"><Relationship Id="rId3" Type="http://schemas.microsoft.com/office/2011/relationships/chartColorStyle" Target="colors17.xml"/><Relationship Id="rId2" Type="http://schemas.microsoft.com/office/2011/relationships/chartStyle" Target="style17.xml"/><Relationship Id="rId1" Type="http://schemas.openxmlformats.org/officeDocument/2006/relationships/oleObject" Target="file:///C:\Users\pc\Desktop\&#26032;&#24314;%20XLS%20&#24037;&#20316;&#34920;.xls" TargetMode="External"/></Relationships>
</file>

<file path=word/charts/_rels/chart23.xml.rels><?xml version="1.0" encoding="UTF-8" standalone="yes"?>
<Relationships xmlns="http://schemas.openxmlformats.org/package/2006/relationships"><Relationship Id="rId3" Type="http://schemas.microsoft.com/office/2011/relationships/chartColorStyle" Target="colors22.xml"/><Relationship Id="rId2" Type="http://schemas.microsoft.com/office/2011/relationships/chartStyle" Target="style22.xml"/><Relationship Id="rId1" Type="http://schemas.openxmlformats.org/officeDocument/2006/relationships/oleObject" Target="file:///C:\Users\lemon\Documents\WPS%20Cloud%20Files\.221688084\cachedata\1E426D03916646AA85F85CCBAB3EE304\&#21512;&#32933;&#23398;&#38498;&#23601;&#19994;&#20840;&#24211;202212151008.xls" TargetMode="External"/></Relationships>
</file>

<file path=word/charts/_rels/chart24.xml.rels><?xml version="1.0" encoding="UTF-8" standalone="yes"?>
<Relationships xmlns="http://schemas.openxmlformats.org/package/2006/relationships"><Relationship Id="rId3" Type="http://schemas.microsoft.com/office/2011/relationships/chartColorStyle" Target="colors18.xml"/><Relationship Id="rId2" Type="http://schemas.microsoft.com/office/2011/relationships/chartStyle" Target="style18.xml"/><Relationship Id="rId1" Type="http://schemas.openxmlformats.org/officeDocument/2006/relationships/oleObject" Target="file:///C:\Users\lemon\Documents\WPS%20Cloud%20Files\.221688084\cachedata\1E426D03916646AA85F85CCBAB3EE304\&#21512;&#32933;&#23398;&#38498;&#23601;&#19994;&#20840;&#24211;202212151008.xls" TargetMode="External"/></Relationships>
</file>

<file path=word/charts/_rels/chart25.xml.rels><?xml version="1.0" encoding="UTF-8" standalone="yes"?>
<Relationships xmlns="http://schemas.openxmlformats.org/package/2006/relationships"><Relationship Id="rId3" Type="http://schemas.microsoft.com/office/2011/relationships/chartColorStyle" Target="colors19.xml"/><Relationship Id="rId2" Type="http://schemas.microsoft.com/office/2011/relationships/chartStyle" Target="style19.xml"/><Relationship Id="rId1" Type="http://schemas.openxmlformats.org/officeDocument/2006/relationships/oleObject" Target="file:///C:\Users\lemon\Documents\WPS%20Cloud%20Files\.221688084\cachedata\1E426D03916646AA85F85CCBAB3EE304\&#21512;&#32933;&#23398;&#38498;&#23601;&#19994;&#20840;&#24211;202212151008.xls" TargetMode="External"/></Relationships>
</file>

<file path=word/charts/_rels/chart26.xml.rels><?xml version="1.0" encoding="UTF-8" standalone="yes"?>
<Relationships xmlns="http://schemas.openxmlformats.org/package/2006/relationships"><Relationship Id="rId3" Type="http://schemas.microsoft.com/office/2011/relationships/chartColorStyle" Target="colors15.xml"/><Relationship Id="rId2" Type="http://schemas.microsoft.com/office/2011/relationships/chartStyle" Target="style15.xml"/><Relationship Id="rId1" Type="http://schemas.openxmlformats.org/officeDocument/2006/relationships/oleObject" Target="file:///C:\Users\lemon\Documents\WPS%20Cloud%20Files\.221688084\cachedata\1E426D03916646AA85F85CCBAB3EE304\&#21512;&#32933;&#23398;&#38498;&#23601;&#19994;&#20840;&#24211;202212151008.xls" TargetMode="External"/></Relationships>
</file>

<file path=word/charts/_rels/chart27.xml.rels><?xml version="1.0" encoding="UTF-8" standalone="yes"?>
<Relationships xmlns="http://schemas.openxmlformats.org/package/2006/relationships"><Relationship Id="rId3" Type="http://schemas.microsoft.com/office/2011/relationships/chartColorStyle" Target="colors16.xml"/><Relationship Id="rId2" Type="http://schemas.microsoft.com/office/2011/relationships/chartStyle" Target="style16.xml"/><Relationship Id="rId1" Type="http://schemas.openxmlformats.org/officeDocument/2006/relationships/oleObject" Target="file:///C:\Users\lemon\Documents\WPS%20Cloud%20Files\.221688084\cachedata\1E426D03916646AA85F85CCBAB3EE304\&#21512;&#32933;&#23398;&#38498;&#23601;&#19994;&#20840;&#24211;202212151008.xls" TargetMode="External"/></Relationships>
</file>

<file path=word/charts/_rels/chart28.xml.rels><?xml version="1.0" encoding="UTF-8" standalone="yes"?>
<Relationships xmlns="http://schemas.openxmlformats.org/package/2006/relationships"><Relationship Id="rId3" Type="http://schemas.microsoft.com/office/2011/relationships/chartColorStyle" Target="colors23.xml"/><Relationship Id="rId2" Type="http://schemas.microsoft.com/office/2011/relationships/chartStyle" Target="style23.xml"/><Relationship Id="rId1" Type="http://schemas.openxmlformats.org/officeDocument/2006/relationships/oleObject" Target="file:///C:\Users\lemon\Documents\WPS%20Cloud%20Files\.221688084\cachedata\1E426D03916646AA85F85CCBAB3EE304\&#21512;&#32933;&#23398;&#38498;&#23601;&#19994;&#20840;&#24211;202212151008.xls" TargetMode="External"/></Relationships>
</file>

<file path=word/charts/_rels/chart29.xml.rels><?xml version="1.0" encoding="UTF-8" standalone="yes"?>
<Relationships xmlns="http://schemas.openxmlformats.org/package/2006/relationships"><Relationship Id="rId3" Type="http://schemas.microsoft.com/office/2011/relationships/chartColorStyle" Target="colors24.xml"/><Relationship Id="rId2" Type="http://schemas.microsoft.com/office/2011/relationships/chartStyle" Target="style24.xml"/><Relationship Id="rId1" Type="http://schemas.openxmlformats.org/officeDocument/2006/relationships/oleObject" Target="file:///C:\Users\lemon\Documents\WPS%20Cloud%20Files\.221688084\cachedata\1E426D03916646AA85F85CCBAB3EE304\&#21512;&#32933;&#23398;&#38498;&#23601;&#19994;&#20840;&#24211;202212151008.xls"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E:\06.%20&#23601;&#19994;&#31649;&#29702;\&#24635;&#32467;&#25253;&#21578;\2022&#24180;&#20154;&#22823;&#23398;&#38498;&#23601;&#19994;&#35780;&#20272;&#26448;&#26009;\&#21512;&#32933;&#23398;&#38498;&#23601;&#19994;&#20840;&#24211;202212191056.xls" TargetMode="External"/></Relationships>
</file>

<file path=word/charts/_rels/chart30.xml.rels><?xml version="1.0" encoding="UTF-8" standalone="yes"?>
<Relationships xmlns="http://schemas.openxmlformats.org/package/2006/relationships"><Relationship Id="rId4" Type="http://schemas.microsoft.com/office/2011/relationships/chartColorStyle" Target="colors25.xml"/><Relationship Id="rId3" Type="http://schemas.microsoft.com/office/2011/relationships/chartStyle" Target="style25.xml"/><Relationship Id="rId2" Type="http://schemas.openxmlformats.org/officeDocument/2006/relationships/themeOverride" Target="../theme/themeOverride3.xml"/><Relationship Id="rId1" Type="http://schemas.openxmlformats.org/officeDocument/2006/relationships/oleObject" Target="file:///E:\&#26053;&#28216;&#23398;&#38498;\&#23601;&#19994;\22&#23626;&#23601;&#19994;\&#23601;&#19994;&#32771;&#26680;\2022&#23601;&#19994;&#35780;&#20272;\&#21512;&#32933;&#23398;&#38498;&#23601;&#19994;&#20840;&#24211;202212151008.xls" TargetMode="External"/></Relationships>
</file>

<file path=word/charts/_rels/chart31.xml.rels><?xml version="1.0" encoding="UTF-8" standalone="yes"?>
<Relationships xmlns="http://schemas.openxmlformats.org/package/2006/relationships"><Relationship Id="rId4" Type="http://schemas.microsoft.com/office/2011/relationships/chartColorStyle" Target="colors20.xml"/><Relationship Id="rId3" Type="http://schemas.microsoft.com/office/2011/relationships/chartStyle" Target="style20.xml"/><Relationship Id="rId2" Type="http://schemas.openxmlformats.org/officeDocument/2006/relationships/themeOverride" Target="../theme/themeOverride1.xml"/><Relationship Id="rId1" Type="http://schemas.openxmlformats.org/officeDocument/2006/relationships/oleObject" Target="file:///E:\&#26053;&#28216;&#23398;&#38498;\&#23601;&#19994;\22&#23626;&#23601;&#19994;\&#23601;&#19994;&#32771;&#26680;\2022&#23601;&#19994;&#35780;&#20272;\&#21512;&#32933;&#23398;&#38498;&#23601;&#19994;&#20840;&#24211;202212151008.xls" TargetMode="External"/></Relationships>
</file>

<file path=word/charts/_rels/chart32.xml.rels><?xml version="1.0" encoding="UTF-8" standalone="yes"?>
<Relationships xmlns="http://schemas.openxmlformats.org/package/2006/relationships"><Relationship Id="rId3" Type="http://schemas.microsoft.com/office/2011/relationships/chartColorStyle" Target="colors26.xml"/><Relationship Id="rId2" Type="http://schemas.microsoft.com/office/2011/relationships/chartStyle" Target="style26.xml"/><Relationship Id="rId1" Type="http://schemas.openxmlformats.org/officeDocument/2006/relationships/oleObject" Target="file:///E:\&#26053;&#28216;&#23398;&#38498;\&#23601;&#19994;\22&#23626;&#23601;&#19994;\&#23601;&#19994;&#32771;&#26680;\2022&#23601;&#19994;&#35780;&#20272;\&#21512;&#32933;&#23398;&#38498;&#23601;&#19994;&#20840;&#24211;202212151008.xls" TargetMode="External"/></Relationships>
</file>

<file path=word/charts/_rels/chart33.xml.rels><?xml version="1.0" encoding="UTF-8" standalone="yes"?>
<Relationships xmlns="http://schemas.openxmlformats.org/package/2006/relationships"><Relationship Id="rId4" Type="http://schemas.microsoft.com/office/2011/relationships/chartColorStyle" Target="colors21.xml"/><Relationship Id="rId3" Type="http://schemas.microsoft.com/office/2011/relationships/chartStyle" Target="style21.xml"/><Relationship Id="rId2" Type="http://schemas.openxmlformats.org/officeDocument/2006/relationships/themeOverride" Target="../theme/themeOverride2.xml"/><Relationship Id="rId1" Type="http://schemas.openxmlformats.org/officeDocument/2006/relationships/oleObject" Target="file:///E:\&#26053;&#28216;&#23398;&#38498;\&#23601;&#19994;\22&#23626;&#23601;&#19994;\&#23601;&#19994;&#32771;&#26680;\2022&#23601;&#19994;&#35780;&#20272;\&#21512;&#32933;&#23398;&#38498;&#23601;&#19994;&#20840;&#24211;202212151008.xls"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E:\06.%20&#23601;&#19994;&#31649;&#29702;\&#24635;&#32467;&#25253;&#21578;\2022&#24180;&#20154;&#22823;&#23398;&#38498;&#23601;&#19994;&#35780;&#20272;&#26448;&#26009;\&#21512;&#32933;&#23398;&#38498;&#23601;&#19994;&#20840;&#24211;202212191056.xls"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E:\06.%20&#23601;&#19994;&#31649;&#29702;\&#24635;&#32467;&#25253;&#21578;\2022&#24180;&#20154;&#22823;&#23398;&#38498;&#23601;&#19994;&#35780;&#20272;&#26448;&#26009;\&#21512;&#32933;&#23398;&#38498;&#23601;&#19994;&#20840;&#24211;202212191056.xls"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E:\06.%20&#23601;&#19994;&#31649;&#29702;\&#24635;&#32467;&#25253;&#21578;\2022&#24180;&#20154;&#22823;&#23398;&#38498;&#23601;&#19994;&#35780;&#20272;&#26448;&#26009;\&#21512;&#32933;&#23398;&#38498;&#23601;&#19994;&#20840;&#24211;202212191056.xls"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E:\06.%20&#23601;&#19994;&#31649;&#29702;\&#24635;&#32467;&#25253;&#21578;\2022&#24180;&#20154;&#22823;&#23398;&#38498;&#23601;&#19994;&#35780;&#20272;&#26448;&#26009;\&#21512;&#32933;&#23398;&#38498;&#23601;&#19994;&#20840;&#24211;202212191056.xls" TargetMode="External"/></Relationships>
</file>

<file path=word/charts/_rels/chart8.xml.rels><?xml version="1.0" encoding="UTF-8" standalone="yes"?>
<Relationships xmlns="http://schemas.openxmlformats.org/package/2006/relationships"><Relationship Id="rId3" Type="http://schemas.microsoft.com/office/2011/relationships/chartColorStyle" Target="colors9.xml"/><Relationship Id="rId2" Type="http://schemas.microsoft.com/office/2011/relationships/chartStyle" Target="style9.xml"/><Relationship Id="rId1" Type="http://schemas.openxmlformats.org/officeDocument/2006/relationships/package" Target="../embeddings/Workbook9.xlsx"/></Relationships>
</file>

<file path=word/charts/_rels/chart9.xml.rels><?xml version="1.0" encoding="UTF-8" standalone="yes"?>
<Relationships xmlns="http://schemas.openxmlformats.org/package/2006/relationships"><Relationship Id="rId3" Type="http://schemas.microsoft.com/office/2011/relationships/chartColorStyle" Target="colors11.xml"/><Relationship Id="rId2" Type="http://schemas.microsoft.com/office/2011/relationships/chartStyle" Target="style11.xml"/><Relationship Id="rId1" Type="http://schemas.openxmlformats.org/officeDocument/2006/relationships/oleObject" Target="&#24037;&#20316;&#31807;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zh-CN" sz="1400" b="0" i="0" u="none" strike="noStrike" kern="1200" spc="0" baseline="0">
                <a:solidFill>
                  <a:schemeClr val="tx1">
                    <a:lumMod val="65000"/>
                    <a:lumOff val="35000"/>
                  </a:schemeClr>
                </a:solidFill>
                <a:latin typeface="+mn-lt"/>
                <a:ea typeface="+mn-ea"/>
                <a:cs typeface="+mn-cs"/>
              </a:defRPr>
            </a:pPr>
            <a:r>
              <a:rPr lang="zh-CN" altLang="zh-CN" sz="1800" b="1" i="0" baseline="0">
                <a:effectLst/>
              </a:rPr>
              <a:t>就业情况分布图</a:t>
            </a:r>
            <a:endParaRPr lang="zh-CN" altLang="zh-CN" sz="1800" b="1" i="0" baseline="0">
              <a:effectLst/>
            </a:endParaRPr>
          </a:p>
        </c:rich>
      </c:tx>
      <c:layout/>
      <c:overlay val="0"/>
      <c:spPr>
        <a:noFill/>
        <a:ln>
          <a:noFill/>
        </a:ln>
        <a:effectLst/>
      </c:spPr>
    </c:title>
    <c:autoTitleDeleted val="0"/>
    <c:plotArea>
      <c:layout/>
      <c:barChart>
        <c:barDir val="col"/>
        <c:grouping val="clustered"/>
        <c:varyColors val="0"/>
        <c:ser>
          <c:idx val="0"/>
          <c:order val="0"/>
          <c:tx>
            <c:strRef>
              <c:f>Sheet1!$B$1</c:f>
              <c:strCache>
                <c:ptCount val="1"/>
                <c:pt idx="0">
                  <c:v>本科</c:v>
                </c:pt>
              </c:strCache>
            </c:strRef>
          </c:tx>
          <c:spPr>
            <a:solidFill>
              <a:schemeClr val="accent1"/>
            </a:solidFill>
            <a:ln>
              <a:noFill/>
            </a:ln>
            <a:effectLst/>
          </c:spPr>
          <c:invertIfNegative val="0"/>
          <c:dPt>
            <c:idx val="1"/>
            <c:invertIfNegative val="0"/>
            <c:bubble3D val="0"/>
            <c:spPr>
              <a:solidFill>
                <a:schemeClr val="accent2"/>
              </a:solidFill>
              <a:ln>
                <a:noFill/>
              </a:ln>
              <a:effectLst/>
            </c:spPr>
          </c:dPt>
          <c:dPt>
            <c:idx val="3"/>
            <c:invertIfNegative val="0"/>
            <c:bubble3D val="0"/>
            <c:spPr>
              <a:solidFill>
                <a:schemeClr val="accent1">
                  <a:lumMod val="60000"/>
                  <a:lumOff val="40000"/>
                </a:schemeClr>
              </a:solidFill>
              <a:ln>
                <a:noFill/>
              </a:ln>
              <a:effectLst/>
            </c:spPr>
          </c:dPt>
          <c:dPt>
            <c:idx val="4"/>
            <c:invertIfNegative val="0"/>
            <c:bubble3D val="0"/>
            <c:spPr>
              <a:solidFill>
                <a:schemeClr val="accent2"/>
              </a:solidFill>
              <a:ln>
                <a:noFill/>
              </a:ln>
              <a:effectLst/>
            </c:spPr>
          </c:dPt>
          <c:dLbls>
            <c:delete val="1"/>
          </c:dLbls>
          <c:cat>
            <c:strRef>
              <c:f>Sheet1!$A$2:$A$8</c:f>
              <c:strCache>
                <c:ptCount val="7"/>
                <c:pt idx="0">
                  <c:v>企业</c:v>
                </c:pt>
                <c:pt idx="1">
                  <c:v>事业单位国企等</c:v>
                </c:pt>
                <c:pt idx="2">
                  <c:v>省内</c:v>
                </c:pt>
                <c:pt idx="3">
                  <c:v>合肥市</c:v>
                </c:pt>
                <c:pt idx="4">
                  <c:v>长三角</c:v>
                </c:pt>
                <c:pt idx="5">
                  <c:v>教育类</c:v>
                </c:pt>
                <c:pt idx="6">
                  <c:v>计算机类</c:v>
                </c:pt>
              </c:strCache>
            </c:strRef>
          </c:cat>
          <c:val>
            <c:numRef>
              <c:f>Sheet1!$B$2:$B$8</c:f>
              <c:numCache>
                <c:formatCode>0.00%</c:formatCode>
                <c:ptCount val="7"/>
                <c:pt idx="0">
                  <c:v>0.9097</c:v>
                </c:pt>
                <c:pt idx="1">
                  <c:v>0.0903</c:v>
                </c:pt>
                <c:pt idx="2">
                  <c:v>0.7047</c:v>
                </c:pt>
                <c:pt idx="3">
                  <c:v>0.5302</c:v>
                </c:pt>
                <c:pt idx="4">
                  <c:v>0.1444</c:v>
                </c:pt>
                <c:pt idx="5">
                  <c:v>0.097</c:v>
                </c:pt>
                <c:pt idx="6">
                  <c:v>0.75</c:v>
                </c:pt>
              </c:numCache>
            </c:numRef>
          </c:val>
        </c:ser>
        <c:dLbls>
          <c:showLegendKey val="0"/>
          <c:showVal val="0"/>
          <c:showCatName val="0"/>
          <c:showSerName val="0"/>
          <c:showPercent val="0"/>
          <c:showBubbleSize val="0"/>
        </c:dLbls>
        <c:gapWidth val="219"/>
        <c:overlap val="-27"/>
        <c:axId val="187409920"/>
        <c:axId val="187411840"/>
      </c:barChart>
      <c:catAx>
        <c:axId val="1874099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187411840"/>
        <c:crosses val="autoZero"/>
        <c:auto val="1"/>
        <c:lblAlgn val="ctr"/>
        <c:lblOffset val="100"/>
        <c:noMultiLvlLbl val="0"/>
      </c:catAx>
      <c:valAx>
        <c:axId val="187411840"/>
        <c:scaling>
          <c:orientation val="minMax"/>
          <c:max val="1"/>
        </c:scaling>
        <c:delete val="0"/>
        <c:axPos val="l"/>
        <c:majorGridlines>
          <c:spPr>
            <a:ln w="9525" cap="flat" cmpd="sng" algn="ctr">
              <a:solidFill>
                <a:schemeClr val="tx1">
                  <a:lumMod val="15000"/>
                  <a:lumOff val="85000"/>
                </a:schemeClr>
              </a:solidFill>
              <a:prstDash val="solid"/>
              <a:round/>
            </a:ln>
            <a:effectLst/>
          </c:spPr>
        </c:majorGridlines>
        <c:numFmt formatCode="0.00%" sourceLinked="0"/>
        <c:majorTickMark val="none"/>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18740992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prstDash val="solid"/>
      <a:round/>
    </a:ln>
    <a:effectLst/>
  </c:spPr>
  <c:txPr>
    <a:bodyPr/>
    <a:lstStyle/>
    <a:p>
      <a:pPr>
        <a:defRPr lang="zh-CN"/>
      </a:pPr>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zh-CN" sz="1800" b="1" i="0" u="none" strike="noStrike" kern="1200" baseline="0">
                <a:solidFill>
                  <a:schemeClr val="dk1">
                    <a:lumMod val="65000"/>
                    <a:lumOff val="35000"/>
                  </a:schemeClr>
                </a:solidFill>
                <a:latin typeface="+mn-lt"/>
                <a:ea typeface="+mn-ea"/>
                <a:cs typeface="+mn-cs"/>
              </a:defRPr>
            </a:pPr>
            <a:r>
              <a:rPr lang="zh-CN"/>
              <a:t>男生就业率</a:t>
            </a:r>
            <a:endParaRPr lang="zh-CN"/>
          </a:p>
        </c:rich>
      </c:tx>
      <c:layout/>
      <c:overlay val="0"/>
      <c:spPr>
        <a:noFill/>
        <a:ln>
          <a:noFill/>
        </a:ln>
        <a:effectLst/>
      </c:spPr>
    </c:title>
    <c:autoTitleDeleted val="0"/>
    <c:plotArea>
      <c:layout/>
      <c:pieChart>
        <c:varyColors val="1"/>
        <c:ser>
          <c:idx val="0"/>
          <c:order val="0"/>
          <c:spPr/>
          <c:explosion val="0"/>
          <c:dPt>
            <c:idx val="0"/>
            <c:bubble3D val="0"/>
            <c:spPr>
              <a:solidFill>
                <a:schemeClr val="accent1"/>
              </a:solidFill>
              <a:ln>
                <a:noFill/>
              </a:ln>
              <a:effectLst>
                <a:outerShdw blurRad="317500" algn="ctr" rotWithShape="0">
                  <a:prstClr val="black">
                    <a:alpha val="25000"/>
                  </a:prstClr>
                </a:outerShdw>
              </a:effectLst>
            </c:spPr>
          </c:dPt>
          <c:dPt>
            <c:idx val="1"/>
            <c:bubble3D val="0"/>
            <c:spPr>
              <a:solidFill>
                <a:schemeClr val="accent2"/>
              </a:solidFill>
              <a:ln>
                <a:noFill/>
              </a:ln>
              <a:effectLst>
                <a:outerShdw blurRad="317500" algn="ctr" rotWithShape="0">
                  <a:prstClr val="black">
                    <a:alpha val="25000"/>
                  </a:prstClr>
                </a:outerShdw>
              </a:effectLst>
            </c:spPr>
          </c:dPt>
          <c:dLbls>
            <c:dLbl>
              <c:idx val="0"/>
              <c:layout/>
              <c:tx>
                <c:rich>
                  <a:bodyPr rot="0" spcFirstLastPara="1" vertOverflow="ellipsis" vert="horz" wrap="square" lIns="38100" tIns="19050" rIns="38100" bIns="19050" anchor="ctr" anchorCtr="1"/>
                  <a:lstStyle/>
                  <a:p>
                    <a:fld id="{534d2eb6-1519-42f9-9ead-81d17d62016c}" type="CATEGORYNAME">
                      <a:t>[CATEGORY NAME]</a:t>
                    </a:fld>
                  </a:p>
                </c:rich>
              </c:tx>
              <c:dLblPos val="inEnd"/>
              <c:showLegendKey val="0"/>
              <c:showVal val="0"/>
              <c:showCatName val="1"/>
              <c:showSerName val="0"/>
              <c:showPercent val="1"/>
              <c:showBubbleSize val="0"/>
              <c:separator>
</c:separator>
              <c:extLst>
                <c:ext xmlns:c15="http://schemas.microsoft.com/office/drawing/2012/chart" uri="{CE6537A1-D6FC-4f65-9D91-7224C49458BB}"/>
              </c:extLst>
            </c:dLbl>
            <c:dLbl>
              <c:idx val="1"/>
              <c:layout/>
              <c:tx>
                <c:rich>
                  <a:bodyPr rot="0" spcFirstLastPara="1" vertOverflow="ellipsis" vert="horz" wrap="square" lIns="38100" tIns="19050" rIns="38100" bIns="19050" anchor="ctr" anchorCtr="1"/>
                  <a:lstStyle/>
                  <a:p>
                    <a:fld id="{9607865b-4d07-441d-b837-130c89386ed2}" type="CATEGORYNAME">
                      <a:t>[CATEGORY NAME]</a:t>
                    </a:fld>
                  </a:p>
                </c:rich>
              </c:tx>
              <c:dLblPos val="inEnd"/>
              <c:showLegendKey val="0"/>
              <c:showVal val="0"/>
              <c:showCatName val="1"/>
              <c:showSerName val="0"/>
              <c:showPercent val="1"/>
              <c:showBubbleSize val="0"/>
              <c:separator>
</c:separator>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lang="zh-CN" sz="900" b="1" i="0" u="none" strike="noStrike" kern="1200" baseline="0">
                    <a:solidFill>
                      <a:schemeClr val="lt1"/>
                    </a:solidFill>
                    <a:latin typeface="+mn-lt"/>
                    <a:ea typeface="+mn-ea"/>
                    <a:cs typeface="+mn-cs"/>
                  </a:defRPr>
                </a:pPr>
              </a:p>
            </c:txPr>
            <c:dLblPos val="inEnd"/>
            <c:showLegendKey val="0"/>
            <c:showVal val="0"/>
            <c:showCatName val="1"/>
            <c:showSerName val="0"/>
            <c:showPercent val="1"/>
            <c:showBubbleSize val="0"/>
            <c:showLeaderLines val="1"/>
            <c:extLst>
              <c:ext xmlns:c15="http://schemas.microsoft.com/office/drawing/2012/chart" uri="{CE6537A1-D6FC-4f65-9D91-7224C49458BB}">
                <c15:layout/>
                <c15:showLeaderLines val="1"/>
                <c15:leaderLines>
                  <c:spPr>
                    <a:ln w="9525" cap="flat" cmpd="sng" algn="ctr">
                      <a:solidFill>
                        <a:schemeClr val="dk1">
                          <a:lumMod val="35000"/>
                          <a:lumOff val="65000"/>
                        </a:schemeClr>
                      </a:solidFill>
                      <a:round/>
                    </a:ln>
                    <a:effectLst/>
                  </c:spPr>
                </c15:leaderLines>
              </c:ext>
            </c:extLst>
          </c:dLbls>
          <c:cat>
            <c:strRef>
              <c:f>[工作簿1]Sheet1!$A$1:$A$2</c:f>
              <c:strCache>
                <c:ptCount val="2"/>
                <c:pt idx="0">
                  <c:v>已就业</c:v>
                </c:pt>
                <c:pt idx="1">
                  <c:v>未就业</c:v>
                </c:pt>
              </c:strCache>
            </c:strRef>
          </c:cat>
          <c:val>
            <c:numRef>
              <c:f>[工作簿1]Sheet1!$B$1:$B$2</c:f>
              <c:numCache>
                <c:formatCode>General</c:formatCode>
                <c:ptCount val="2"/>
                <c:pt idx="0">
                  <c:v>33</c:v>
                </c:pt>
                <c:pt idx="1">
                  <c:v>2</c:v>
                </c:pt>
              </c:numCache>
            </c:numRef>
          </c:val>
        </c:ser>
        <c:dLbls>
          <c:showLegendKey val="0"/>
          <c:showVal val="0"/>
          <c:showCatName val="0"/>
          <c:showSerName val="0"/>
          <c:showPercent val="1"/>
          <c:showBubbleSize val="0"/>
          <c:showLeaderLines val="1"/>
        </c:dLbls>
        <c:firstSliceAng val="0"/>
      </c:pieChart>
      <c:spPr>
        <a:noFill/>
        <a:ln>
          <a:noFill/>
        </a:ln>
        <a:effectLst/>
      </c:spPr>
    </c:plotArea>
    <c:legend>
      <c:legendPos val="b"/>
      <c:layout/>
      <c:overlay val="0"/>
      <c:spPr>
        <a:solidFill>
          <a:schemeClr val="lt1">
            <a:alpha val="78000"/>
          </a:schemeClr>
        </a:solidFill>
        <a:ln>
          <a:noFill/>
        </a:ln>
        <a:effectLst/>
      </c:spPr>
      <c:txPr>
        <a:bodyPr rot="0" spcFirstLastPara="1" vertOverflow="ellipsis" vert="horz" wrap="square" anchor="ctr" anchorCtr="1"/>
        <a:lstStyle/>
        <a:p>
          <a:pPr>
            <a:defRPr lang="zh-CN" sz="900" b="0" i="0" u="none" strike="noStrike" kern="1200" baseline="0">
              <a:solidFill>
                <a:schemeClr val="dk1">
                  <a:lumMod val="65000"/>
                  <a:lumOff val="35000"/>
                </a:schemeClr>
              </a:solidFill>
              <a:latin typeface="+mn-lt"/>
              <a:ea typeface="+mn-ea"/>
              <a:cs typeface="+mn-cs"/>
            </a:defRPr>
          </a:pPr>
        </a:p>
      </c:txPr>
    </c:legend>
    <c:plotVisOnly val="1"/>
    <c:dispBlanksAs val="gap"/>
    <c:showDLblsOverMax val="0"/>
  </c:chart>
  <c:spPr>
    <a:pattFill prst="dkDnDiag">
      <a:fgClr>
        <a:schemeClr val="lt1">
          <a:lumMod val="95000"/>
        </a:schemeClr>
      </a:fgClr>
      <a:bgClr>
        <a:schemeClr val="lt1"/>
      </a:bgClr>
    </a:pattFill>
    <a:ln w="9525" cap="flat" cmpd="sng" algn="ctr">
      <a:solidFill>
        <a:schemeClr val="dk1">
          <a:lumMod val="15000"/>
          <a:lumOff val="85000"/>
        </a:schemeClr>
      </a:solidFill>
      <a:round/>
    </a:ln>
    <a:effectLst/>
  </c:spPr>
  <c:txPr>
    <a:bodyPr/>
    <a:lstStyle/>
    <a:p>
      <a:pPr>
        <a:defRPr lang="zh-CN"/>
      </a:pPr>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layout/>
      <c:overlay val="0"/>
      <c:spPr>
        <a:noFill/>
        <a:ln>
          <a:noFill/>
        </a:ln>
        <a:effectLst/>
      </c:spPr>
      <c:txPr>
        <a:bodyPr rot="0" spcFirstLastPara="1" vertOverflow="ellipsis" vert="horz" wrap="square" anchor="ctr" anchorCtr="1"/>
        <a:lstStyle/>
        <a:p>
          <a:pPr>
            <a:defRPr lang="zh-CN" sz="1600" b="1" i="0" u="none" strike="noStrike" kern="1200" spc="0" normalizeH="0" baseline="0">
              <a:solidFill>
                <a:schemeClr val="dk1">
                  <a:lumMod val="50000"/>
                  <a:lumOff val="50000"/>
                </a:schemeClr>
              </a:solidFill>
              <a:latin typeface="+mj-lt"/>
              <a:ea typeface="+mj-ea"/>
              <a:cs typeface="+mj-cs"/>
            </a:defRPr>
          </a:pPr>
        </a:p>
      </c:txPr>
    </c:title>
    <c:autoTitleDeleted val="0"/>
    <c:plotArea>
      <c:layout/>
      <c:pieChart>
        <c:varyColors val="1"/>
        <c:ser>
          <c:idx val="0"/>
          <c:order val="0"/>
          <c:tx>
            <c:strRef>
              <c:f>Sheet1!$B$1</c:f>
              <c:strCache>
                <c:ptCount val="1"/>
                <c:pt idx="0">
                  <c:v>专业相关度</c:v>
                </c:pt>
              </c:strCache>
            </c:strRef>
          </c:tx>
          <c:spPr/>
          <c:explosion val="0"/>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Lbls>
            <c:dLbl>
              <c:idx val="0"/>
              <c:layout>
                <c:manualLayout>
                  <c:x val="-0.13964120425231"/>
                  <c:y val="-0.144177210046887"/>
                </c:manualLayout>
              </c:layout>
              <c:tx>
                <c:rich>
                  <a:bodyPr rot="0" spcFirstLastPara="1" vertOverflow="ellipsis" vert="horz" wrap="square" lIns="38100" tIns="19050" rIns="38100" bIns="19050" anchor="ctr" anchorCtr="1"/>
                  <a:lstStyle/>
                  <a:p>
                    <a:fld id="{b0e039df-2b74-42b8-bb52-5a62684d5d02}" type="VALUE">
                      <a:t>[VALUE]</a:t>
                    </a:fld>
                  </a:p>
                </c:rich>
              </c:tx>
              <c:dLblPos val="bestFi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0.13614766670901"/>
                  <c:y val="0.114084005753151"/>
                </c:manualLayout>
              </c:layout>
              <c:tx>
                <c:rich>
                  <a:bodyPr rot="0" spcFirstLastPara="1" vertOverflow="ellipsis" vert="horz" wrap="square" lIns="38100" tIns="19050" rIns="38100" bIns="19050" anchor="ctr" anchorCtr="1"/>
                  <a:lstStyle/>
                  <a:p>
                    <a:pPr>
                      <a:defRPr lang="zh-CN" sz="900" b="0" i="0" u="none" strike="noStrike" kern="1200" baseline="0">
                        <a:solidFill>
                          <a:schemeClr val="dk1">
                            <a:lumMod val="75000"/>
                            <a:lumOff val="25000"/>
                          </a:schemeClr>
                        </a:solidFill>
                        <a:latin typeface="+mn-lt"/>
                        <a:ea typeface="+mn-ea"/>
                        <a:cs typeface="+mn-cs"/>
                      </a:defRPr>
                    </a:pPr>
                    <a:r>
                      <a:rPr lang="zh-CN" altLang="en-US"/>
                      <a:t>不相关人数</a:t>
                    </a:r>
                    <a:endParaRPr lang="zh-CN" altLang="en-US"/>
                  </a:p>
                  <a:p>
                    <a:pPr>
                      <a:defRPr lang="zh-CN" sz="900" b="0" i="0" u="none" strike="noStrike" kern="1200" baseline="0">
                        <a:solidFill>
                          <a:schemeClr val="dk1">
                            <a:lumMod val="75000"/>
                            <a:lumOff val="25000"/>
                          </a:schemeClr>
                        </a:solidFill>
                        <a:latin typeface="+mn-lt"/>
                        <a:ea typeface="+mn-ea"/>
                        <a:cs typeface="+mn-cs"/>
                      </a:defRPr>
                    </a:pPr>
                    <a:r>
                      <a:rPr lang="en-US" altLang="zh-CN"/>
                      <a:t>63</a:t>
                    </a:r>
                    <a:endParaRPr lang="en-US" altLang="zh-CN"/>
                  </a:p>
                </c:rich>
              </c:tx>
              <c:dLblPos val="bestFi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dk1">
                        <a:lumMod val="75000"/>
                        <a:lumOff val="25000"/>
                      </a:schemeClr>
                    </a:solidFill>
                    <a:latin typeface="+mn-lt"/>
                    <a:ea typeface="+mn-ea"/>
                    <a:cs typeface="+mn-cs"/>
                  </a:defRPr>
                </a:pPr>
              </a:p>
            </c:txPr>
            <c:dLblPos val="bestFit"/>
            <c:showLegendKey val="0"/>
            <c:showVal val="1"/>
            <c:showCatName val="0"/>
            <c:showSerName val="0"/>
            <c:showPercent val="0"/>
            <c:showBubbleSize val="0"/>
            <c:showLeaderLines val="1"/>
            <c:extLst>
              <c:ext xmlns:c15="http://schemas.microsoft.com/office/drawing/2012/chart" uri="{CE6537A1-D6FC-4f65-9D91-7224C49458BB}">
                <c15:layout/>
                <c15:showLeaderLines val="1"/>
                <c15:leaderLines>
                  <c:spPr>
                    <a:ln w="9525" cap="flat" cmpd="sng" algn="ctr">
                      <a:solidFill>
                        <a:schemeClr val="dk1">
                          <a:lumMod val="35000"/>
                          <a:lumOff val="65000"/>
                        </a:schemeClr>
                      </a:solidFill>
                      <a:round/>
                    </a:ln>
                    <a:effectLst/>
                  </c:spPr>
                </c15:leaderLines>
              </c:ext>
            </c:extLst>
          </c:dLbls>
          <c:cat>
            <c:strRef>
              <c:f>Sheet1!$A$2:$A$5</c:f>
              <c:strCache>
                <c:ptCount val="2"/>
                <c:pt idx="0">
                  <c:v>相关</c:v>
                </c:pt>
                <c:pt idx="1">
                  <c:v>不相关</c:v>
                </c:pt>
              </c:strCache>
            </c:strRef>
          </c:cat>
          <c:val>
            <c:numRef>
              <c:f>Sheet1!$B$2:$B$5</c:f>
              <c:numCache>
                <c:formatCode>General</c:formatCode>
                <c:ptCount val="2"/>
                <c:pt idx="0">
                  <c:v>152</c:v>
                </c:pt>
                <c:pt idx="1">
                  <c:v>63</c:v>
                </c:pt>
              </c:numCache>
            </c:numRef>
          </c:val>
        </c:ser>
        <c:dLbls>
          <c:showLegendKey val="0"/>
          <c:showVal val="0"/>
          <c:showCatName val="0"/>
          <c:showSerName val="0"/>
          <c:showPercent val="0"/>
          <c:showBubbleSize val="0"/>
          <c:showLeaderLines val="1"/>
        </c:dLbls>
        <c:firstSliceAng val="0"/>
      </c:pieChart>
      <c:spPr>
        <a:noFill/>
        <a:ln>
          <a:noFill/>
        </a:ln>
        <a:effectLst/>
      </c:spPr>
    </c:plotArea>
    <c:legend>
      <c:legendPos val="r"/>
      <c:layout>
        <c:manualLayout>
          <c:xMode val="edge"/>
          <c:yMode val="edge"/>
          <c:x val="0.758156801553189"/>
          <c:y val="0.379350414015586"/>
          <c:w val="0.12144830319037"/>
          <c:h val="0.274767233043238"/>
        </c:manualLayout>
      </c:layout>
      <c:overlay val="0"/>
      <c:spPr>
        <a:solidFill>
          <a:schemeClr val="lt1">
            <a:alpha val="50000"/>
          </a:schemeClr>
        </a:solidFill>
        <a:ln>
          <a:noFill/>
        </a:ln>
        <a:effectLst/>
      </c:spPr>
      <c:txPr>
        <a:bodyPr rot="0" spcFirstLastPara="1" vertOverflow="ellipsis" vert="horz" wrap="square" anchor="ctr" anchorCtr="1"/>
        <a:lstStyle/>
        <a:p>
          <a:pPr>
            <a:defRPr lang="zh-CN" sz="900" b="0" i="0" u="none" strike="noStrike" kern="1200" baseline="0">
              <a:solidFill>
                <a:schemeClr val="dk1">
                  <a:lumMod val="65000"/>
                  <a:lumOff val="35000"/>
                </a:schemeClr>
              </a:solidFill>
              <a:latin typeface="+mn-lt"/>
              <a:ea typeface="+mn-ea"/>
              <a:cs typeface="+mn-cs"/>
            </a:defRPr>
          </a:pPr>
        </a:p>
      </c:txPr>
    </c:legend>
    <c:plotVisOnly val="1"/>
    <c:dispBlanksAs val="gap"/>
    <c:showDLblsOverMax val="0"/>
  </c:chart>
  <c:spPr>
    <a:noFill/>
    <a:ln w="9525" cap="flat" cmpd="sng" algn="ctr">
      <a:solidFill>
        <a:schemeClr val="dk1">
          <a:lumMod val="15000"/>
          <a:lumOff val="85000"/>
        </a:schemeClr>
      </a:solidFill>
      <a:round/>
    </a:ln>
    <a:effectLst/>
  </c:spPr>
  <c:txPr>
    <a:bodyPr/>
    <a:lstStyle/>
    <a:p>
      <a:pPr>
        <a:defRPr lang="zh-CN"/>
      </a:pPr>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zh-CN" sz="1400" b="0" i="0" u="none" strike="noStrike" kern="1200" spc="0" baseline="0">
                <a:solidFill>
                  <a:schemeClr val="tx1">
                    <a:lumMod val="65000"/>
                    <a:lumOff val="35000"/>
                  </a:schemeClr>
                </a:solidFill>
                <a:latin typeface="+mn-lt"/>
                <a:ea typeface="+mn-ea"/>
                <a:cs typeface="+mn-cs"/>
              </a:defRPr>
            </a:pPr>
            <a:r>
              <a:rPr lang="zh-CN" altLang="en-US"/>
              <a:t>就业类型情况</a:t>
            </a:r>
            <a:endParaRPr lang="en-US" altLang="zh-CN"/>
          </a:p>
        </c:rich>
      </c:tx>
      <c:layout/>
      <c:overlay val="0"/>
      <c:spPr>
        <a:noFill/>
        <a:ln>
          <a:noFill/>
        </a:ln>
        <a:effectLst/>
      </c:spPr>
    </c:title>
    <c:autoTitleDeleted val="0"/>
    <c:plotArea>
      <c:layout/>
      <c:barChart>
        <c:barDir val="col"/>
        <c:grouping val="clustered"/>
        <c:varyColors val="0"/>
        <c:ser>
          <c:idx val="0"/>
          <c:order val="0"/>
          <c:tx>
            <c:strRef>
              <c:f>Sheet1!$B$1</c:f>
              <c:strCache>
                <c:ptCount val="1"/>
                <c:pt idx="0">
                  <c:v>系列 1</c:v>
                </c:pt>
              </c:strCache>
            </c:strRef>
          </c:tx>
          <c:spPr>
            <a:solidFill>
              <a:schemeClr val="accent1"/>
            </a:solidFill>
            <a:ln>
              <a:noFill/>
            </a:ln>
            <a:effectLst/>
          </c:spPr>
          <c:invertIfNegative val="0"/>
          <c:dLbls>
            <c:delete val="1"/>
          </c:dLbls>
          <c:cat>
            <c:strRef>
              <c:f>Sheet1!$A$2:$A$6</c:f>
              <c:strCache>
                <c:ptCount val="5"/>
                <c:pt idx="0">
                  <c:v>公务员事业单位</c:v>
                </c:pt>
                <c:pt idx="1">
                  <c:v>国有企业</c:v>
                </c:pt>
                <c:pt idx="2">
                  <c:v>私营企业</c:v>
                </c:pt>
                <c:pt idx="3">
                  <c:v>参军入伍</c:v>
                </c:pt>
                <c:pt idx="4">
                  <c:v>西部计划</c:v>
                </c:pt>
              </c:strCache>
            </c:strRef>
          </c:cat>
          <c:val>
            <c:numRef>
              <c:f>Sheet1!$B$2:$B$6</c:f>
              <c:numCache>
                <c:formatCode>General</c:formatCode>
                <c:ptCount val="5"/>
                <c:pt idx="0">
                  <c:v>12</c:v>
                </c:pt>
                <c:pt idx="1">
                  <c:v>16</c:v>
                </c:pt>
                <c:pt idx="2">
                  <c:v>183</c:v>
                </c:pt>
                <c:pt idx="3">
                  <c:v>2</c:v>
                </c:pt>
                <c:pt idx="4">
                  <c:v>2</c:v>
                </c:pt>
              </c:numCache>
            </c:numRef>
          </c:val>
        </c:ser>
        <c:dLbls>
          <c:showLegendKey val="0"/>
          <c:showVal val="0"/>
          <c:showCatName val="0"/>
          <c:showSerName val="0"/>
          <c:showPercent val="0"/>
          <c:showBubbleSize val="0"/>
        </c:dLbls>
        <c:gapWidth val="219"/>
        <c:overlap val="-27"/>
        <c:axId val="1746990752"/>
        <c:axId val="1864347248"/>
      </c:barChart>
      <c:catAx>
        <c:axId val="17469907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1864347248"/>
        <c:crosses val="autoZero"/>
        <c:auto val="1"/>
        <c:lblAlgn val="ctr"/>
        <c:lblOffset val="100"/>
        <c:noMultiLvlLbl val="0"/>
      </c:catAx>
      <c:valAx>
        <c:axId val="18643472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17469907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zh-CN" sz="1400" b="0" i="0" u="none" strike="noStrike" kern="1200" spc="0" baseline="0">
                <a:solidFill>
                  <a:schemeClr val="tx1">
                    <a:lumMod val="65000"/>
                    <a:lumOff val="35000"/>
                  </a:schemeClr>
                </a:solidFill>
                <a:latin typeface="+mn-lt"/>
                <a:ea typeface="+mn-ea"/>
                <a:cs typeface="+mn-cs"/>
              </a:defRPr>
            </a:pPr>
            <a:r>
              <a:rPr lang="zh-CN" altLang="zh-CN" sz="1800" b="0" i="0" baseline="0">
                <a:effectLst/>
              </a:rPr>
              <a:t>参加工作学生就业地区图</a:t>
            </a:r>
            <a:endParaRPr lang="zh-CN" altLang="zh-CN" b="0">
              <a:effectLst/>
            </a:endParaRPr>
          </a:p>
        </c:rich>
      </c:tx>
      <c:layout/>
      <c:overlay val="0"/>
      <c:spPr>
        <a:noFill/>
        <a:ln>
          <a:noFill/>
        </a:ln>
        <a:effectLst/>
      </c:spPr>
    </c:title>
    <c:autoTitleDeleted val="0"/>
    <c:plotArea>
      <c:layout/>
      <c:barChart>
        <c:barDir val="col"/>
        <c:grouping val="clustered"/>
        <c:varyColors val="0"/>
        <c:ser>
          <c:idx val="0"/>
          <c:order val="0"/>
          <c:tx>
            <c:strRef>
              <c:f>Sheet1!$B$1</c:f>
              <c:strCache>
                <c:ptCount val="1"/>
                <c:pt idx="0">
                  <c:v>系列 1</c:v>
                </c:pt>
              </c:strCache>
            </c:strRef>
          </c:tx>
          <c:spPr>
            <a:solidFill>
              <a:schemeClr val="accent1"/>
            </a:solidFill>
            <a:ln>
              <a:noFill/>
            </a:ln>
            <a:effectLst/>
          </c:spPr>
          <c:invertIfNegative val="0"/>
          <c:dLbls>
            <c:delete val="1"/>
          </c:dLbls>
          <c:cat>
            <c:strRef>
              <c:f>Sheet1!$A$2:$A$4</c:f>
              <c:strCache>
                <c:ptCount val="3"/>
                <c:pt idx="0">
                  <c:v>安徽省内</c:v>
                </c:pt>
                <c:pt idx="1">
                  <c:v>江浙沪</c:v>
                </c:pt>
                <c:pt idx="2">
                  <c:v>其他地区</c:v>
                </c:pt>
              </c:strCache>
            </c:strRef>
          </c:cat>
          <c:val>
            <c:numRef>
              <c:f>Sheet1!$B$2:$B$4</c:f>
              <c:numCache>
                <c:formatCode>General</c:formatCode>
                <c:ptCount val="3"/>
                <c:pt idx="0">
                  <c:v>133</c:v>
                </c:pt>
                <c:pt idx="1">
                  <c:v>34</c:v>
                </c:pt>
                <c:pt idx="2">
                  <c:v>48</c:v>
                </c:pt>
              </c:numCache>
            </c:numRef>
          </c:val>
        </c:ser>
        <c:dLbls>
          <c:showLegendKey val="0"/>
          <c:showVal val="0"/>
          <c:showCatName val="0"/>
          <c:showSerName val="0"/>
          <c:showPercent val="0"/>
          <c:showBubbleSize val="0"/>
        </c:dLbls>
        <c:gapWidth val="219"/>
        <c:overlap val="-27"/>
        <c:axId val="1858806112"/>
        <c:axId val="1864338512"/>
      </c:barChart>
      <c:catAx>
        <c:axId val="1858806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1864338512"/>
        <c:crosses val="autoZero"/>
        <c:auto val="1"/>
        <c:lblAlgn val="ctr"/>
        <c:lblOffset val="100"/>
        <c:noMultiLvlLbl val="0"/>
      </c:catAx>
      <c:valAx>
        <c:axId val="18643385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1858806112"/>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zh-CN" sz="1400" b="0" i="0" u="none" strike="noStrike" kern="1200" spc="0" baseline="0">
                <a:solidFill>
                  <a:schemeClr val="tx1">
                    <a:lumMod val="65000"/>
                    <a:lumOff val="35000"/>
                  </a:schemeClr>
                </a:solidFill>
                <a:latin typeface="+mn-lt"/>
                <a:ea typeface="+mn-ea"/>
                <a:cs typeface="+mn-cs"/>
              </a:defRPr>
            </a:pPr>
            <a:r>
              <a:rPr lang="zh-CN" altLang="en-US"/>
              <a:t>行业分布情况</a:t>
            </a:r>
            <a:endParaRPr lang="en-US" altLang="zh-CN"/>
          </a:p>
        </c:rich>
      </c:tx>
      <c:layout/>
      <c:overlay val="0"/>
      <c:spPr>
        <a:noFill/>
        <a:ln>
          <a:noFill/>
        </a:ln>
        <a:effectLst/>
      </c:spPr>
    </c:title>
    <c:autoTitleDeleted val="0"/>
    <c:plotArea>
      <c:layout/>
      <c:barChart>
        <c:barDir val="bar"/>
        <c:grouping val="clustered"/>
        <c:varyColors val="0"/>
        <c:ser>
          <c:idx val="0"/>
          <c:order val="0"/>
          <c:tx>
            <c:strRef>
              <c:f>Sheet1!$B$1</c:f>
              <c:strCache>
                <c:ptCount val="1"/>
                <c:pt idx="0">
                  <c:v>系列 1</c:v>
                </c:pt>
              </c:strCache>
            </c:strRef>
          </c:tx>
          <c:spPr>
            <a:solidFill>
              <a:schemeClr val="accent1"/>
            </a:solidFill>
            <a:ln>
              <a:noFill/>
            </a:ln>
            <a:effectLst/>
          </c:spPr>
          <c:invertIfNegative val="0"/>
          <c:dLbls>
            <c:delete val="1"/>
          </c:dLbls>
          <c:cat>
            <c:strRef>
              <c:f>Sheet1!$A$2:$A$14</c:f>
              <c:strCache>
                <c:ptCount val="13"/>
                <c:pt idx="0">
                  <c:v>农、林、牧、渔业</c:v>
                </c:pt>
                <c:pt idx="1">
                  <c:v>制造业</c:v>
                </c:pt>
                <c:pt idx="2">
                  <c:v>建筑业</c:v>
                </c:pt>
                <c:pt idx="3">
                  <c:v>批发和零售业</c:v>
                </c:pt>
                <c:pt idx="4">
                  <c:v>住宿和餐饮业</c:v>
                </c:pt>
                <c:pt idx="5">
                  <c:v>信息传输、软件和信息技术服务业</c:v>
                </c:pt>
                <c:pt idx="6">
                  <c:v>金融业</c:v>
                </c:pt>
                <c:pt idx="7">
                  <c:v>房地产业</c:v>
                </c:pt>
                <c:pt idx="8">
                  <c:v>租赁和商务服务业</c:v>
                </c:pt>
                <c:pt idx="9">
                  <c:v>教育</c:v>
                </c:pt>
                <c:pt idx="10">
                  <c:v>文化、体育和娱乐业</c:v>
                </c:pt>
                <c:pt idx="11">
                  <c:v>公共管理、社会保障和社会组织</c:v>
                </c:pt>
                <c:pt idx="12">
                  <c:v>军队</c:v>
                </c:pt>
              </c:strCache>
            </c:strRef>
          </c:cat>
          <c:val>
            <c:numRef>
              <c:f>Sheet1!$B$2:$B$14</c:f>
              <c:numCache>
                <c:formatCode>General</c:formatCode>
                <c:ptCount val="13"/>
                <c:pt idx="0">
                  <c:v>7</c:v>
                </c:pt>
                <c:pt idx="1">
                  <c:v>32</c:v>
                </c:pt>
                <c:pt idx="2">
                  <c:v>27</c:v>
                </c:pt>
                <c:pt idx="3">
                  <c:v>30</c:v>
                </c:pt>
                <c:pt idx="4">
                  <c:v>3</c:v>
                </c:pt>
                <c:pt idx="5">
                  <c:v>28</c:v>
                </c:pt>
                <c:pt idx="6">
                  <c:v>4</c:v>
                </c:pt>
                <c:pt idx="7">
                  <c:v>4</c:v>
                </c:pt>
                <c:pt idx="8">
                  <c:v>45</c:v>
                </c:pt>
                <c:pt idx="9">
                  <c:v>24</c:v>
                </c:pt>
                <c:pt idx="10">
                  <c:v>25</c:v>
                </c:pt>
                <c:pt idx="11">
                  <c:v>9</c:v>
                </c:pt>
                <c:pt idx="12">
                  <c:v>2</c:v>
                </c:pt>
              </c:numCache>
            </c:numRef>
          </c:val>
        </c:ser>
        <c:dLbls>
          <c:showLegendKey val="0"/>
          <c:showVal val="0"/>
          <c:showCatName val="0"/>
          <c:showSerName val="0"/>
          <c:showPercent val="0"/>
          <c:showBubbleSize val="0"/>
        </c:dLbls>
        <c:gapWidth val="182"/>
        <c:axId val="1895783520"/>
        <c:axId val="1751966496"/>
      </c:barChart>
      <c:catAx>
        <c:axId val="18957835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1751966496"/>
        <c:crosses val="autoZero"/>
        <c:auto val="1"/>
        <c:lblAlgn val="ctr"/>
        <c:lblOffset val="100"/>
        <c:noMultiLvlLbl val="0"/>
      </c:catAx>
      <c:valAx>
        <c:axId val="175196649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189578352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Sheet1!$B$1</c:f>
              <c:strCache>
                <c:ptCount val="1"/>
                <c:pt idx="0">
                  <c:v>系列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Sheet1!$A$2:$A$16</c:f>
              <c:strCache>
                <c:ptCount val="15"/>
                <c:pt idx="0">
                  <c:v>安徽</c:v>
                </c:pt>
                <c:pt idx="1">
                  <c:v>湖南</c:v>
                </c:pt>
                <c:pt idx="2">
                  <c:v>河北</c:v>
                </c:pt>
                <c:pt idx="3">
                  <c:v>黑龙江</c:v>
                </c:pt>
                <c:pt idx="4">
                  <c:v>江苏</c:v>
                </c:pt>
                <c:pt idx="5">
                  <c:v>山东</c:v>
                </c:pt>
                <c:pt idx="6">
                  <c:v>山西</c:v>
                </c:pt>
                <c:pt idx="7">
                  <c:v>天津</c:v>
                </c:pt>
                <c:pt idx="8">
                  <c:v>重庆</c:v>
                </c:pt>
                <c:pt idx="9">
                  <c:v>浙江</c:v>
                </c:pt>
                <c:pt idx="10">
                  <c:v>四川</c:v>
                </c:pt>
                <c:pt idx="11">
                  <c:v>湖北</c:v>
                </c:pt>
                <c:pt idx="12">
                  <c:v>江西</c:v>
                </c:pt>
                <c:pt idx="13">
                  <c:v>海南</c:v>
                </c:pt>
                <c:pt idx="14">
                  <c:v>河南</c:v>
                </c:pt>
              </c:strCache>
            </c:strRef>
          </c:cat>
          <c:val>
            <c:numRef>
              <c:f>Sheet1!$B$2:$B$16</c:f>
              <c:numCache>
                <c:formatCode>General</c:formatCode>
                <c:ptCount val="15"/>
                <c:pt idx="0">
                  <c:v>170</c:v>
                </c:pt>
                <c:pt idx="1">
                  <c:v>5</c:v>
                </c:pt>
                <c:pt idx="2">
                  <c:v>5</c:v>
                </c:pt>
                <c:pt idx="3">
                  <c:v>2</c:v>
                </c:pt>
                <c:pt idx="4">
                  <c:v>2</c:v>
                </c:pt>
                <c:pt idx="5">
                  <c:v>4</c:v>
                </c:pt>
                <c:pt idx="6">
                  <c:v>3</c:v>
                </c:pt>
                <c:pt idx="7">
                  <c:v>2</c:v>
                </c:pt>
                <c:pt idx="8">
                  <c:v>2</c:v>
                </c:pt>
                <c:pt idx="9">
                  <c:v>3</c:v>
                </c:pt>
                <c:pt idx="10">
                  <c:v>1</c:v>
                </c:pt>
                <c:pt idx="11">
                  <c:v>1</c:v>
                </c:pt>
                <c:pt idx="12">
                  <c:v>1</c:v>
                </c:pt>
                <c:pt idx="13">
                  <c:v>2</c:v>
                </c:pt>
                <c:pt idx="14">
                  <c:v>2</c:v>
                </c:pt>
              </c:numCache>
            </c:numRef>
          </c:val>
        </c:ser>
        <c:dLbls>
          <c:showLegendKey val="0"/>
          <c:showVal val="1"/>
          <c:showCatName val="0"/>
          <c:showSerName val="0"/>
          <c:showPercent val="0"/>
          <c:showBubbleSize val="0"/>
        </c:dLbls>
        <c:gapWidth val="182"/>
        <c:axId val="607995576"/>
        <c:axId val="607995904"/>
      </c:barChart>
      <c:catAx>
        <c:axId val="60799557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607995904"/>
        <c:crosses val="autoZero"/>
        <c:auto val="1"/>
        <c:lblAlgn val="ctr"/>
        <c:lblOffset val="100"/>
        <c:noMultiLvlLbl val="0"/>
      </c:catAx>
      <c:valAx>
        <c:axId val="60799590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60799557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人数</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Sheet1!$A$2:$A$3</c:f>
              <c:strCache>
                <c:ptCount val="2"/>
                <c:pt idx="0">
                  <c:v>男生</c:v>
                </c:pt>
                <c:pt idx="1">
                  <c:v>女生</c:v>
                </c:pt>
              </c:strCache>
            </c:strRef>
          </c:cat>
          <c:val>
            <c:numRef>
              <c:f>Sheet1!$B$2:$B$3</c:f>
              <c:numCache>
                <c:formatCode>General</c:formatCode>
                <c:ptCount val="2"/>
                <c:pt idx="0">
                  <c:v>18</c:v>
                </c:pt>
                <c:pt idx="1">
                  <c:v>187</c:v>
                </c:pt>
              </c:numCache>
            </c:numRef>
          </c:val>
        </c:ser>
        <c:ser>
          <c:idx val="1"/>
          <c:order val="1"/>
          <c:tx>
            <c:strRef>
              <c:f>Sheet1!$C$1</c:f>
              <c:strCache>
                <c:ptCount val="1"/>
                <c:pt idx="0">
                  <c:v>就业人数</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Sheet1!$A$2:$A$3</c:f>
              <c:strCache>
                <c:ptCount val="2"/>
                <c:pt idx="0">
                  <c:v>男生</c:v>
                </c:pt>
                <c:pt idx="1">
                  <c:v>女生</c:v>
                </c:pt>
              </c:strCache>
            </c:strRef>
          </c:cat>
          <c:val>
            <c:numRef>
              <c:f>Sheet1!$C$2:$C$3</c:f>
              <c:numCache>
                <c:formatCode>General</c:formatCode>
                <c:ptCount val="2"/>
                <c:pt idx="0">
                  <c:v>18</c:v>
                </c:pt>
                <c:pt idx="1">
                  <c:v>180</c:v>
                </c:pt>
              </c:numCache>
            </c:numRef>
          </c:val>
        </c:ser>
        <c:dLbls>
          <c:showLegendKey val="0"/>
          <c:showVal val="1"/>
          <c:showCatName val="0"/>
          <c:showSerName val="0"/>
          <c:showPercent val="0"/>
          <c:showBubbleSize val="0"/>
        </c:dLbls>
        <c:gapWidth val="219"/>
        <c:overlap val="-27"/>
        <c:axId val="463425712"/>
        <c:axId val="463425056"/>
      </c:barChart>
      <c:catAx>
        <c:axId val="463425712"/>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463425056"/>
        <c:crosses val="autoZero"/>
        <c:auto val="1"/>
        <c:lblAlgn val="ctr"/>
        <c:lblOffset val="100"/>
        <c:noMultiLvlLbl val="0"/>
      </c:catAx>
      <c:valAx>
        <c:axId val="463425056"/>
        <c:scaling>
          <c:orientation val="minMax"/>
        </c:scaling>
        <c:delete val="0"/>
        <c:axPos val="l"/>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463425712"/>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系列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Sheet1!$A$2:$A$13</c:f>
              <c:strCache>
                <c:ptCount val="12"/>
                <c:pt idx="0">
                  <c:v>合肥市</c:v>
                </c:pt>
                <c:pt idx="1">
                  <c:v>蚌埠市</c:v>
                </c:pt>
                <c:pt idx="2">
                  <c:v>淮南市</c:v>
                </c:pt>
                <c:pt idx="3">
                  <c:v>铜陵市</c:v>
                </c:pt>
                <c:pt idx="4">
                  <c:v>安庆市</c:v>
                </c:pt>
                <c:pt idx="5">
                  <c:v>滁州市</c:v>
                </c:pt>
                <c:pt idx="6">
                  <c:v>阜阳市</c:v>
                </c:pt>
                <c:pt idx="7">
                  <c:v>宿州市</c:v>
                </c:pt>
                <c:pt idx="8">
                  <c:v>六安市</c:v>
                </c:pt>
                <c:pt idx="9">
                  <c:v>亳州市</c:v>
                </c:pt>
                <c:pt idx="10">
                  <c:v>宣城市</c:v>
                </c:pt>
                <c:pt idx="11">
                  <c:v>马鞍山市</c:v>
                </c:pt>
              </c:strCache>
            </c:strRef>
          </c:cat>
          <c:val>
            <c:numRef>
              <c:f>Sheet1!$B$2:$B$13</c:f>
              <c:numCache>
                <c:formatCode>General</c:formatCode>
                <c:ptCount val="12"/>
                <c:pt idx="0">
                  <c:v>125</c:v>
                </c:pt>
                <c:pt idx="1">
                  <c:v>1</c:v>
                </c:pt>
                <c:pt idx="2">
                  <c:v>2</c:v>
                </c:pt>
                <c:pt idx="3">
                  <c:v>1</c:v>
                </c:pt>
                <c:pt idx="4">
                  <c:v>3</c:v>
                </c:pt>
                <c:pt idx="5">
                  <c:v>4</c:v>
                </c:pt>
                <c:pt idx="6">
                  <c:v>8</c:v>
                </c:pt>
                <c:pt idx="7">
                  <c:v>1</c:v>
                </c:pt>
                <c:pt idx="8">
                  <c:v>7</c:v>
                </c:pt>
                <c:pt idx="9">
                  <c:v>5</c:v>
                </c:pt>
                <c:pt idx="10">
                  <c:v>3</c:v>
                </c:pt>
                <c:pt idx="11">
                  <c:v>4</c:v>
                </c:pt>
              </c:numCache>
            </c:numRef>
          </c:val>
        </c:ser>
        <c:dLbls>
          <c:showLegendKey val="0"/>
          <c:showVal val="1"/>
          <c:showCatName val="0"/>
          <c:showSerName val="0"/>
          <c:showPercent val="0"/>
          <c:showBubbleSize val="0"/>
        </c:dLbls>
        <c:gapWidth val="219"/>
        <c:overlap val="-27"/>
        <c:axId val="518572712"/>
        <c:axId val="518573040"/>
      </c:barChart>
      <c:catAx>
        <c:axId val="5185727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518573040"/>
        <c:crosses val="autoZero"/>
        <c:auto val="1"/>
        <c:lblAlgn val="ctr"/>
        <c:lblOffset val="100"/>
        <c:noMultiLvlLbl val="0"/>
      </c:catAx>
      <c:valAx>
        <c:axId val="518573040"/>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5185727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系列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Sheet1!$A$2:$A$11</c:f>
              <c:strCache>
                <c:ptCount val="10"/>
                <c:pt idx="0">
                  <c:v>江苏</c:v>
                </c:pt>
                <c:pt idx="1">
                  <c:v>上海</c:v>
                </c:pt>
                <c:pt idx="2">
                  <c:v>浙江</c:v>
                </c:pt>
                <c:pt idx="3">
                  <c:v>海南</c:v>
                </c:pt>
                <c:pt idx="4">
                  <c:v>广东</c:v>
                </c:pt>
                <c:pt idx="5">
                  <c:v>湖南</c:v>
                </c:pt>
                <c:pt idx="6">
                  <c:v>广西</c:v>
                </c:pt>
                <c:pt idx="7">
                  <c:v>河南</c:v>
                </c:pt>
                <c:pt idx="8">
                  <c:v>黑龙江</c:v>
                </c:pt>
                <c:pt idx="9">
                  <c:v>山东</c:v>
                </c:pt>
              </c:strCache>
            </c:strRef>
          </c:cat>
          <c:val>
            <c:numRef>
              <c:f>Sheet1!$B$2:$B$11</c:f>
              <c:numCache>
                <c:formatCode>General</c:formatCode>
                <c:ptCount val="10"/>
                <c:pt idx="0">
                  <c:v>9</c:v>
                </c:pt>
                <c:pt idx="1">
                  <c:v>8</c:v>
                </c:pt>
                <c:pt idx="2">
                  <c:v>7</c:v>
                </c:pt>
                <c:pt idx="3">
                  <c:v>2</c:v>
                </c:pt>
                <c:pt idx="4">
                  <c:v>2</c:v>
                </c:pt>
                <c:pt idx="5">
                  <c:v>2</c:v>
                </c:pt>
                <c:pt idx="6">
                  <c:v>1</c:v>
                </c:pt>
                <c:pt idx="7">
                  <c:v>1</c:v>
                </c:pt>
                <c:pt idx="8">
                  <c:v>1</c:v>
                </c:pt>
                <c:pt idx="9">
                  <c:v>1</c:v>
                </c:pt>
              </c:numCache>
            </c:numRef>
          </c:val>
        </c:ser>
        <c:dLbls>
          <c:showLegendKey val="0"/>
          <c:showVal val="1"/>
          <c:showCatName val="0"/>
          <c:showSerName val="0"/>
          <c:showPercent val="0"/>
          <c:showBubbleSize val="0"/>
        </c:dLbls>
        <c:gapWidth val="219"/>
        <c:overlap val="-27"/>
        <c:axId val="463733664"/>
        <c:axId val="463736616"/>
      </c:barChart>
      <c:catAx>
        <c:axId val="46373366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463736616"/>
        <c:crosses val="autoZero"/>
        <c:auto val="1"/>
        <c:lblAlgn val="ctr"/>
        <c:lblOffset val="100"/>
        <c:noMultiLvlLbl val="0"/>
      </c:catAx>
      <c:valAx>
        <c:axId val="463736616"/>
        <c:scaling>
          <c:orientation val="minMax"/>
        </c:scaling>
        <c:delete val="0"/>
        <c:axPos val="l"/>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46373366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Sheet1!$B$1</c:f>
              <c:strCache>
                <c:ptCount val="1"/>
                <c:pt idx="0">
                  <c:v>列1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中初教育单位</c:v>
                </c:pt>
                <c:pt idx="1">
                  <c:v>其他事业单位</c:v>
                </c:pt>
                <c:pt idx="2">
                  <c:v>其他企业</c:v>
                </c:pt>
                <c:pt idx="3">
                  <c:v>国有企业</c:v>
                </c:pt>
                <c:pt idx="4">
                  <c:v>机关</c:v>
                </c:pt>
              </c:strCache>
            </c:strRef>
          </c:cat>
          <c:val>
            <c:numRef>
              <c:f>Sheet1!$B$2:$B$6</c:f>
              <c:numCache>
                <c:formatCode>General</c:formatCode>
                <c:ptCount val="5"/>
                <c:pt idx="0">
                  <c:v>52</c:v>
                </c:pt>
                <c:pt idx="1">
                  <c:v>27</c:v>
                </c:pt>
                <c:pt idx="2">
                  <c:v>104</c:v>
                </c:pt>
                <c:pt idx="3">
                  <c:v>3</c:v>
                </c:pt>
                <c:pt idx="4">
                  <c:v>3</c:v>
                </c:pt>
              </c:numCache>
            </c:numRef>
          </c:val>
        </c:ser>
        <c:dLbls>
          <c:showLegendKey val="0"/>
          <c:showVal val="1"/>
          <c:showCatName val="0"/>
          <c:showSerName val="0"/>
          <c:showPercent val="0"/>
          <c:showBubbleSize val="0"/>
        </c:dLbls>
        <c:gapWidth val="182"/>
        <c:axId val="504122864"/>
        <c:axId val="504120568"/>
      </c:barChart>
      <c:catAx>
        <c:axId val="5041228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504120568"/>
        <c:crosses val="autoZero"/>
        <c:auto val="1"/>
        <c:lblAlgn val="ctr"/>
        <c:lblOffset val="100"/>
        <c:noMultiLvlLbl val="0"/>
      </c:catAx>
      <c:valAx>
        <c:axId val="50412056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50412286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layout/>
      <c:overlay val="0"/>
      <c:txPr>
        <a:bodyPr rot="0" spcFirstLastPara="0" vertOverflow="ellipsis" vert="horz" wrap="square" anchor="ctr" anchorCtr="1"/>
        <a:lstStyle/>
        <a:p>
          <a:pPr>
            <a:defRPr lang="zh-CN" sz="1800" b="1" i="0" u="none" strike="noStrike" kern="1200" baseline="0">
              <a:solidFill>
                <a:schemeClr val="tx1"/>
              </a:solidFill>
              <a:latin typeface="+mn-lt"/>
              <a:ea typeface="+mn-ea"/>
              <a:cs typeface="+mn-cs"/>
            </a:defRPr>
          </a:pPr>
        </a:p>
      </c:txPr>
    </c:title>
    <c:autoTitleDeleted val="0"/>
    <c:plotArea>
      <c:layout>
        <c:manualLayout>
          <c:layoutTarget val="inner"/>
          <c:xMode val="edge"/>
          <c:yMode val="edge"/>
          <c:x val="0.0703291994592658"/>
          <c:y val="0.173184357541899"/>
          <c:w val="0.471961492178099"/>
          <c:h val="0.782834331337325"/>
        </c:manualLayout>
      </c:layout>
      <c:pieChart>
        <c:varyColors val="1"/>
        <c:ser>
          <c:idx val="0"/>
          <c:order val="0"/>
          <c:tx>
            <c:strRef>
              <c:f>[合肥学院就业全库202212191056.xls]Sheet6!$B$1:$B$2</c:f>
              <c:strCache>
                <c:ptCount val="1"/>
                <c:pt idx="0">
                  <c:v>计算机科学与技术就业行业分布图 比例</c:v>
                </c:pt>
              </c:strCache>
            </c:strRef>
          </c:tx>
          <c:explosion val="0"/>
          <c:dPt>
            <c:idx val="0"/>
            <c:bubble3D val="0"/>
          </c:dPt>
          <c:dPt>
            <c:idx val="1"/>
            <c:bubble3D val="0"/>
          </c:dPt>
          <c:dPt>
            <c:idx val="2"/>
            <c:bubble3D val="0"/>
          </c:dPt>
          <c:dPt>
            <c:idx val="3"/>
            <c:bubble3D val="0"/>
          </c:dPt>
          <c:dPt>
            <c:idx val="4"/>
            <c:bubble3D val="0"/>
          </c:dPt>
          <c:dPt>
            <c:idx val="5"/>
            <c:bubble3D val="0"/>
          </c:dPt>
          <c:dPt>
            <c:idx val="6"/>
            <c:bubble3D val="0"/>
          </c:dPt>
          <c:dPt>
            <c:idx val="7"/>
            <c:bubble3D val="0"/>
          </c:dPt>
          <c:dPt>
            <c:idx val="8"/>
            <c:bubble3D val="0"/>
          </c:dPt>
          <c:dPt>
            <c:idx val="9"/>
            <c:bubble3D val="0"/>
          </c:dPt>
          <c:dPt>
            <c:idx val="10"/>
            <c:bubble3D val="0"/>
          </c:dPt>
          <c:dPt>
            <c:idx val="11"/>
            <c:bubble3D val="0"/>
          </c:dPt>
          <c:dPt>
            <c:idx val="12"/>
            <c:bubble3D val="0"/>
          </c:dPt>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solidFill>
                    <a:latin typeface="+mn-lt"/>
                    <a:ea typeface="+mn-ea"/>
                    <a:cs typeface="+mn-cs"/>
                  </a:defRPr>
                </a:pPr>
              </a:p>
            </c:txPr>
            <c:dLblPos val="inEnd"/>
            <c:showLegendKey val="0"/>
            <c:showVal val="0"/>
            <c:showCatName val="0"/>
            <c:showSerName val="0"/>
            <c:showPercent val="1"/>
            <c:showBubbleSize val="0"/>
            <c:showLeaderLines val="1"/>
            <c:extLst>
              <c:ext xmlns:c15="http://schemas.microsoft.com/office/drawing/2012/chart" uri="{CE6537A1-D6FC-4f65-9D91-7224C49458BB}">
                <c15:layout/>
                <c15:showLeaderLines val="1"/>
                <c15:leaderLines/>
              </c:ext>
            </c:extLst>
          </c:dLbls>
          <c:cat>
            <c:strRef>
              <c:f>[合肥学院就业全库202212191056.xls]Sheet6!$A$3:$A$15</c:f>
              <c:strCache>
                <c:ptCount val="13"/>
                <c:pt idx="0">
                  <c:v>建筑业</c:v>
                </c:pt>
                <c:pt idx="1">
                  <c:v>交通运输、仓储和邮政业</c:v>
                </c:pt>
                <c:pt idx="2">
                  <c:v>教育</c:v>
                </c:pt>
                <c:pt idx="3">
                  <c:v>居民服务、修理和其他服务业</c:v>
                </c:pt>
                <c:pt idx="4">
                  <c:v>科学研究和技术服务业</c:v>
                </c:pt>
                <c:pt idx="5">
                  <c:v>农、林、牧、渔业</c:v>
                </c:pt>
                <c:pt idx="6">
                  <c:v>批发和零售业</c:v>
                </c:pt>
                <c:pt idx="7">
                  <c:v>水利、环境和公共设施管理业</c:v>
                </c:pt>
                <c:pt idx="8">
                  <c:v>文化、体育和娱乐业</c:v>
                </c:pt>
                <c:pt idx="9">
                  <c:v>信息传输、软件和信息技术服务业</c:v>
                </c:pt>
                <c:pt idx="10">
                  <c:v>制造业</c:v>
                </c:pt>
                <c:pt idx="11">
                  <c:v>住宿和餐饮业</c:v>
                </c:pt>
                <c:pt idx="12">
                  <c:v>租赁和商务服务业</c:v>
                </c:pt>
              </c:strCache>
            </c:strRef>
          </c:cat>
          <c:val>
            <c:numRef>
              <c:f>[合肥学院就业全库202212191056.xls]Sheet6!$B$3:$B$15</c:f>
              <c:numCache>
                <c:formatCode>0.00%</c:formatCode>
                <c:ptCount val="13"/>
                <c:pt idx="0">
                  <c:v>0.0310077519379845</c:v>
                </c:pt>
                <c:pt idx="1">
                  <c:v>0.0387596899224806</c:v>
                </c:pt>
                <c:pt idx="2">
                  <c:v>0.0155038759689922</c:v>
                </c:pt>
                <c:pt idx="3">
                  <c:v>0.0155038759689922</c:v>
                </c:pt>
                <c:pt idx="4">
                  <c:v>0.0155038759689922</c:v>
                </c:pt>
                <c:pt idx="5">
                  <c:v>0.0155038759689922</c:v>
                </c:pt>
                <c:pt idx="6">
                  <c:v>0.0775193798449612</c:v>
                </c:pt>
                <c:pt idx="7">
                  <c:v>0.00775193798449612</c:v>
                </c:pt>
                <c:pt idx="8">
                  <c:v>0.0155038759689922</c:v>
                </c:pt>
                <c:pt idx="9">
                  <c:v>0.62015503875969</c:v>
                </c:pt>
                <c:pt idx="10">
                  <c:v>0.108527131782946</c:v>
                </c:pt>
                <c:pt idx="11">
                  <c:v>0.00775193798449612</c:v>
                </c:pt>
                <c:pt idx="12">
                  <c:v>0.0232558139534884</c:v>
                </c:pt>
              </c:numCache>
            </c:numRef>
          </c:val>
        </c:ser>
        <c:dLbls>
          <c:showLegendKey val="0"/>
          <c:showVal val="0"/>
          <c:showCatName val="0"/>
          <c:showSerName val="0"/>
          <c:showPercent val="1"/>
          <c:showBubbleSize val="0"/>
          <c:showLeaderLines val="1"/>
        </c:dLbls>
        <c:firstSliceAng val="0"/>
      </c:pieChart>
    </c:plotArea>
    <c:legend>
      <c:legendPos val="r"/>
      <c:layout>
        <c:manualLayout>
          <c:xMode val="edge"/>
          <c:yMode val="edge"/>
          <c:x val="0.58828680908024"/>
          <c:y val="0.16744223312868"/>
          <c:w val="0.397265803488987"/>
          <c:h val="0.794404924244805"/>
        </c:manualLayout>
      </c:layout>
      <c:overlay val="0"/>
      <c:txPr>
        <a:bodyPr rot="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legend>
    <c:plotVisOnly val="1"/>
    <c:dispBlanksAs val="gap"/>
    <c:showDLblsOverMax val="0"/>
  </c:chart>
  <c:txPr>
    <a:bodyPr/>
    <a:lstStyle/>
    <a:p>
      <a:pPr>
        <a:defRPr lang="zh-CN"/>
      </a:pPr>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Sheet1!$B$1</c:f>
              <c:strCache>
                <c:ptCount val="1"/>
                <c:pt idx="0">
                  <c:v>列1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0">
                <a:spAutoFit/>
              </a:bodyPr>
              <a:lstStyle/>
              <a:p>
                <a:pPr algn="ctr">
                  <a:defRPr lang="zh-CN"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Sheet1!$A$2:$A$14</c:f>
              <c:strCache>
                <c:ptCount val="13"/>
                <c:pt idx="0">
                  <c:v>教育</c:v>
                </c:pt>
                <c:pt idx="1">
                  <c:v>公共管理、社会保障和社会组织</c:v>
                </c:pt>
                <c:pt idx="2">
                  <c:v>建筑业</c:v>
                </c:pt>
                <c:pt idx="3">
                  <c:v>交通运输、仓储和邮政业</c:v>
                </c:pt>
                <c:pt idx="4">
                  <c:v>房地产业</c:v>
                </c:pt>
                <c:pt idx="5">
                  <c:v>居民服务、修理和其他服务业</c:v>
                </c:pt>
                <c:pt idx="6">
                  <c:v>科学技术和技术服务业</c:v>
                </c:pt>
                <c:pt idx="7">
                  <c:v>批发和零售业</c:v>
                </c:pt>
                <c:pt idx="8">
                  <c:v>卫生和社会工作</c:v>
                </c:pt>
                <c:pt idx="9">
                  <c:v>文化、体育和娱乐业</c:v>
                </c:pt>
                <c:pt idx="10">
                  <c:v>信息传输、软件和信息</c:v>
                </c:pt>
                <c:pt idx="11">
                  <c:v>制造业</c:v>
                </c:pt>
                <c:pt idx="12">
                  <c:v>租赁和商务服务业</c:v>
                </c:pt>
              </c:strCache>
            </c:strRef>
          </c:cat>
          <c:val>
            <c:numRef>
              <c:f>Sheet1!$B$2:$B$14</c:f>
              <c:numCache>
                <c:formatCode>General</c:formatCode>
                <c:ptCount val="13"/>
                <c:pt idx="0">
                  <c:v>144</c:v>
                </c:pt>
                <c:pt idx="1">
                  <c:v>4</c:v>
                </c:pt>
                <c:pt idx="2">
                  <c:v>1</c:v>
                </c:pt>
                <c:pt idx="3">
                  <c:v>1</c:v>
                </c:pt>
                <c:pt idx="4">
                  <c:v>1</c:v>
                </c:pt>
                <c:pt idx="5">
                  <c:v>1</c:v>
                </c:pt>
                <c:pt idx="6">
                  <c:v>5</c:v>
                </c:pt>
                <c:pt idx="7">
                  <c:v>5</c:v>
                </c:pt>
                <c:pt idx="8">
                  <c:v>4</c:v>
                </c:pt>
                <c:pt idx="9">
                  <c:v>15</c:v>
                </c:pt>
                <c:pt idx="10">
                  <c:v>5</c:v>
                </c:pt>
                <c:pt idx="11">
                  <c:v>3</c:v>
                </c:pt>
                <c:pt idx="12">
                  <c:v>1</c:v>
                </c:pt>
              </c:numCache>
            </c:numRef>
          </c:val>
        </c:ser>
        <c:dLbls>
          <c:showLegendKey val="0"/>
          <c:showVal val="1"/>
          <c:showCatName val="0"/>
          <c:showSerName val="0"/>
          <c:showPercent val="0"/>
          <c:showBubbleSize val="0"/>
        </c:dLbls>
        <c:gapWidth val="182"/>
        <c:axId val="567394272"/>
        <c:axId val="567396568"/>
      </c:barChart>
      <c:catAx>
        <c:axId val="56739427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567396568"/>
        <c:crosses val="autoZero"/>
        <c:auto val="1"/>
        <c:lblAlgn val="ctr"/>
        <c:lblOffset val="100"/>
        <c:noMultiLvlLbl val="0"/>
      </c:catAx>
      <c:valAx>
        <c:axId val="56739656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56739427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Sheet1!$B$1</c:f>
              <c:strCache>
                <c:ptCount val="1"/>
                <c:pt idx="0">
                  <c:v>列1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Sheet1!$A$2:$A$10</c:f>
              <c:strCache>
                <c:ptCount val="9"/>
                <c:pt idx="0">
                  <c:v>教学人员</c:v>
                </c:pt>
                <c:pt idx="1">
                  <c:v>办事人员和有关人员</c:v>
                </c:pt>
                <c:pt idx="2">
                  <c:v>金融专业人员</c:v>
                </c:pt>
                <c:pt idx="3">
                  <c:v>科学研究人员</c:v>
                </c:pt>
                <c:pt idx="4">
                  <c:v>其他人员</c:v>
                </c:pt>
                <c:pt idx="5">
                  <c:v>其他专业技术人员</c:v>
                </c:pt>
                <c:pt idx="6">
                  <c:v>商业和服务业人员</c:v>
                </c:pt>
                <c:pt idx="7">
                  <c:v>体育工作人员</c:v>
                </c:pt>
                <c:pt idx="8">
                  <c:v>文学艺术工作人员</c:v>
                </c:pt>
              </c:strCache>
            </c:strRef>
          </c:cat>
          <c:val>
            <c:numRef>
              <c:f>Sheet1!$B$2:$B$10</c:f>
              <c:numCache>
                <c:formatCode>General</c:formatCode>
                <c:ptCount val="9"/>
                <c:pt idx="0">
                  <c:v>131</c:v>
                </c:pt>
                <c:pt idx="1">
                  <c:v>36</c:v>
                </c:pt>
                <c:pt idx="2">
                  <c:v>1</c:v>
                </c:pt>
                <c:pt idx="3">
                  <c:v>1</c:v>
                </c:pt>
                <c:pt idx="4">
                  <c:v>4</c:v>
                </c:pt>
                <c:pt idx="5">
                  <c:v>3</c:v>
                </c:pt>
                <c:pt idx="6">
                  <c:v>7</c:v>
                </c:pt>
                <c:pt idx="7">
                  <c:v>1</c:v>
                </c:pt>
                <c:pt idx="8">
                  <c:v>7</c:v>
                </c:pt>
              </c:numCache>
            </c:numRef>
          </c:val>
        </c:ser>
        <c:dLbls>
          <c:showLegendKey val="0"/>
          <c:showVal val="1"/>
          <c:showCatName val="0"/>
          <c:showSerName val="0"/>
          <c:showPercent val="0"/>
          <c:showBubbleSize val="0"/>
        </c:dLbls>
        <c:gapWidth val="182"/>
        <c:axId val="491512480"/>
        <c:axId val="491514776"/>
      </c:barChart>
      <c:catAx>
        <c:axId val="4915124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491514776"/>
        <c:crosses val="autoZero"/>
        <c:auto val="1"/>
        <c:lblAlgn val="ctr"/>
        <c:lblOffset val="100"/>
        <c:noMultiLvlLbl val="0"/>
      </c:catAx>
      <c:valAx>
        <c:axId val="49151477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4915124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0768888888888889"/>
          <c:y val="0.0474537037037037"/>
          <c:w val="0.894638888888889"/>
          <c:h val="0.668842592592593"/>
        </c:manualLayout>
      </c:layout>
      <c:barChart>
        <c:barDir val="col"/>
        <c:grouping val="clustered"/>
        <c:varyColors val="0"/>
        <c:ser>
          <c:idx val="0"/>
          <c:order val="0"/>
          <c:spPr>
            <a:solidFill>
              <a:srgbClr val="4F81BD"/>
            </a:solidFill>
            <a:ln>
              <a:noFill/>
            </a:ln>
            <a:effectLst/>
          </c:spPr>
          <c:invertIfNegative val="0"/>
          <c:dLbls>
            <c:delete val="1"/>
          </c:dLbls>
          <c:cat>
            <c:strRef>
              <c:f>'[新建 XLS 工作表.xls]Sheet1'!$A$1:$A$9</c:f>
              <c:strCache>
                <c:ptCount val="9"/>
                <c:pt idx="0">
                  <c:v>总人数</c:v>
                </c:pt>
                <c:pt idx="1">
                  <c:v>考研</c:v>
                </c:pt>
                <c:pt idx="2">
                  <c:v>出国</c:v>
                </c:pt>
                <c:pt idx="3">
                  <c:v>公务员</c:v>
                </c:pt>
                <c:pt idx="4">
                  <c:v>事业单位</c:v>
                </c:pt>
                <c:pt idx="5">
                  <c:v>“西部计划”</c:v>
                </c:pt>
                <c:pt idx="6">
                  <c:v>应征入伍</c:v>
                </c:pt>
                <c:pt idx="7">
                  <c:v>国有企业</c:v>
                </c:pt>
                <c:pt idx="8">
                  <c:v>其他企业</c:v>
                </c:pt>
              </c:strCache>
            </c:strRef>
          </c:cat>
          <c:val>
            <c:numRef>
              <c:f>'[新建 XLS 工作表.xls]Sheet1'!$B$1:$B$9</c:f>
              <c:numCache>
                <c:formatCode>General</c:formatCode>
                <c:ptCount val="9"/>
                <c:pt idx="0">
                  <c:v>184</c:v>
                </c:pt>
                <c:pt idx="1">
                  <c:v>13</c:v>
                </c:pt>
                <c:pt idx="2">
                  <c:v>10</c:v>
                </c:pt>
                <c:pt idx="3">
                  <c:v>1</c:v>
                </c:pt>
                <c:pt idx="4">
                  <c:v>1</c:v>
                </c:pt>
                <c:pt idx="5">
                  <c:v>1</c:v>
                </c:pt>
                <c:pt idx="6">
                  <c:v>1</c:v>
                </c:pt>
                <c:pt idx="7">
                  <c:v>2</c:v>
                </c:pt>
                <c:pt idx="8">
                  <c:v>155</c:v>
                </c:pt>
              </c:numCache>
            </c:numRef>
          </c:val>
        </c:ser>
        <c:ser>
          <c:idx val="1"/>
          <c:order val="1"/>
          <c:spPr>
            <a:solidFill>
              <a:srgbClr val="C0504D"/>
            </a:solidFill>
            <a:ln>
              <a:noFill/>
            </a:ln>
            <a:effectLst/>
          </c:spPr>
          <c:invertIfNegative val="0"/>
          <c:dLbls>
            <c:delete val="1"/>
          </c:dLbls>
          <c:val>
            <c:numRef>
              <c:f>{4.3,2.5,3.5,4.5}</c:f>
              <c:numCache>
                <c:formatCode>General</c:formatCode>
                <c:ptCount val="4"/>
                <c:pt idx="0">
                  <c:v>4.3</c:v>
                </c:pt>
                <c:pt idx="1">
                  <c:v>2.5</c:v>
                </c:pt>
                <c:pt idx="2">
                  <c:v>3.5</c:v>
                </c:pt>
                <c:pt idx="3">
                  <c:v>4.5</c:v>
                </c:pt>
              </c:numCache>
            </c:numRef>
          </c:val>
        </c:ser>
        <c:ser>
          <c:idx val="2"/>
          <c:order val="2"/>
          <c:spPr>
            <a:solidFill>
              <a:srgbClr val="9BBB59"/>
            </a:solidFill>
            <a:ln>
              <a:noFill/>
            </a:ln>
            <a:effectLst/>
          </c:spPr>
          <c:invertIfNegative val="0"/>
          <c:dLbls>
            <c:delete val="1"/>
          </c:dLbls>
          <c:val>
            <c:numRef>
              <c:f>{2.4,4.4,1.8,2.8}</c:f>
              <c:numCache>
                <c:formatCode>General</c:formatCode>
                <c:ptCount val="4"/>
                <c:pt idx="0">
                  <c:v>2.4</c:v>
                </c:pt>
                <c:pt idx="1">
                  <c:v>4.4</c:v>
                </c:pt>
                <c:pt idx="2">
                  <c:v>1.8</c:v>
                </c:pt>
                <c:pt idx="3">
                  <c:v>2.8</c:v>
                </c:pt>
              </c:numCache>
            </c:numRef>
          </c:val>
        </c:ser>
        <c:ser>
          <c:idx val="3"/>
          <c:order val="3"/>
          <c:spPr>
            <a:solidFill>
              <a:srgbClr val="8064A2"/>
            </a:solidFill>
            <a:ln>
              <a:noFill/>
            </a:ln>
            <a:effectLst/>
          </c:spPr>
          <c:invertIfNegative val="0"/>
          <c:dLbls>
            <c:delete val="1"/>
          </c:dLbls>
          <c:val>
            <c:numRef>
              <c:f>{2,2,3,5}</c:f>
              <c:numCache>
                <c:formatCode>General</c:formatCode>
                <c:ptCount val="4"/>
                <c:pt idx="0">
                  <c:v>2</c:v>
                </c:pt>
                <c:pt idx="1">
                  <c:v>2</c:v>
                </c:pt>
                <c:pt idx="2">
                  <c:v>3</c:v>
                </c:pt>
                <c:pt idx="3">
                  <c:v>5</c:v>
                </c:pt>
              </c:numCache>
            </c:numRef>
          </c:val>
        </c:ser>
        <c:dLbls>
          <c:showLegendKey val="0"/>
          <c:showVal val="0"/>
          <c:showCatName val="0"/>
          <c:showSerName val="0"/>
          <c:showPercent val="0"/>
          <c:showBubbleSize val="0"/>
        </c:dLbls>
        <c:gapWidth val="219"/>
        <c:overlap val="-27"/>
        <c:axId val="533886738"/>
        <c:axId val="875003474"/>
      </c:barChart>
      <c:catAx>
        <c:axId val="533886738"/>
        <c:scaling>
          <c:orientation val="minMax"/>
        </c:scaling>
        <c:delete val="0"/>
        <c:axPos val="b"/>
        <c:majorTickMark val="none"/>
        <c:minorTickMark val="none"/>
        <c:tickLblPos val="nextTo"/>
        <c:spPr>
          <a:noFill/>
          <a:ln w="9525" cap="flat" cmpd="sng" algn="ctr">
            <a:solidFill>
              <a:srgbClr val="D9D9D9">
                <a:lumMod val="15000"/>
                <a:lumOff val="85000"/>
              </a:srgbClr>
            </a:solidFill>
            <a:round/>
          </a:ln>
          <a:effectLst/>
        </c:spPr>
        <c:txPr>
          <a:bodyPr rot="-60000000" spcFirstLastPara="0" vertOverflow="ellipsis" vert="horz" wrap="square" anchor="ctr" anchorCtr="1"/>
          <a:lstStyle/>
          <a:p>
            <a:pPr>
              <a:defRPr lang="zh-CN" sz="900" b="0" i="0" u="none" strike="noStrike" kern="1200" baseline="0">
                <a:solidFill>
                  <a:srgbClr val="595959">
                    <a:lumMod val="65000"/>
                    <a:lumOff val="35000"/>
                  </a:srgbClr>
                </a:solidFill>
                <a:latin typeface="+mn-lt"/>
                <a:ea typeface="+mn-ea"/>
                <a:cs typeface="+mn-cs"/>
              </a:defRPr>
            </a:pPr>
          </a:p>
        </c:txPr>
        <c:crossAx val="875003474"/>
        <c:crosses val="autoZero"/>
        <c:auto val="1"/>
        <c:lblAlgn val="ctr"/>
        <c:lblOffset val="100"/>
        <c:noMultiLvlLbl val="0"/>
      </c:catAx>
      <c:valAx>
        <c:axId val="875003474"/>
        <c:scaling>
          <c:orientation val="minMax"/>
        </c:scaling>
        <c:delete val="0"/>
        <c:axPos val="l"/>
        <c:majorGridlines>
          <c:spPr>
            <a:ln w="9525" cap="flat" cmpd="sng" algn="ctr">
              <a:solidFill>
                <a:srgbClr val="D9D9D9">
                  <a:lumMod val="15000"/>
                  <a:lumOff val="85000"/>
                </a:srgbClr>
              </a:solidFill>
              <a:round/>
            </a:ln>
            <a:effectLst/>
          </c:spPr>
        </c:majorGridlines>
        <c:numFmt formatCode="General" sourceLinked="1"/>
        <c:majorTickMark val="none"/>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rgbClr val="595959">
                    <a:lumMod val="65000"/>
                    <a:lumOff val="35000"/>
                  </a:srgbClr>
                </a:solidFill>
                <a:latin typeface="+mn-lt"/>
                <a:ea typeface="+mn-ea"/>
                <a:cs typeface="+mn-cs"/>
              </a:defRPr>
            </a:pPr>
          </a:p>
        </c:txPr>
        <c:crossAx val="533886738"/>
        <c:crosses val="autoZero"/>
        <c:crossBetween val="between"/>
      </c:valAx>
      <c:spPr>
        <a:noFill/>
        <a:ln>
          <a:noFill/>
        </a:ln>
        <a:effectLst/>
      </c:spPr>
    </c:plotArea>
    <c:plotVisOnly val="1"/>
    <c:dispBlanksAs val="gap"/>
    <c:showDLblsOverMax val="0"/>
  </c:chart>
  <c:spPr>
    <a:solidFill>
      <a:srgbClr val="FFFFFF"/>
    </a:solidFill>
    <a:ln w="9525" cap="flat" cmpd="sng" algn="ctr">
      <a:solidFill>
        <a:srgbClr val="D9D9D9">
          <a:lumMod val="15000"/>
          <a:lumOff val="85000"/>
        </a:srgbClr>
      </a:solidFill>
      <a:round/>
    </a:ln>
    <a:effectLst/>
  </c:spPr>
  <c:txPr>
    <a:bodyPr/>
    <a:lstStyle/>
    <a:p>
      <a:pPr>
        <a:defRPr lang="zh-CN"/>
      </a:pPr>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forceAA="0"/>
          <a:lstStyle/>
          <a:p>
            <a:pPr>
              <a:defRPr lang="zh-CN" sz="1400" b="1" i="0" u="none" strike="noStrike" kern="1200" spc="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r>
              <a:rPr b="1">
                <a:latin typeface="微软雅黑" panose="020B0503020204020204" charset="-122"/>
                <a:ea typeface="微软雅黑" panose="020B0503020204020204" charset="-122"/>
                <a:cs typeface="微软雅黑" panose="020B0503020204020204" charset="-122"/>
                <a:sym typeface="微软雅黑" panose="020B0503020204020204" charset="-122"/>
              </a:rPr>
              <a:t>毕业生整体就业情况</a:t>
            </a:r>
            <a:endParaRPr b="1">
              <a:latin typeface="微软雅黑" panose="020B0503020204020204" charset="-122"/>
              <a:ea typeface="微软雅黑" panose="020B0503020204020204" charset="-122"/>
              <a:cs typeface="微软雅黑" panose="020B0503020204020204" charset="-122"/>
              <a:sym typeface="微软雅黑" panose="020B0503020204020204" charset="-122"/>
            </a:endParaRPr>
          </a:p>
        </c:rich>
      </c:tx>
      <c:layout/>
      <c:overlay val="0"/>
      <c:spPr>
        <a:noFill/>
        <a:ln>
          <a:noFill/>
        </a:ln>
        <a:effectLst/>
      </c:spPr>
    </c:title>
    <c:autoTitleDeleted val="0"/>
    <c:plotArea>
      <c:layout/>
      <c:pieChart>
        <c:varyColors val="1"/>
        <c:ser>
          <c:idx val="0"/>
          <c:order val="0"/>
          <c:spPr/>
          <c:explosion val="3"/>
          <c:dPt>
            <c:idx val="0"/>
            <c:bubble3D val="0"/>
            <c:spPr>
              <a:solidFill>
                <a:schemeClr val="accent6"/>
              </a:solidFill>
              <a:ln w="19050">
                <a:solidFill>
                  <a:schemeClr val="lt1"/>
                </a:solidFill>
              </a:ln>
              <a:effectLst>
                <a:outerShdw blurRad="50800" dist="38100" dir="2700000" algn="tl" rotWithShape="0">
                  <a:srgbClr val="4F6BFD">
                    <a:alpha val="40000"/>
                  </a:srgbClr>
                </a:outerShdw>
              </a:effectLst>
            </c:spPr>
          </c:dPt>
          <c:dPt>
            <c:idx val="1"/>
            <c:bubble3D val="0"/>
            <c:spPr>
              <a:solidFill>
                <a:schemeClr val="accent5"/>
              </a:solidFill>
              <a:ln w="19050">
                <a:solidFill>
                  <a:schemeClr val="lt1"/>
                </a:solidFill>
              </a:ln>
              <a:effectLst>
                <a:outerShdw blurRad="50800" dist="38100" dir="2700000" algn="tl" rotWithShape="0">
                  <a:srgbClr val="FBC100">
                    <a:alpha val="40000"/>
                  </a:srgbClr>
                </a:outerShdw>
              </a:effectLst>
            </c:spPr>
          </c:dPt>
          <c:dPt>
            <c:idx val="2"/>
            <c:bubble3D val="0"/>
            <c:spPr>
              <a:solidFill>
                <a:schemeClr val="accent4"/>
              </a:solidFill>
              <a:ln w="19050">
                <a:solidFill>
                  <a:schemeClr val="lt1"/>
                </a:solidFill>
              </a:ln>
              <a:effectLst>
                <a:outerShdw blurRad="50800" dist="38100" dir="2700000" algn="tl" rotWithShape="0">
                  <a:srgbClr val="FB5660">
                    <a:alpha val="40000"/>
                  </a:srgbClr>
                </a:outerShdw>
              </a:effectLst>
            </c:spPr>
          </c:dPt>
          <c:dPt>
            <c:idx val="3"/>
            <c:bubble3D val="0"/>
            <c:spPr>
              <a:solidFill>
                <a:schemeClr val="accent6">
                  <a:lumMod val="60000"/>
                </a:schemeClr>
              </a:solidFill>
              <a:ln w="19050">
                <a:solidFill>
                  <a:schemeClr val="lt1"/>
                </a:solidFill>
              </a:ln>
              <a:effectLst/>
            </c:spPr>
          </c:dPt>
          <c:dLbls>
            <c:dLbl>
              <c:idx val="0"/>
              <c:layout/>
              <c:numFmt formatCode="General" sourceLinked="1"/>
              <c:spPr>
                <a:noFill/>
                <a:ln>
                  <a:noFill/>
                </a:ln>
                <a:effectLst/>
              </c:spPr>
              <c:txPr>
                <a:bodyPr rot="0" spcFirstLastPara="0" vertOverflow="ellipsis" vert="horz" wrap="square" lIns="38100" tIns="19050" rIns="38100" bIns="19050" anchor="ctr" anchorCtr="1" forceAA="0"/>
                <a:lstStyle/>
                <a:p>
                  <a:pPr>
                    <a:defRPr lang="zh-CN" sz="1000" b="0" i="0" u="none" strike="noStrike" kern="1200" baseline="0">
                      <a:solidFill>
                        <a:srgbClr val="4F6BFD"/>
                      </a:solidFill>
                      <a:latin typeface="+mn-lt"/>
                      <a:ea typeface="+mn-ea"/>
                      <a:cs typeface="+mn-cs"/>
                    </a:defRPr>
                  </a:pPr>
                </a:p>
              </c:txPr>
              <c:dLblPos val="outEnd"/>
              <c:showLegendKey val="1"/>
              <c:showVal val="0"/>
              <c:showCatName val="0"/>
              <c:showSerName val="0"/>
              <c:showPercent val="1"/>
              <c:showBubbleSize val="0"/>
              <c:extLst>
                <c:ext xmlns:c15="http://schemas.microsoft.com/office/drawing/2012/chart" uri="{CE6537A1-D6FC-4f65-9D91-7224C49458BB}"/>
              </c:extLst>
            </c:dLbl>
            <c:dLbl>
              <c:idx val="1"/>
              <c:layout/>
              <c:numFmt formatCode="General" sourceLinked="1"/>
              <c:spPr>
                <a:noFill/>
                <a:ln>
                  <a:noFill/>
                </a:ln>
                <a:effectLst/>
              </c:spPr>
              <c:txPr>
                <a:bodyPr rot="0" spcFirstLastPara="0" vertOverflow="ellipsis" vert="horz" wrap="square" lIns="38100" tIns="19050" rIns="38100" bIns="19050" anchor="ctr" anchorCtr="1" forceAA="0"/>
                <a:lstStyle/>
                <a:p>
                  <a:pPr>
                    <a:defRPr lang="zh-CN" sz="1000" b="0" i="0" u="none" strike="noStrike" kern="1200" baseline="0">
                      <a:solidFill>
                        <a:srgbClr val="FBC100"/>
                      </a:solidFill>
                      <a:latin typeface="+mn-lt"/>
                      <a:ea typeface="+mn-ea"/>
                      <a:cs typeface="+mn-cs"/>
                    </a:defRPr>
                  </a:pPr>
                </a:p>
              </c:txPr>
              <c:dLblPos val="outEnd"/>
              <c:showLegendKey val="1"/>
              <c:showVal val="0"/>
              <c:showCatName val="0"/>
              <c:showSerName val="0"/>
              <c:showPercent val="1"/>
              <c:showBubbleSize val="0"/>
              <c:extLst>
                <c:ext xmlns:c15="http://schemas.microsoft.com/office/drawing/2012/chart" uri="{CE6537A1-D6FC-4f65-9D91-7224C49458BB}"/>
              </c:extLst>
            </c:dLbl>
            <c:numFmt formatCode="General" sourceLinked="1"/>
            <c:spPr>
              <a:noFill/>
              <a:ln>
                <a:noFill/>
              </a:ln>
              <a:effectLst/>
            </c:spPr>
            <c:txPr>
              <a:bodyPr rot="0" spcFirstLastPara="0" vertOverflow="ellipsis" vert="horz" wrap="square" lIns="38100" tIns="19050" rIns="38100" bIns="19050" anchor="ctr" anchorCtr="1" forceAA="0"/>
              <a:lstStyle/>
              <a:p>
                <a:pPr>
                  <a:defRPr lang="zh-CN" sz="1000" b="0" i="0" u="none" strike="noStrike" kern="1200" baseline="0">
                    <a:solidFill>
                      <a:srgbClr val="FB5660"/>
                    </a:solidFill>
                    <a:latin typeface="+mn-lt"/>
                    <a:ea typeface="+mn-ea"/>
                    <a:cs typeface="+mn-cs"/>
                  </a:defRPr>
                </a:pPr>
              </a:p>
            </c:txPr>
            <c:dLblPos val="outEnd"/>
            <c:showLegendKey val="1"/>
            <c:showVal val="0"/>
            <c:showCatName val="0"/>
            <c:showSerName val="0"/>
            <c:showPercent val="1"/>
            <c:showBubbleSize val="0"/>
            <c:showLeaderLines val="1"/>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[合肥学院就业全库202212151008.xls]Sheet1!$B$1:$E$1</c:f>
              <c:strCache>
                <c:ptCount val="4"/>
                <c:pt idx="0">
                  <c:v>签订规范就业协议书及劳动合同</c:v>
                </c:pt>
                <c:pt idx="1">
                  <c:v>考取研究生</c:v>
                </c:pt>
                <c:pt idx="2">
                  <c:v>国家公务员、事业单位及基层项目</c:v>
                </c:pt>
                <c:pt idx="3">
                  <c:v>应征入伍</c:v>
                </c:pt>
              </c:strCache>
            </c:strRef>
          </c:cat>
          <c:val>
            <c:numRef>
              <c:f>[合肥学院就业全库202212151008.xls]Sheet1!$B$2:$E$2</c:f>
              <c:numCache>
                <c:formatCode>General</c:formatCode>
                <c:ptCount val="4"/>
                <c:pt idx="0">
                  <c:v>73</c:v>
                </c:pt>
                <c:pt idx="1">
                  <c:v>10</c:v>
                </c:pt>
                <c:pt idx="2">
                  <c:v>4</c:v>
                </c:pt>
                <c:pt idx="3">
                  <c:v>3</c:v>
                </c:pt>
              </c:numCache>
            </c:numRef>
          </c:val>
        </c:ser>
        <c:dLbls>
          <c:showLegendKey val="0"/>
          <c:showVal val="1"/>
          <c:showCatName val="0"/>
          <c:showSerName val="0"/>
          <c:showPercent val="0"/>
          <c:showBubbleSize val="0"/>
          <c:showLeaderLines val="1"/>
        </c:dLbls>
        <c:firstSliceAng val="0"/>
      </c:pieChart>
      <c:spPr>
        <a:noFill/>
        <a:ln>
          <a:noFill/>
        </a:ln>
        <a:effectLst/>
      </c:spPr>
    </c:plotArea>
    <c:legend>
      <c:legendPos val="b"/>
      <c:layout>
        <c:manualLayout>
          <c:xMode val="edge"/>
          <c:yMode val="edge"/>
          <c:x val="0.00440972659695099"/>
          <c:y val="0.86148289781177"/>
          <c:w val="0.97895930452312"/>
          <c:h val="0.12385808370512"/>
        </c:manualLayout>
      </c:layout>
      <c:overlay val="0"/>
      <c:spPr>
        <a:noFill/>
        <a:ln>
          <a:noFill/>
        </a:ln>
        <a:effectLst/>
      </c:spPr>
      <c:txPr>
        <a:bodyPr rot="0" spcFirstLastPara="0" vertOverflow="ellipsis" vert="horz" wrap="square" anchor="ctr" anchorCtr="1" forceAA="0"/>
        <a:lstStyle/>
        <a:p>
          <a:pPr>
            <a:defRPr lang="zh-CN"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forceAA="0"/>
          <a:lstStyle/>
          <a:p>
            <a:pPr>
              <a:defRPr lang="zh-CN" sz="1400" b="1" i="0" u="none" strike="noStrike" kern="1200" spc="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r>
              <a:rPr b="1">
                <a:latin typeface="微软雅黑" panose="020B0503020204020204" charset="-122"/>
                <a:ea typeface="微软雅黑" panose="020B0503020204020204" charset="-122"/>
                <a:cs typeface="微软雅黑" panose="020B0503020204020204" charset="-122"/>
                <a:sym typeface="微软雅黑" panose="020B0503020204020204" charset="-122"/>
              </a:rPr>
              <a:t>就业类型结构</a:t>
            </a:r>
            <a:endParaRPr b="1">
              <a:latin typeface="微软雅黑" panose="020B0503020204020204" charset="-122"/>
              <a:ea typeface="微软雅黑" panose="020B0503020204020204" charset="-122"/>
              <a:cs typeface="微软雅黑" panose="020B0503020204020204" charset="-122"/>
              <a:sym typeface="微软雅黑" panose="020B0503020204020204" charset="-122"/>
            </a:endParaRPr>
          </a:p>
        </c:rich>
      </c:tx>
      <c:layout/>
      <c:overlay val="0"/>
      <c:spPr>
        <a:noFill/>
        <a:ln>
          <a:noFill/>
        </a:ln>
        <a:effectLst/>
      </c:spPr>
    </c:title>
    <c:autoTitleDeleted val="0"/>
    <c:plotArea>
      <c:layout/>
      <c:pieChart>
        <c:varyColors val="1"/>
        <c:ser>
          <c:idx val="0"/>
          <c:order val="0"/>
          <c:spPr/>
          <c:explosion val="3"/>
          <c:dLbls>
            <c:numFmt formatCode="General" sourceLinked="1"/>
            <c:spPr>
              <a:noFill/>
              <a:ln>
                <a:noFill/>
              </a:ln>
              <a:effectLst/>
            </c:spPr>
            <c:txPr>
              <a:bodyPr rot="0" spcFirstLastPara="0" vertOverflow="ellipsis" vert="horz" wrap="square" lIns="38100" tIns="19050" rIns="38100" bIns="19050" anchor="ctr" anchorCtr="1" forceAA="0"/>
              <a:lstStyle/>
              <a:p>
                <a:pPr>
                  <a:defRPr lang="zh-CN" sz="1000" b="0" i="0" u="none" strike="noStrike" kern="1200" baseline="0">
                    <a:solidFill>
                      <a:srgbClr val="FB5660"/>
                    </a:solidFill>
                    <a:latin typeface="+mn-lt"/>
                    <a:ea typeface="+mn-ea"/>
                    <a:cs typeface="+mn-cs"/>
                  </a:defRPr>
                </a:pPr>
              </a:p>
            </c:txPr>
            <c:dLblPos val="outEnd"/>
            <c:showLegendKey val="1"/>
            <c:showVal val="0"/>
            <c:showCatName val="0"/>
            <c:showSerName val="0"/>
            <c:showPercent val="1"/>
            <c:showBubbleSize val="0"/>
            <c:showLeaderLines val="1"/>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multiLvlStrRef>
              <c:f>[合肥学院就业全库202212151008.xls]Sheet1!$D$5:$L$9</c:f>
              <c:multiLvlStrCache>
                <c:ptCount val="9"/>
                <c:lvl/>
                <c:lvl/>
                <c:lvl/>
                <c:lvl>
                  <c:pt idx="0">
                    <c:v>升学</c:v>
                  </c:pt>
                  <c:pt idx="1">
                    <c:v>公务员</c:v>
                  </c:pt>
                  <c:pt idx="2">
                    <c:v>选调生</c:v>
                  </c:pt>
                  <c:pt idx="3">
                    <c:v>农村科技特派员</c:v>
                  </c:pt>
                  <c:pt idx="4">
                    <c:v>新疆专招</c:v>
                  </c:pt>
                  <c:pt idx="5">
                    <c:v>当兵入伍</c:v>
                  </c:pt>
                  <c:pt idx="6">
                    <c:v>企业就业</c:v>
                  </c:pt>
                </c:lvl>
              </c:multiLvlStrCache>
            </c:multiLvlStrRef>
          </c:cat>
          <c:val>
            <c:numRef>
              <c:f>[合肥学院就业全库202212151008.xls]Sheet1!$D$10:$L$10</c:f>
            </c:numRef>
          </c:val>
        </c:ser>
        <c:ser>
          <c:idx val="1"/>
          <c:order val="1"/>
          <c:spPr/>
          <c:explosion val="0"/>
          <c:dLbls>
            <c:numFmt formatCode="General" sourceLinked="1"/>
            <c:spPr>
              <a:noFill/>
              <a:ln>
                <a:noFill/>
              </a:ln>
              <a:effectLst/>
            </c:spPr>
            <c:txPr>
              <a:bodyPr rot="0" spcFirstLastPara="0" vertOverflow="ellipsis" vert="horz" wrap="square" lIns="38100" tIns="19050" rIns="38100" bIns="19050" anchor="ctr" anchorCtr="1" forceAA="0"/>
              <a:lstStyle/>
              <a:p>
                <a:pPr>
                  <a:defRPr lang="zh-CN"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1"/>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multiLvlStrRef>
              <c:f>[合肥学院就业全库202212151008.xls]Sheet1!$D$5:$L$9</c:f>
              <c:multiLvlStrCache>
                <c:ptCount val="9"/>
                <c:lvl/>
                <c:lvl/>
                <c:lvl/>
                <c:lvl>
                  <c:pt idx="0">
                    <c:v>升学</c:v>
                  </c:pt>
                  <c:pt idx="1">
                    <c:v>公务员</c:v>
                  </c:pt>
                  <c:pt idx="2">
                    <c:v>选调生</c:v>
                  </c:pt>
                  <c:pt idx="3">
                    <c:v>农村科技特派员</c:v>
                  </c:pt>
                  <c:pt idx="4">
                    <c:v>新疆专招</c:v>
                  </c:pt>
                  <c:pt idx="5">
                    <c:v>当兵入伍</c:v>
                  </c:pt>
                  <c:pt idx="6">
                    <c:v>企业就业</c:v>
                  </c:pt>
                </c:lvl>
              </c:multiLvlStrCache>
            </c:multiLvlStrRef>
          </c:cat>
          <c:val>
            <c:numRef>
              <c:f>[合肥学院就业全库202212151008.xls]Sheet1!$D$11:$L$11</c:f>
            </c:numRef>
          </c:val>
        </c:ser>
        <c:ser>
          <c:idx val="2"/>
          <c:order val="2"/>
          <c:spPr/>
          <c:explosion val="0"/>
          <c:dLbls>
            <c:numFmt formatCode="General" sourceLinked="1"/>
            <c:spPr>
              <a:noFill/>
              <a:ln>
                <a:noFill/>
              </a:ln>
              <a:effectLst/>
            </c:spPr>
            <c:txPr>
              <a:bodyPr rot="0" spcFirstLastPara="0" vertOverflow="ellipsis" vert="horz" wrap="square" lIns="38100" tIns="19050" rIns="38100" bIns="19050" anchor="ctr" anchorCtr="1" forceAA="0"/>
              <a:lstStyle/>
              <a:p>
                <a:pPr>
                  <a:defRPr lang="zh-CN"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1"/>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multiLvlStrRef>
              <c:f>[合肥学院就业全库202212151008.xls]Sheet1!$D$5:$L$9</c:f>
              <c:multiLvlStrCache>
                <c:ptCount val="9"/>
                <c:lvl/>
                <c:lvl/>
                <c:lvl/>
                <c:lvl>
                  <c:pt idx="0">
                    <c:v>升学</c:v>
                  </c:pt>
                  <c:pt idx="1">
                    <c:v>公务员</c:v>
                  </c:pt>
                  <c:pt idx="2">
                    <c:v>选调生</c:v>
                  </c:pt>
                  <c:pt idx="3">
                    <c:v>农村科技特派员</c:v>
                  </c:pt>
                  <c:pt idx="4">
                    <c:v>新疆专招</c:v>
                  </c:pt>
                  <c:pt idx="5">
                    <c:v>当兵入伍</c:v>
                  </c:pt>
                  <c:pt idx="6">
                    <c:v>企业就业</c:v>
                  </c:pt>
                </c:lvl>
              </c:multiLvlStrCache>
            </c:multiLvlStrRef>
          </c:cat>
          <c:val>
            <c:numRef>
              <c:f>[合肥学院就业全库202212151008.xls]Sheet1!$D$12:$L$12</c:f>
            </c:numRef>
          </c:val>
        </c:ser>
        <c:ser>
          <c:idx val="3"/>
          <c:order val="3"/>
          <c:spPr/>
          <c:explosion val="0"/>
          <c:dLbls>
            <c:numFmt formatCode="General" sourceLinked="1"/>
            <c:spPr>
              <a:noFill/>
              <a:ln>
                <a:noFill/>
              </a:ln>
              <a:effectLst/>
            </c:spPr>
            <c:txPr>
              <a:bodyPr rot="0" spcFirstLastPara="0" vertOverflow="ellipsis" vert="horz" wrap="square" lIns="38100" tIns="19050" rIns="38100" bIns="19050" anchor="ctr" anchorCtr="1" forceAA="0"/>
              <a:lstStyle/>
              <a:p>
                <a:pPr>
                  <a:defRPr lang="zh-CN"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1"/>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multiLvlStrRef>
              <c:f>[合肥学院就业全库202212151008.xls]Sheet1!$D$5:$L$9</c:f>
              <c:multiLvlStrCache>
                <c:ptCount val="9"/>
                <c:lvl/>
                <c:lvl/>
                <c:lvl/>
                <c:lvl>
                  <c:pt idx="0">
                    <c:v>升学</c:v>
                  </c:pt>
                  <c:pt idx="1">
                    <c:v>公务员</c:v>
                  </c:pt>
                  <c:pt idx="2">
                    <c:v>选调生</c:v>
                  </c:pt>
                  <c:pt idx="3">
                    <c:v>农村科技特派员</c:v>
                  </c:pt>
                  <c:pt idx="4">
                    <c:v>新疆专招</c:v>
                  </c:pt>
                  <c:pt idx="5">
                    <c:v>当兵入伍</c:v>
                  </c:pt>
                  <c:pt idx="6">
                    <c:v>企业就业</c:v>
                  </c:pt>
                </c:lvl>
              </c:multiLvlStrCache>
            </c:multiLvlStrRef>
          </c:cat>
          <c:val>
            <c:numRef>
              <c:f>[合肥学院就业全库202212151008.xls]Sheet1!$D$13:$L$13</c:f>
            </c:numRef>
          </c:val>
        </c:ser>
        <c:ser>
          <c:idx val="4"/>
          <c:order val="4"/>
          <c:spPr/>
          <c:explosion val="3"/>
          <c:dPt>
            <c:idx val="0"/>
            <c:bubble3D val="0"/>
            <c:spPr>
              <a:solidFill>
                <a:schemeClr val="accent6">
                  <a:lumMod val="75000"/>
                </a:schemeClr>
              </a:solidFill>
              <a:ln w="19050">
                <a:solidFill>
                  <a:schemeClr val="lt1"/>
                </a:solidFill>
              </a:ln>
              <a:effectLst>
                <a:outerShdw blurRad="50800" dist="38100" dir="2700000" algn="tl" rotWithShape="0">
                  <a:srgbClr val="4F6BFD">
                    <a:alpha val="40000"/>
                  </a:srgbClr>
                </a:outerShdw>
              </a:effectLst>
            </c:spPr>
          </c:dPt>
          <c:dPt>
            <c:idx val="1"/>
            <c:bubble3D val="0"/>
            <c:spPr>
              <a:solidFill>
                <a:schemeClr val="accent5"/>
              </a:solidFill>
              <a:ln w="19050">
                <a:solidFill>
                  <a:schemeClr val="lt1"/>
                </a:solidFill>
              </a:ln>
              <a:effectLst>
                <a:outerShdw blurRad="50800" dist="38100" dir="2700000" algn="tl" rotWithShape="0">
                  <a:srgbClr val="FBC100">
                    <a:alpha val="40000"/>
                  </a:srgbClr>
                </a:outerShdw>
              </a:effectLst>
            </c:spPr>
          </c:dPt>
          <c:dPt>
            <c:idx val="2"/>
            <c:bubble3D val="0"/>
            <c:spPr>
              <a:solidFill>
                <a:schemeClr val="accent4"/>
              </a:solidFill>
              <a:ln w="19050">
                <a:solidFill>
                  <a:schemeClr val="lt1"/>
                </a:solidFill>
              </a:ln>
              <a:effectLst>
                <a:outerShdw blurRad="50800" dist="38100" dir="2700000" algn="tl" rotWithShape="0">
                  <a:srgbClr val="FB5660">
                    <a:alpha val="40000"/>
                  </a:srgbClr>
                </a:outerShdw>
              </a:effectLst>
            </c:spPr>
          </c:dPt>
          <c:dPt>
            <c:idx val="3"/>
            <c:bubble3D val="0"/>
            <c:spPr>
              <a:solidFill>
                <a:schemeClr val="accent6">
                  <a:lumMod val="60000"/>
                </a:schemeClr>
              </a:solidFill>
              <a:ln w="19050">
                <a:solidFill>
                  <a:schemeClr val="lt1"/>
                </a:solidFill>
              </a:ln>
              <a:effectLst/>
            </c:spPr>
          </c:dPt>
          <c:dPt>
            <c:idx val="4"/>
            <c:bubble3D val="0"/>
            <c:spPr>
              <a:solidFill>
                <a:schemeClr val="accent5">
                  <a:lumMod val="60000"/>
                </a:schemeClr>
              </a:solidFill>
              <a:ln w="19050">
                <a:solidFill>
                  <a:schemeClr val="lt1"/>
                </a:solidFill>
              </a:ln>
              <a:effectLst/>
            </c:spPr>
          </c:dPt>
          <c:dPt>
            <c:idx val="5"/>
            <c:bubble3D val="0"/>
            <c:spPr>
              <a:solidFill>
                <a:schemeClr val="accent4">
                  <a:lumMod val="60000"/>
                </a:schemeClr>
              </a:solidFill>
              <a:ln w="19050">
                <a:solidFill>
                  <a:schemeClr val="lt1"/>
                </a:solidFill>
              </a:ln>
              <a:effectLst/>
            </c:spPr>
          </c:dPt>
          <c:dPt>
            <c:idx val="6"/>
            <c:bubble3D val="0"/>
            <c:spPr>
              <a:solidFill>
                <a:schemeClr val="accent6">
                  <a:lumMod val="80000"/>
                  <a:lumOff val="20000"/>
                </a:schemeClr>
              </a:solidFill>
              <a:ln w="19050">
                <a:solidFill>
                  <a:schemeClr val="lt1"/>
                </a:solidFill>
              </a:ln>
              <a:effectLst/>
            </c:spPr>
          </c:dPt>
          <c:dPt>
            <c:idx val="7"/>
            <c:bubble3D val="0"/>
            <c:spPr>
              <a:solidFill>
                <a:schemeClr val="accent5">
                  <a:lumMod val="80000"/>
                  <a:lumOff val="20000"/>
                </a:schemeClr>
              </a:solidFill>
              <a:ln w="19050">
                <a:solidFill>
                  <a:schemeClr val="lt1"/>
                </a:solidFill>
              </a:ln>
              <a:effectLst/>
            </c:spPr>
          </c:dPt>
          <c:dPt>
            <c:idx val="8"/>
            <c:bubble3D val="0"/>
            <c:spPr>
              <a:solidFill>
                <a:schemeClr val="accent4">
                  <a:lumMod val="80000"/>
                  <a:lumOff val="20000"/>
                </a:schemeClr>
              </a:solidFill>
              <a:ln w="19050">
                <a:solidFill>
                  <a:schemeClr val="lt1"/>
                </a:solidFill>
              </a:ln>
              <a:effectLst/>
            </c:spPr>
          </c:dPt>
          <c:dLbls>
            <c:numFmt formatCode="General" sourceLinked="1"/>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p>
            </c:txPr>
            <c:dLblPos val="outEnd"/>
            <c:showLegendKey val="1"/>
            <c:showVal val="0"/>
            <c:showCatName val="0"/>
            <c:showSerName val="0"/>
            <c:showPercent val="1"/>
            <c:showBubbleSize val="0"/>
            <c:showLeaderLines val="1"/>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multiLvlStrRef>
              <c:f>[合肥学院就业全库202212151008.xls]Sheet1!$D$5:$L$9</c:f>
              <c:multiLvlStrCache>
                <c:ptCount val="9"/>
                <c:lvl/>
                <c:lvl/>
                <c:lvl/>
                <c:lvl>
                  <c:pt idx="0">
                    <c:v>升学</c:v>
                  </c:pt>
                  <c:pt idx="1">
                    <c:v>公务员</c:v>
                  </c:pt>
                  <c:pt idx="2">
                    <c:v>选调生</c:v>
                  </c:pt>
                  <c:pt idx="3">
                    <c:v>农村科技特派员</c:v>
                  </c:pt>
                  <c:pt idx="4">
                    <c:v>新疆专招</c:v>
                  </c:pt>
                  <c:pt idx="5">
                    <c:v>当兵入伍</c:v>
                  </c:pt>
                  <c:pt idx="6">
                    <c:v>企业就业</c:v>
                  </c:pt>
                </c:lvl>
              </c:multiLvlStrCache>
            </c:multiLvlStrRef>
          </c:cat>
          <c:val>
            <c:numRef>
              <c:f>[合肥学院就业全库202212151008.xls]Sheet1!$D$14:$L$14</c:f>
              <c:numCache>
                <c:formatCode>General</c:formatCode>
                <c:ptCount val="9"/>
                <c:pt idx="0">
                  <c:v>10</c:v>
                </c:pt>
                <c:pt idx="1">
                  <c:v>1</c:v>
                </c:pt>
                <c:pt idx="2">
                  <c:v>1</c:v>
                </c:pt>
                <c:pt idx="3">
                  <c:v>1</c:v>
                </c:pt>
                <c:pt idx="4">
                  <c:v>1</c:v>
                </c:pt>
                <c:pt idx="5">
                  <c:v>3</c:v>
                </c:pt>
                <c:pt idx="6">
                  <c:v>73</c:v>
                </c:pt>
              </c:numCache>
            </c:numRef>
          </c:val>
        </c:ser>
        <c:dLbls>
          <c:showLegendKey val="0"/>
          <c:showVal val="1"/>
          <c:showCatName val="0"/>
          <c:showSerName val="0"/>
          <c:showPercent val="0"/>
          <c:showBubbleSize val="0"/>
          <c:showLeaderLines val="1"/>
        </c:dLbls>
        <c:firstSliceAng val="0"/>
      </c:pieChart>
      <c:spPr>
        <a:noFill/>
        <a:ln>
          <a:noFill/>
        </a:ln>
        <a:effectLst/>
      </c:spPr>
    </c:plotArea>
    <c:legend>
      <c:legendPos val="b"/>
      <c:legendEntry>
        <c:idx val="7"/>
        <c:delete val="1"/>
      </c:legendEntry>
      <c:legendEntry>
        <c:idx val="8"/>
        <c:delete val="1"/>
      </c:legendEntry>
      <c:layout/>
      <c:overlay val="0"/>
      <c:spPr>
        <a:noFill/>
        <a:ln>
          <a:noFill/>
        </a:ln>
        <a:effectLst/>
      </c:spPr>
      <c:txPr>
        <a:bodyPr rot="0" spcFirstLastPara="0" vertOverflow="ellipsis" vert="horz" wrap="square" anchor="ctr" anchorCtr="1" forceAA="0"/>
        <a:lstStyle/>
        <a:p>
          <a:pPr>
            <a:defRPr lang="zh-CN"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forceAA="0"/>
          <a:lstStyle/>
          <a:p>
            <a:pPr>
              <a:defRPr lang="zh-CN" sz="1400" b="1" i="0" u="none" strike="noStrike" kern="1200" spc="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r>
              <a:t>各专业就业类型结构</a:t>
            </a:r>
          </a:p>
        </c:rich>
      </c:tx>
      <c:layout/>
      <c:overlay val="0"/>
      <c:spPr>
        <a:noFill/>
        <a:ln>
          <a:noFill/>
        </a:ln>
        <a:effectLst/>
      </c:spPr>
    </c:title>
    <c:autoTitleDeleted val="0"/>
    <c:plotArea>
      <c:layout>
        <c:manualLayout>
          <c:layoutTarget val="inner"/>
          <c:xMode val="edge"/>
          <c:yMode val="edge"/>
          <c:x val="0.158761804826863"/>
          <c:y val="0.176425120772947"/>
          <c:w val="0.780290311297656"/>
          <c:h val="0.579980676328502"/>
        </c:manualLayout>
      </c:layout>
      <c:barChart>
        <c:barDir val="bar"/>
        <c:grouping val="stacked"/>
        <c:varyColors val="0"/>
        <c:ser>
          <c:idx val="0"/>
          <c:order val="0"/>
          <c:tx>
            <c:strRef>
              <c:f>[合肥学院就业全库202212151008.xls]Sheet1!$B$5:$B$8</c:f>
              <c:strCache>
                <c:ptCount val="1"/>
                <c:pt idx="0">
                  <c:v>总人数</c:v>
                </c:pt>
              </c:strCache>
            </c:strRef>
          </c:tx>
          <c:spPr>
            <a:solidFill>
              <a:schemeClr val="accent2"/>
            </a:solidFill>
            <a:ln>
              <a:noFill/>
            </a:ln>
            <a:effectLst/>
          </c:spPr>
          <c:invertIfNegative val="0"/>
          <c:dLbls>
            <c:delete val="1"/>
          </c:dLbls>
          <c:cat>
            <c:strRef>
              <c:f>[合肥学院就业全库202212151008.xls]Sheet1!$A$9:$A$12</c:f>
              <c:strCache>
                <c:ptCount val="4"/>
                <c:pt idx="0">
                  <c:v>酒店管理</c:v>
                </c:pt>
                <c:pt idx="1">
                  <c:v>旅游管理</c:v>
                </c:pt>
                <c:pt idx="2">
                  <c:v>人文地理与城乡规划</c:v>
                </c:pt>
                <c:pt idx="3">
                  <c:v>旅游管理专科</c:v>
                </c:pt>
              </c:strCache>
            </c:strRef>
          </c:cat>
          <c:val>
            <c:numRef>
              <c:f>[合肥学院就业全库202212151008.xls]Sheet1!$B$9:$B$12</c:f>
            </c:numRef>
          </c:val>
        </c:ser>
        <c:ser>
          <c:idx val="1"/>
          <c:order val="1"/>
          <c:tx>
            <c:strRef>
              <c:f>[合肥学院就业全库202212151008.xls]Sheet1!$C$5:$C$8</c:f>
              <c:strCache>
                <c:ptCount val="1"/>
                <c:pt idx="0">
                  <c:v>就业数</c:v>
                </c:pt>
              </c:strCache>
            </c:strRef>
          </c:tx>
          <c:spPr>
            <a:solidFill>
              <a:schemeClr val="accent4"/>
            </a:solidFill>
            <a:ln>
              <a:noFill/>
            </a:ln>
            <a:effectLst/>
          </c:spPr>
          <c:invertIfNegative val="0"/>
          <c:dLbls>
            <c:delete val="1"/>
          </c:dLbls>
          <c:cat>
            <c:strRef>
              <c:f>[合肥学院就业全库202212151008.xls]Sheet1!$A$9:$A$12</c:f>
              <c:strCache>
                <c:ptCount val="4"/>
                <c:pt idx="0">
                  <c:v>酒店管理</c:v>
                </c:pt>
                <c:pt idx="1">
                  <c:v>旅游管理</c:v>
                </c:pt>
                <c:pt idx="2">
                  <c:v>人文地理与城乡规划</c:v>
                </c:pt>
                <c:pt idx="3">
                  <c:v>旅游管理专科</c:v>
                </c:pt>
              </c:strCache>
            </c:strRef>
          </c:cat>
          <c:val>
            <c:numRef>
              <c:f>[合肥学院就业全库202212151008.xls]Sheet1!$C$9:$C$12</c:f>
            </c:numRef>
          </c:val>
        </c:ser>
        <c:ser>
          <c:idx val="2"/>
          <c:order val="2"/>
          <c:tx>
            <c:strRef>
              <c:f>[合肥学院就业全库202212151008.xls]Sheet1!$D$5:$D$8</c:f>
              <c:strCache>
                <c:ptCount val="1"/>
                <c:pt idx="0">
                  <c:v>升学</c:v>
                </c:pt>
              </c:strCache>
            </c:strRef>
          </c:tx>
          <c:spPr>
            <a:solidFill>
              <a:schemeClr val="accent6"/>
            </a:solidFill>
            <a:ln>
              <a:noFill/>
            </a:ln>
            <a:effectLst/>
          </c:spPr>
          <c:invertIfNegative val="0"/>
          <c:dLbls>
            <c:delete val="1"/>
          </c:dLbls>
          <c:cat>
            <c:strRef>
              <c:f>[合肥学院就业全库202212151008.xls]Sheet1!$A$9:$A$12</c:f>
              <c:strCache>
                <c:ptCount val="4"/>
                <c:pt idx="0">
                  <c:v>酒店管理</c:v>
                </c:pt>
                <c:pt idx="1">
                  <c:v>旅游管理</c:v>
                </c:pt>
                <c:pt idx="2">
                  <c:v>人文地理与城乡规划</c:v>
                </c:pt>
                <c:pt idx="3">
                  <c:v>旅游管理专科</c:v>
                </c:pt>
              </c:strCache>
            </c:strRef>
          </c:cat>
          <c:val>
            <c:numRef>
              <c:f>[合肥学院就业全库202212151008.xls]Sheet1!$D$9:$D$12</c:f>
              <c:numCache>
                <c:formatCode>General</c:formatCode>
                <c:ptCount val="4"/>
                <c:pt idx="0">
                  <c:v>0</c:v>
                </c:pt>
                <c:pt idx="1">
                  <c:v>3</c:v>
                </c:pt>
                <c:pt idx="2">
                  <c:v>7</c:v>
                </c:pt>
                <c:pt idx="3">
                  <c:v>0</c:v>
                </c:pt>
              </c:numCache>
            </c:numRef>
          </c:val>
        </c:ser>
        <c:ser>
          <c:idx val="3"/>
          <c:order val="3"/>
          <c:tx>
            <c:strRef>
              <c:f>[合肥学院就业全库202212151008.xls]Sheet1!$E$5:$E$8</c:f>
              <c:strCache>
                <c:ptCount val="1"/>
                <c:pt idx="0">
                  <c:v>公务员</c:v>
                </c:pt>
              </c:strCache>
            </c:strRef>
          </c:tx>
          <c:spPr>
            <a:solidFill>
              <a:schemeClr val="accent2">
                <a:lumMod val="60000"/>
              </a:schemeClr>
            </a:solidFill>
            <a:ln>
              <a:noFill/>
            </a:ln>
            <a:effectLst/>
          </c:spPr>
          <c:invertIfNegative val="0"/>
          <c:dLbls>
            <c:delete val="1"/>
          </c:dLbls>
          <c:cat>
            <c:strRef>
              <c:f>[合肥学院就业全库202212151008.xls]Sheet1!$A$9:$A$12</c:f>
              <c:strCache>
                <c:ptCount val="4"/>
                <c:pt idx="0">
                  <c:v>酒店管理</c:v>
                </c:pt>
                <c:pt idx="1">
                  <c:v>旅游管理</c:v>
                </c:pt>
                <c:pt idx="2">
                  <c:v>人文地理与城乡规划</c:v>
                </c:pt>
                <c:pt idx="3">
                  <c:v>旅游管理专科</c:v>
                </c:pt>
              </c:strCache>
            </c:strRef>
          </c:cat>
          <c:val>
            <c:numRef>
              <c:f>[合肥学院就业全库202212151008.xls]Sheet1!$E$9:$E$12</c:f>
              <c:numCache>
                <c:formatCode>General</c:formatCode>
                <c:ptCount val="4"/>
                <c:pt idx="0">
                  <c:v>0</c:v>
                </c:pt>
                <c:pt idx="1">
                  <c:v>1</c:v>
                </c:pt>
                <c:pt idx="2">
                  <c:v>0</c:v>
                </c:pt>
                <c:pt idx="3">
                  <c:v>0</c:v>
                </c:pt>
              </c:numCache>
            </c:numRef>
          </c:val>
        </c:ser>
        <c:ser>
          <c:idx val="4"/>
          <c:order val="4"/>
          <c:tx>
            <c:strRef>
              <c:f>[合肥学院就业全库202212151008.xls]Sheet1!$F$5:$F$8</c:f>
              <c:strCache>
                <c:ptCount val="1"/>
                <c:pt idx="0">
                  <c:v>选调生</c:v>
                </c:pt>
              </c:strCache>
            </c:strRef>
          </c:tx>
          <c:spPr>
            <a:solidFill>
              <a:schemeClr val="accent4">
                <a:lumMod val="60000"/>
              </a:schemeClr>
            </a:solidFill>
            <a:ln>
              <a:noFill/>
            </a:ln>
            <a:effectLst/>
          </c:spPr>
          <c:invertIfNegative val="0"/>
          <c:dLbls>
            <c:delete val="1"/>
          </c:dLbls>
          <c:cat>
            <c:strRef>
              <c:f>[合肥学院就业全库202212151008.xls]Sheet1!$A$9:$A$12</c:f>
              <c:strCache>
                <c:ptCount val="4"/>
                <c:pt idx="0">
                  <c:v>酒店管理</c:v>
                </c:pt>
                <c:pt idx="1">
                  <c:v>旅游管理</c:v>
                </c:pt>
                <c:pt idx="2">
                  <c:v>人文地理与城乡规划</c:v>
                </c:pt>
                <c:pt idx="3">
                  <c:v>旅游管理专科</c:v>
                </c:pt>
              </c:strCache>
            </c:strRef>
          </c:cat>
          <c:val>
            <c:numRef>
              <c:f>[合肥学院就业全库202212151008.xls]Sheet1!$F$9:$F$12</c:f>
              <c:numCache>
                <c:formatCode>General</c:formatCode>
                <c:ptCount val="4"/>
                <c:pt idx="0">
                  <c:v>0</c:v>
                </c:pt>
                <c:pt idx="1">
                  <c:v>0</c:v>
                </c:pt>
                <c:pt idx="2">
                  <c:v>1</c:v>
                </c:pt>
                <c:pt idx="3">
                  <c:v>0</c:v>
                </c:pt>
              </c:numCache>
            </c:numRef>
          </c:val>
        </c:ser>
        <c:ser>
          <c:idx val="5"/>
          <c:order val="5"/>
          <c:tx>
            <c:strRef>
              <c:f>[合肥学院就业全库202212151008.xls]Sheet1!$G$5:$G$8</c:f>
              <c:strCache>
                <c:ptCount val="1"/>
                <c:pt idx="0">
                  <c:v>农村科技特派员</c:v>
                </c:pt>
              </c:strCache>
            </c:strRef>
          </c:tx>
          <c:spPr>
            <a:solidFill>
              <a:schemeClr val="accent6">
                <a:lumMod val="60000"/>
              </a:schemeClr>
            </a:solidFill>
            <a:ln>
              <a:noFill/>
            </a:ln>
            <a:effectLst/>
          </c:spPr>
          <c:invertIfNegative val="0"/>
          <c:dLbls>
            <c:delete val="1"/>
          </c:dLbls>
          <c:cat>
            <c:strRef>
              <c:f>[合肥学院就业全库202212151008.xls]Sheet1!$A$9:$A$12</c:f>
              <c:strCache>
                <c:ptCount val="4"/>
                <c:pt idx="0">
                  <c:v>酒店管理</c:v>
                </c:pt>
                <c:pt idx="1">
                  <c:v>旅游管理</c:v>
                </c:pt>
                <c:pt idx="2">
                  <c:v>人文地理与城乡规划</c:v>
                </c:pt>
                <c:pt idx="3">
                  <c:v>旅游管理专科</c:v>
                </c:pt>
              </c:strCache>
            </c:strRef>
          </c:cat>
          <c:val>
            <c:numRef>
              <c:f>[合肥学院就业全库202212151008.xls]Sheet1!$G$9:$G$12</c:f>
              <c:numCache>
                <c:formatCode>General</c:formatCode>
                <c:ptCount val="4"/>
                <c:pt idx="0">
                  <c:v>0</c:v>
                </c:pt>
                <c:pt idx="1">
                  <c:v>1</c:v>
                </c:pt>
                <c:pt idx="2">
                  <c:v>0</c:v>
                </c:pt>
                <c:pt idx="3">
                  <c:v>0</c:v>
                </c:pt>
              </c:numCache>
            </c:numRef>
          </c:val>
        </c:ser>
        <c:ser>
          <c:idx val="6"/>
          <c:order val="6"/>
          <c:tx>
            <c:strRef>
              <c:f>[合肥学院就业全库202212151008.xls]Sheet1!$H$5:$H$8</c:f>
              <c:strCache>
                <c:ptCount val="1"/>
                <c:pt idx="0">
                  <c:v>新疆专招</c:v>
                </c:pt>
              </c:strCache>
            </c:strRef>
          </c:tx>
          <c:spPr>
            <a:solidFill>
              <a:schemeClr val="accent2">
                <a:lumMod val="80000"/>
                <a:lumOff val="20000"/>
              </a:schemeClr>
            </a:solidFill>
            <a:ln>
              <a:noFill/>
            </a:ln>
            <a:effectLst/>
          </c:spPr>
          <c:invertIfNegative val="0"/>
          <c:dLbls>
            <c:delete val="1"/>
          </c:dLbls>
          <c:cat>
            <c:strRef>
              <c:f>[合肥学院就业全库202212151008.xls]Sheet1!$A$9:$A$12</c:f>
              <c:strCache>
                <c:ptCount val="4"/>
                <c:pt idx="0">
                  <c:v>酒店管理</c:v>
                </c:pt>
                <c:pt idx="1">
                  <c:v>旅游管理</c:v>
                </c:pt>
                <c:pt idx="2">
                  <c:v>人文地理与城乡规划</c:v>
                </c:pt>
                <c:pt idx="3">
                  <c:v>旅游管理专科</c:v>
                </c:pt>
              </c:strCache>
            </c:strRef>
          </c:cat>
          <c:val>
            <c:numRef>
              <c:f>[合肥学院就业全库202212151008.xls]Sheet1!$H$9:$H$12</c:f>
              <c:numCache>
                <c:formatCode>General</c:formatCode>
                <c:ptCount val="4"/>
                <c:pt idx="0">
                  <c:v>0</c:v>
                </c:pt>
                <c:pt idx="1">
                  <c:v>0</c:v>
                </c:pt>
                <c:pt idx="2">
                  <c:v>1</c:v>
                </c:pt>
                <c:pt idx="3">
                  <c:v>0</c:v>
                </c:pt>
              </c:numCache>
            </c:numRef>
          </c:val>
        </c:ser>
        <c:ser>
          <c:idx val="7"/>
          <c:order val="7"/>
          <c:tx>
            <c:strRef>
              <c:f>[合肥学院就业全库202212151008.xls]Sheet1!$I$5:$I$8</c:f>
              <c:strCache>
                <c:ptCount val="1"/>
                <c:pt idx="0">
                  <c:v>当兵入伍</c:v>
                </c:pt>
              </c:strCache>
            </c:strRef>
          </c:tx>
          <c:spPr>
            <a:solidFill>
              <a:schemeClr val="accent4">
                <a:lumMod val="80000"/>
                <a:lumOff val="20000"/>
              </a:schemeClr>
            </a:solidFill>
            <a:ln>
              <a:noFill/>
            </a:ln>
            <a:effectLst/>
          </c:spPr>
          <c:invertIfNegative val="0"/>
          <c:dLbls>
            <c:delete val="1"/>
          </c:dLbls>
          <c:cat>
            <c:strRef>
              <c:f>[合肥学院就业全库202212151008.xls]Sheet1!$A$9:$A$12</c:f>
              <c:strCache>
                <c:ptCount val="4"/>
                <c:pt idx="0">
                  <c:v>酒店管理</c:v>
                </c:pt>
                <c:pt idx="1">
                  <c:v>旅游管理</c:v>
                </c:pt>
                <c:pt idx="2">
                  <c:v>人文地理与城乡规划</c:v>
                </c:pt>
                <c:pt idx="3">
                  <c:v>旅游管理专科</c:v>
                </c:pt>
              </c:strCache>
            </c:strRef>
          </c:cat>
          <c:val>
            <c:numRef>
              <c:f>[合肥学院就业全库202212151008.xls]Sheet1!$I$9:$I$12</c:f>
              <c:numCache>
                <c:formatCode>General</c:formatCode>
                <c:ptCount val="4"/>
                <c:pt idx="0">
                  <c:v>1</c:v>
                </c:pt>
                <c:pt idx="1">
                  <c:v>1</c:v>
                </c:pt>
                <c:pt idx="2">
                  <c:v>1</c:v>
                </c:pt>
                <c:pt idx="3">
                  <c:v>0</c:v>
                </c:pt>
              </c:numCache>
            </c:numRef>
          </c:val>
        </c:ser>
        <c:ser>
          <c:idx val="8"/>
          <c:order val="8"/>
          <c:tx>
            <c:strRef>
              <c:f>[合肥学院就业全库202212151008.xls]Sheet1!$J$5:$J$8</c:f>
              <c:strCache>
                <c:ptCount val="1"/>
                <c:pt idx="0">
                  <c:v>企业就业</c:v>
                </c:pt>
              </c:strCache>
            </c:strRef>
          </c:tx>
          <c:spPr>
            <a:solidFill>
              <a:schemeClr val="accent6">
                <a:lumMod val="80000"/>
                <a:lumOff val="20000"/>
              </a:schemeClr>
            </a:solidFill>
            <a:ln>
              <a:noFill/>
            </a:ln>
            <a:effectLst/>
          </c:spPr>
          <c:invertIfNegative val="0"/>
          <c:dLbls>
            <c:delete val="1"/>
          </c:dLbls>
          <c:cat>
            <c:strRef>
              <c:f>[合肥学院就业全库202212151008.xls]Sheet1!$A$9:$A$12</c:f>
              <c:strCache>
                <c:ptCount val="4"/>
                <c:pt idx="0">
                  <c:v>酒店管理</c:v>
                </c:pt>
                <c:pt idx="1">
                  <c:v>旅游管理</c:v>
                </c:pt>
                <c:pt idx="2">
                  <c:v>人文地理与城乡规划</c:v>
                </c:pt>
                <c:pt idx="3">
                  <c:v>旅游管理专科</c:v>
                </c:pt>
              </c:strCache>
            </c:strRef>
          </c:cat>
          <c:val>
            <c:numRef>
              <c:f>[合肥学院就业全库202212151008.xls]Sheet1!$J$9:$J$12</c:f>
              <c:numCache>
                <c:formatCode>General</c:formatCode>
                <c:ptCount val="4"/>
                <c:pt idx="0">
                  <c:v>25</c:v>
                </c:pt>
                <c:pt idx="1">
                  <c:v>23</c:v>
                </c:pt>
                <c:pt idx="2">
                  <c:v>24</c:v>
                </c:pt>
                <c:pt idx="3">
                  <c:v>2</c:v>
                </c:pt>
              </c:numCache>
            </c:numRef>
          </c:val>
        </c:ser>
        <c:ser>
          <c:idx val="9"/>
          <c:order val="9"/>
          <c:tx>
            <c:strRef>
              <c:f>[合肥学院就业全库202212151008.xls]Sheet1!$K$5:$K$8</c:f>
              <c:strCache>
                <c:ptCount val="1"/>
                <c:pt idx="0">
                  <c:v>企业就业</c:v>
                </c:pt>
              </c:strCache>
            </c:strRef>
          </c:tx>
          <c:spPr>
            <a:solidFill>
              <a:schemeClr val="accent2">
                <a:lumMod val="80000"/>
              </a:schemeClr>
            </a:solidFill>
            <a:ln>
              <a:noFill/>
            </a:ln>
            <a:effectLst/>
          </c:spPr>
          <c:invertIfNegative val="0"/>
          <c:dLbls>
            <c:delete val="1"/>
          </c:dLbls>
          <c:cat>
            <c:strRef>
              <c:f>[合肥学院就业全库202212151008.xls]Sheet1!$A$9:$A$12</c:f>
              <c:strCache>
                <c:ptCount val="4"/>
                <c:pt idx="0">
                  <c:v>酒店管理</c:v>
                </c:pt>
                <c:pt idx="1">
                  <c:v>旅游管理</c:v>
                </c:pt>
                <c:pt idx="2">
                  <c:v>人文地理与城乡规划</c:v>
                </c:pt>
                <c:pt idx="3">
                  <c:v>旅游管理专科</c:v>
                </c:pt>
              </c:strCache>
            </c:strRef>
          </c:cat>
          <c:val>
            <c:numRef>
              <c:f>[合肥学院就业全库202212151008.xls]Sheet1!$K$9:$K$12</c:f>
              <c:numCache>
                <c:formatCode>General</c:formatCode>
                <c:ptCount val="4"/>
              </c:numCache>
            </c:numRef>
          </c:val>
        </c:ser>
        <c:ser>
          <c:idx val="10"/>
          <c:order val="10"/>
          <c:tx>
            <c:strRef>
              <c:f>[合肥学院就业全库202212151008.xls]Sheet1!$L$5:$L$8</c:f>
              <c:strCache>
                <c:ptCount val="1"/>
                <c:pt idx="0">
                  <c:v>企业就业</c:v>
                </c:pt>
              </c:strCache>
            </c:strRef>
          </c:tx>
          <c:spPr>
            <a:solidFill>
              <a:schemeClr val="accent4">
                <a:lumMod val="80000"/>
              </a:schemeClr>
            </a:solidFill>
            <a:ln>
              <a:noFill/>
            </a:ln>
            <a:effectLst/>
          </c:spPr>
          <c:invertIfNegative val="0"/>
          <c:dLbls>
            <c:delete val="1"/>
          </c:dLbls>
          <c:cat>
            <c:strRef>
              <c:f>[合肥学院就业全库202212151008.xls]Sheet1!$A$9:$A$12</c:f>
              <c:strCache>
                <c:ptCount val="4"/>
                <c:pt idx="0">
                  <c:v>酒店管理</c:v>
                </c:pt>
                <c:pt idx="1">
                  <c:v>旅游管理</c:v>
                </c:pt>
                <c:pt idx="2">
                  <c:v>人文地理与城乡规划</c:v>
                </c:pt>
                <c:pt idx="3">
                  <c:v>旅游管理专科</c:v>
                </c:pt>
              </c:strCache>
            </c:strRef>
          </c:cat>
          <c:val>
            <c:numRef>
              <c:f>[合肥学院就业全库202212151008.xls]Sheet1!$L$9:$L$12</c:f>
              <c:numCache>
                <c:formatCode>General</c:formatCode>
                <c:ptCount val="4"/>
              </c:numCache>
            </c:numRef>
          </c:val>
        </c:ser>
        <c:dLbls>
          <c:showLegendKey val="0"/>
          <c:showVal val="0"/>
          <c:showCatName val="0"/>
          <c:showSerName val="0"/>
          <c:showPercent val="0"/>
          <c:showBubbleSize val="0"/>
        </c:dLbls>
        <c:gapWidth val="71"/>
        <c:overlap val="100"/>
        <c:axId val="351844287"/>
        <c:axId val="836547102"/>
      </c:barChart>
      <c:catAx>
        <c:axId val="351844287"/>
        <c:scaling>
          <c:orientation val="minMax"/>
        </c:scaling>
        <c:delete val="0"/>
        <c:axPos val="l"/>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forceAA="0"/>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crossAx val="836547102"/>
        <c:crosses val="autoZero"/>
        <c:auto val="1"/>
        <c:lblAlgn val="ctr"/>
        <c:lblOffset val="100"/>
        <c:noMultiLvlLbl val="0"/>
      </c:catAx>
      <c:valAx>
        <c:axId val="836547102"/>
        <c:scaling>
          <c:orientation val="minMax"/>
        </c:scaling>
        <c:delete val="0"/>
        <c:axPos val="b"/>
        <c:majorGridlines>
          <c:spPr>
            <a:ln w="9525" cap="flat" cmpd="sng" algn="ctr">
              <a:solidFill>
                <a:srgbClr val="C7E3D8"/>
              </a:solidFill>
              <a:round/>
            </a:ln>
            <a:effectLst/>
          </c:spPr>
        </c:majorGridlines>
        <c:numFmt formatCode="General" sourceLinked="1"/>
        <c:majorTickMark val="none"/>
        <c:minorTickMark val="none"/>
        <c:tickLblPos val="nextTo"/>
        <c:spPr>
          <a:noFill/>
          <a:ln>
            <a:noFill/>
          </a:ln>
          <a:effectLst/>
        </c:spPr>
        <c:txPr>
          <a:bodyPr rot="-60000000" spcFirstLastPara="0" vertOverflow="ellipsis" vert="horz" wrap="square" anchor="ctr" anchorCtr="1" forceAA="0"/>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crossAx val="351844287"/>
        <c:crosses val="autoZero"/>
        <c:crossBetween val="between"/>
      </c:valAx>
      <c:spPr>
        <a:noFill/>
        <a:ln>
          <a:noFill/>
        </a:ln>
        <a:effectLst/>
      </c:spPr>
    </c:plotArea>
    <c:legend>
      <c:legendPos val="b"/>
      <c:legendEntry>
        <c:idx val="7"/>
        <c:delete val="1"/>
      </c:legendEntry>
      <c:legendEntry>
        <c:idx val="8"/>
        <c:delete val="1"/>
      </c:legendEntry>
      <c:layout>
        <c:manualLayout>
          <c:xMode val="edge"/>
          <c:yMode val="edge"/>
          <c:x val="0.0937337639907677"/>
          <c:y val="0.89736514251604"/>
        </c:manualLayout>
      </c:layout>
      <c:overlay val="0"/>
      <c:spPr>
        <a:noFill/>
        <a:ln>
          <a:noFill/>
        </a:ln>
        <a:effectLst/>
      </c:spPr>
      <c:txPr>
        <a:bodyPr rot="0" spcFirstLastPara="0" vertOverflow="ellipsis" vert="horz" wrap="square" anchor="ctr" anchorCtr="1" forceAA="0"/>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legend>
    <c:plotVisOnly val="1"/>
    <c:dispBlanksAs val="gap"/>
    <c:showDLblsOverMax val="0"/>
  </c:chart>
  <c:spPr>
    <a:solidFill>
      <a:sysClr val="window" lastClr="FFFFFF"/>
    </a:solidFill>
    <a:ln w="3175" cap="flat" cmpd="sng" algn="ctr">
      <a:solidFill>
        <a:sysClr val="window" lastClr="FFFFFF">
          <a:lumMod val="85000"/>
        </a:sysClr>
      </a:solidFill>
      <a:round/>
    </a:ln>
    <a:effectLst>
      <a:outerShdw blurRad="63500" dist="37357" dir="2700000" sx="0" sy="0" rotWithShape="0">
        <a:scrgbClr r="0" g="0" b="0"/>
      </a:outerShdw>
    </a:effectLst>
  </c:spPr>
  <c:txPr>
    <a:bodyPr/>
    <a:lstStyle/>
    <a:p>
      <a:pPr>
        <a:defRPr lang="zh-CN">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forceAA="0"/>
          <a:lstStyle/>
          <a:p>
            <a:pPr defTabSz="914400">
              <a:defRPr lang="zh-CN" sz="1400" b="1" i="0" u="none" strike="noStrike" kern="1200" spc="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r>
              <a:t>就业主要省份（直辖市）分布</a:t>
            </a:r>
          </a:p>
        </c:rich>
      </c:tx>
      <c:layout/>
      <c:overlay val="0"/>
      <c:spPr>
        <a:noFill/>
        <a:ln>
          <a:noFill/>
        </a:ln>
        <a:effectLst/>
      </c:spPr>
    </c:title>
    <c:autoTitleDeleted val="0"/>
    <c:plotArea>
      <c:layout>
        <c:manualLayout>
          <c:layoutTarget val="inner"/>
          <c:xMode val="edge"/>
          <c:yMode val="edge"/>
          <c:x val="0.274779166109849"/>
          <c:y val="0.183076579593659"/>
          <c:w val="0.450174395296004"/>
          <c:h val="0.752099799062291"/>
        </c:manualLayout>
      </c:layout>
      <c:pieChart>
        <c:varyColors val="1"/>
        <c:ser>
          <c:idx val="0"/>
          <c:order val="0"/>
          <c:spPr/>
          <c:explosion val="0"/>
          <c:dLbls>
            <c:numFmt formatCode="General" sourceLinked="1"/>
            <c:spPr>
              <a:noFill/>
              <a:ln>
                <a:noFill/>
              </a:ln>
              <a:effectLst/>
            </c:spPr>
            <c:txPr>
              <a:bodyPr rot="0" spcFirstLastPara="0" vertOverflow="ellipsis" vert="horz" wrap="square" lIns="38100" tIns="19050" rIns="38100" bIns="19050" anchor="ctr" anchorCtr="1" forceAA="0"/>
              <a:lstStyle/>
              <a:p>
                <a:pPr>
                  <a:defRPr lang="zh-CN" sz="900" b="1" i="0" u="none" strike="noStrike" kern="1200" baseline="0">
                    <a:solidFill>
                      <a:schemeClr val="bg1">
                        <a:lumMod val="9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dLblPos val="bestFit"/>
            <c:showLegendKey val="0"/>
            <c:showVal val="1"/>
            <c:showCatName val="0"/>
            <c:showSerName val="0"/>
            <c:showPercent val="0"/>
            <c:showBubbleSize val="0"/>
            <c:showLeaderLines val="1"/>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[合肥学院就业全库202212151008.xls]Sheet1!$B$17:$T$17</c:f>
              <c:strCache>
                <c:ptCount val="9"/>
                <c:pt idx="0">
                  <c:v>安徽省</c:v>
                </c:pt>
                <c:pt idx="1">
                  <c:v>广东</c:v>
                </c:pt>
                <c:pt idx="2">
                  <c:v>江苏</c:v>
                </c:pt>
                <c:pt idx="3">
                  <c:v>山东</c:v>
                </c:pt>
                <c:pt idx="4">
                  <c:v>山西</c:v>
                </c:pt>
                <c:pt idx="5">
                  <c:v>上海</c:v>
                </c:pt>
                <c:pt idx="6">
                  <c:v>四川</c:v>
                </c:pt>
                <c:pt idx="7">
                  <c:v>浙江</c:v>
                </c:pt>
                <c:pt idx="8">
                  <c:v>其他</c:v>
                </c:pt>
              </c:strCache>
            </c:strRef>
          </c:cat>
          <c:val>
            <c:numRef>
              <c:f>[合肥学院就业全库202212151008.xls]Sheet1!$B$18:$T$18</c:f>
            </c:numRef>
          </c:val>
        </c:ser>
        <c:ser>
          <c:idx val="1"/>
          <c:order val="1"/>
          <c:spPr/>
          <c:explosion val="0"/>
          <c:dLbls>
            <c:numFmt formatCode="General" sourceLinked="1"/>
            <c:spPr>
              <a:noFill/>
              <a:ln>
                <a:noFill/>
              </a:ln>
              <a:effectLst/>
            </c:spPr>
            <c:txPr>
              <a:bodyPr rot="0" spcFirstLastPara="0" vertOverflow="ellipsis" vert="horz" wrap="square" lIns="38100" tIns="19050" rIns="38100" bIns="19050" anchor="ctr" anchorCtr="1" forceAA="0"/>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dLblPos val="bestFit"/>
            <c:showLegendKey val="0"/>
            <c:showVal val="1"/>
            <c:showCatName val="0"/>
            <c:showSerName val="0"/>
            <c:showPercent val="0"/>
            <c:showBubbleSize val="0"/>
            <c:showLeaderLines val="1"/>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[合肥学院就业全库202212151008.xls]Sheet1!$B$17:$T$17</c:f>
              <c:strCache>
                <c:ptCount val="9"/>
                <c:pt idx="0">
                  <c:v>安徽省</c:v>
                </c:pt>
                <c:pt idx="1">
                  <c:v>广东</c:v>
                </c:pt>
                <c:pt idx="2">
                  <c:v>江苏</c:v>
                </c:pt>
                <c:pt idx="3">
                  <c:v>山东</c:v>
                </c:pt>
                <c:pt idx="4">
                  <c:v>山西</c:v>
                </c:pt>
                <c:pt idx="5">
                  <c:v>上海</c:v>
                </c:pt>
                <c:pt idx="6">
                  <c:v>四川</c:v>
                </c:pt>
                <c:pt idx="7">
                  <c:v>浙江</c:v>
                </c:pt>
                <c:pt idx="8">
                  <c:v>其他</c:v>
                </c:pt>
              </c:strCache>
            </c:strRef>
          </c:cat>
          <c:val>
            <c:numRef>
              <c:f>[合肥学院就业全库202212151008.xls]Sheet1!$B$19:$T$19</c:f>
            </c:numRef>
          </c:val>
        </c:ser>
        <c:ser>
          <c:idx val="2"/>
          <c:order val="2"/>
          <c:spPr/>
          <c:explosion val="0"/>
          <c:dLbls>
            <c:numFmt formatCode="General" sourceLinked="1"/>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dLblPos val="bestFit"/>
            <c:showLegendKey val="0"/>
            <c:showVal val="1"/>
            <c:showCatName val="0"/>
            <c:showSerName val="0"/>
            <c:showPercent val="0"/>
            <c:showBubbleSize val="0"/>
            <c:showLeaderLines val="1"/>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[合肥学院就业全库202212151008.xls]Sheet1!$B$17:$T$17</c:f>
              <c:strCache>
                <c:ptCount val="9"/>
                <c:pt idx="0">
                  <c:v>安徽省</c:v>
                </c:pt>
                <c:pt idx="1">
                  <c:v>广东</c:v>
                </c:pt>
                <c:pt idx="2">
                  <c:v>江苏</c:v>
                </c:pt>
                <c:pt idx="3">
                  <c:v>山东</c:v>
                </c:pt>
                <c:pt idx="4">
                  <c:v>山西</c:v>
                </c:pt>
                <c:pt idx="5">
                  <c:v>上海</c:v>
                </c:pt>
                <c:pt idx="6">
                  <c:v>四川</c:v>
                </c:pt>
                <c:pt idx="7">
                  <c:v>浙江</c:v>
                </c:pt>
                <c:pt idx="8">
                  <c:v>其他</c:v>
                </c:pt>
              </c:strCache>
            </c:strRef>
          </c:cat>
          <c:val>
            <c:numRef>
              <c:f>[合肥学院就业全库202212151008.xls]Sheet1!$B$20:$T$20</c:f>
            </c:numRef>
          </c:val>
        </c:ser>
        <c:ser>
          <c:idx val="3"/>
          <c:order val="3"/>
          <c:spPr/>
          <c:explosion val="0"/>
          <c:dLbls>
            <c:numFmt formatCode="General" sourceLinked="1"/>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dLblPos val="bestFit"/>
            <c:showLegendKey val="0"/>
            <c:showVal val="1"/>
            <c:showCatName val="0"/>
            <c:showSerName val="0"/>
            <c:showPercent val="0"/>
            <c:showBubbleSize val="0"/>
            <c:showLeaderLines val="1"/>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[合肥学院就业全库202212151008.xls]Sheet1!$B$17:$T$17</c:f>
              <c:strCache>
                <c:ptCount val="9"/>
                <c:pt idx="0">
                  <c:v>安徽省</c:v>
                </c:pt>
                <c:pt idx="1">
                  <c:v>广东</c:v>
                </c:pt>
                <c:pt idx="2">
                  <c:v>江苏</c:v>
                </c:pt>
                <c:pt idx="3">
                  <c:v>山东</c:v>
                </c:pt>
                <c:pt idx="4">
                  <c:v>山西</c:v>
                </c:pt>
                <c:pt idx="5">
                  <c:v>上海</c:v>
                </c:pt>
                <c:pt idx="6">
                  <c:v>四川</c:v>
                </c:pt>
                <c:pt idx="7">
                  <c:v>浙江</c:v>
                </c:pt>
                <c:pt idx="8">
                  <c:v>其他</c:v>
                </c:pt>
              </c:strCache>
            </c:strRef>
          </c:cat>
          <c:val>
            <c:numRef>
              <c:f>[合肥学院就业全库202212151008.xls]Sheet1!$B$21:$T$21</c:f>
            </c:numRef>
          </c:val>
        </c:ser>
        <c:ser>
          <c:idx val="4"/>
          <c:order val="4"/>
          <c:spPr/>
          <c:explosion val="0"/>
          <c:dPt>
            <c:idx val="0"/>
            <c:bubble3D val="0"/>
            <c:spPr>
              <a:solidFill>
                <a:schemeClr val="accent6"/>
              </a:solidFill>
              <a:ln w="19050">
                <a:solidFill>
                  <a:schemeClr val="lt1"/>
                </a:solidFill>
              </a:ln>
              <a:effectLst/>
            </c:spPr>
          </c:dPt>
          <c:dPt>
            <c:idx val="1"/>
            <c:bubble3D val="0"/>
            <c:spPr>
              <a:solidFill>
                <a:schemeClr val="accent5"/>
              </a:solidFill>
              <a:ln w="19050">
                <a:solidFill>
                  <a:schemeClr val="lt1"/>
                </a:solidFill>
              </a:ln>
              <a:effectLst/>
            </c:spPr>
          </c:dPt>
          <c:dPt>
            <c:idx val="2"/>
            <c:bubble3D val="0"/>
            <c:spPr>
              <a:solidFill>
                <a:schemeClr val="accent4"/>
              </a:solidFill>
              <a:ln w="19050">
                <a:solidFill>
                  <a:schemeClr val="lt1"/>
                </a:solidFill>
              </a:ln>
              <a:effectLst/>
            </c:spPr>
          </c:dPt>
          <c:dPt>
            <c:idx val="3"/>
            <c:bubble3D val="0"/>
            <c:spPr>
              <a:solidFill>
                <a:schemeClr val="accent6">
                  <a:lumMod val="60000"/>
                </a:schemeClr>
              </a:solidFill>
              <a:ln w="19050">
                <a:solidFill>
                  <a:schemeClr val="lt1"/>
                </a:solidFill>
              </a:ln>
              <a:effectLst/>
            </c:spPr>
          </c:dPt>
          <c:dPt>
            <c:idx val="4"/>
            <c:bubble3D val="0"/>
            <c:spPr>
              <a:solidFill>
                <a:schemeClr val="accent5">
                  <a:lumMod val="60000"/>
                </a:schemeClr>
              </a:solidFill>
              <a:ln w="19050">
                <a:solidFill>
                  <a:schemeClr val="lt1"/>
                </a:solidFill>
              </a:ln>
              <a:effectLst/>
            </c:spPr>
          </c:dPt>
          <c:dPt>
            <c:idx val="5"/>
            <c:bubble3D val="0"/>
            <c:spPr>
              <a:solidFill>
                <a:schemeClr val="accent4">
                  <a:lumMod val="60000"/>
                </a:schemeClr>
              </a:solidFill>
              <a:ln w="19050">
                <a:solidFill>
                  <a:schemeClr val="lt1"/>
                </a:solidFill>
              </a:ln>
              <a:effectLst/>
            </c:spPr>
          </c:dPt>
          <c:dPt>
            <c:idx val="6"/>
            <c:bubble3D val="0"/>
            <c:spPr>
              <a:solidFill>
                <a:schemeClr val="accent6">
                  <a:lumMod val="80000"/>
                  <a:lumOff val="20000"/>
                </a:schemeClr>
              </a:solidFill>
              <a:ln w="19050">
                <a:solidFill>
                  <a:schemeClr val="lt1"/>
                </a:solidFill>
              </a:ln>
              <a:effectLst/>
            </c:spPr>
          </c:dPt>
          <c:dPt>
            <c:idx val="7"/>
            <c:bubble3D val="0"/>
            <c:spPr>
              <a:solidFill>
                <a:schemeClr val="accent5">
                  <a:lumMod val="80000"/>
                  <a:lumOff val="20000"/>
                </a:schemeClr>
              </a:solidFill>
              <a:ln w="19050">
                <a:solidFill>
                  <a:schemeClr val="lt1"/>
                </a:solidFill>
              </a:ln>
              <a:effectLst/>
            </c:spPr>
          </c:dPt>
          <c:dPt>
            <c:idx val="8"/>
            <c:bubble3D val="0"/>
            <c:spPr>
              <a:solidFill>
                <a:schemeClr val="accent4">
                  <a:lumMod val="80000"/>
                  <a:lumOff val="20000"/>
                </a:schemeClr>
              </a:solidFill>
              <a:ln w="19050">
                <a:solidFill>
                  <a:schemeClr val="lt1"/>
                </a:solidFill>
              </a:ln>
              <a:effectLst/>
            </c:spPr>
          </c:dPt>
          <c:dLbls>
            <c:numFmt formatCode="General" sourceLinked="1"/>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dLblPos val="bestFit"/>
            <c:showLegendKey val="0"/>
            <c:showVal val="0"/>
            <c:showCatName val="0"/>
            <c:showSerName val="0"/>
            <c:showPercent val="1"/>
            <c:showBubbleSize val="0"/>
            <c:showLeaderLines val="1"/>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[合肥学院就业全库202212151008.xls]Sheet1!$B$17:$T$17</c:f>
              <c:strCache>
                <c:ptCount val="9"/>
                <c:pt idx="0">
                  <c:v>安徽省</c:v>
                </c:pt>
                <c:pt idx="1">
                  <c:v>广东</c:v>
                </c:pt>
                <c:pt idx="2">
                  <c:v>江苏</c:v>
                </c:pt>
                <c:pt idx="3">
                  <c:v>山东</c:v>
                </c:pt>
                <c:pt idx="4">
                  <c:v>山西</c:v>
                </c:pt>
                <c:pt idx="5">
                  <c:v>上海</c:v>
                </c:pt>
                <c:pt idx="6">
                  <c:v>四川</c:v>
                </c:pt>
                <c:pt idx="7">
                  <c:v>浙江</c:v>
                </c:pt>
                <c:pt idx="8">
                  <c:v>其他</c:v>
                </c:pt>
              </c:strCache>
            </c:strRef>
          </c:cat>
          <c:val>
            <c:numRef>
              <c:f>[合肥学院就业全库202212151008.xls]Sheet1!$B$22:$T$22</c:f>
              <c:numCache>
                <c:formatCode>General</c:formatCode>
                <c:ptCount val="9"/>
                <c:pt idx="0">
                  <c:v>53</c:v>
                </c:pt>
                <c:pt idx="1">
                  <c:v>2</c:v>
                </c:pt>
                <c:pt idx="2">
                  <c:v>2</c:v>
                </c:pt>
                <c:pt idx="3">
                  <c:v>2</c:v>
                </c:pt>
                <c:pt idx="4">
                  <c:v>2</c:v>
                </c:pt>
                <c:pt idx="5">
                  <c:v>2</c:v>
                </c:pt>
                <c:pt idx="6">
                  <c:v>3</c:v>
                </c:pt>
                <c:pt idx="7">
                  <c:v>4</c:v>
                </c:pt>
                <c:pt idx="8">
                  <c:v>7</c:v>
                </c:pt>
              </c:numCache>
            </c:numRef>
          </c:val>
        </c:ser>
        <c:dLbls>
          <c:showLegendKey val="0"/>
          <c:showVal val="1"/>
          <c:showCatName val="0"/>
          <c:showSerName val="0"/>
          <c:showPercent val="0"/>
          <c:showBubbleSize val="0"/>
          <c:showLeaderLines val="1"/>
        </c:dLbls>
        <c:firstSliceAng val="0"/>
      </c:pieChart>
      <c:spPr>
        <a:noFill/>
        <a:ln>
          <a:noFill/>
        </a:ln>
        <a:effectLst/>
      </c:spPr>
    </c:plotArea>
    <c:legend>
      <c:legendPos val="l"/>
      <c:layout>
        <c:manualLayout>
          <c:xMode val="edge"/>
          <c:yMode val="edge"/>
          <c:x val="0.0400908726446612"/>
          <c:y val="0.305425318151373"/>
        </c:manualLayout>
      </c:layout>
      <c:overlay val="0"/>
      <c:spPr>
        <a:noFill/>
        <a:ln>
          <a:noFill/>
        </a:ln>
        <a:effectLst/>
      </c:spPr>
      <c:txPr>
        <a:bodyPr rot="0" spcFirstLastPara="0" vertOverflow="ellipsis" vert="horz" wrap="square" anchor="ctr" anchorCtr="1" forceAA="0"/>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legend>
    <c:plotVisOnly val="1"/>
    <c:dispBlanksAs val="gap"/>
    <c:showDLblsOverMax val="0"/>
  </c:chart>
  <c:spPr>
    <a:solidFill>
      <a:schemeClr val="bg1"/>
    </a:solidFill>
    <a:ln w="9525" cap="flat" cmpd="sng" algn="ctr">
      <a:solidFill>
        <a:schemeClr val="accent6">
          <a:lumMod val="20000"/>
          <a:lumOff val="80000"/>
        </a:schemeClr>
      </a:solidFill>
      <a:round/>
    </a:ln>
    <a:effectLst>
      <a:outerShdw blurRad="63500" dist="37357" dir="2700000" sx="0" sy="0" rotWithShape="0">
        <a:scrgbClr r="0" g="0" b="0"/>
      </a:outerShdw>
    </a:effectLst>
  </c:spPr>
  <c:txPr>
    <a:bodyPr/>
    <a:lstStyle/>
    <a:p>
      <a:pPr>
        <a:defRPr lang="zh-CN">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forceAA="0"/>
          <a:lstStyle/>
          <a:p>
            <a:pPr>
              <a:defRPr lang="zh-CN" sz="1400" b="1" i="0" u="none" strike="noStrike" kern="1200" spc="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r>
              <a:rPr b="1">
                <a:latin typeface="微软雅黑" panose="020B0503020204020204" charset="-122"/>
                <a:ea typeface="微软雅黑" panose="020B0503020204020204" charset="-122"/>
                <a:cs typeface="微软雅黑" panose="020B0503020204020204" charset="-122"/>
                <a:sym typeface="微软雅黑" panose="020B0503020204020204" charset="-122"/>
              </a:rPr>
              <a:t>省内就业主要城市分布</a:t>
            </a:r>
            <a:endParaRPr b="1">
              <a:latin typeface="微软雅黑" panose="020B0503020204020204" charset="-122"/>
              <a:ea typeface="微软雅黑" panose="020B0503020204020204" charset="-122"/>
              <a:cs typeface="微软雅黑" panose="020B0503020204020204" charset="-122"/>
              <a:sym typeface="微软雅黑" panose="020B0503020204020204" charset="-122"/>
            </a:endParaRPr>
          </a:p>
        </c:rich>
      </c:tx>
      <c:layout>
        <c:manualLayout>
          <c:xMode val="edge"/>
          <c:yMode val="edge"/>
          <c:x val="0.0824405539587145"/>
          <c:y val="0.0463065049614113"/>
        </c:manualLayout>
      </c:layout>
      <c:overlay val="0"/>
      <c:spPr>
        <a:noFill/>
        <a:ln>
          <a:noFill/>
        </a:ln>
        <a:effectLst/>
      </c:spPr>
    </c:title>
    <c:autoTitleDeleted val="0"/>
    <c:plotArea>
      <c:layout>
        <c:manualLayout>
          <c:layoutTarget val="inner"/>
          <c:xMode val="edge"/>
          <c:yMode val="edge"/>
          <c:x val="0.246799059315391"/>
          <c:y val="0.171775082690187"/>
          <c:w val="0.473085968121243"/>
          <c:h val="0.798456449834619"/>
        </c:manualLayout>
      </c:layout>
      <c:pieChart>
        <c:varyColors val="1"/>
        <c:ser>
          <c:idx val="0"/>
          <c:order val="0"/>
          <c:spPr/>
          <c:explosion val="7"/>
          <c:dLbls>
            <c:numFmt formatCode="General" sourceLinked="1"/>
            <c:spPr>
              <a:noFill/>
              <a:ln>
                <a:noFill/>
              </a:ln>
              <a:effectLst/>
            </c:spPr>
            <c:txPr>
              <a:bodyPr rot="0" spcFirstLastPara="0" vertOverflow="ellipsis" vert="horz" wrap="square" lIns="38100" tIns="19050" rIns="38100" bIns="19050" anchor="ctr" anchorCtr="1" forceAA="0"/>
              <a:lstStyle/>
              <a:p>
                <a:pPr>
                  <a:defRPr lang="zh-CN" sz="1400" b="1" i="0" u="none" strike="noStrike" kern="1200" baseline="0">
                    <a:solidFill>
                      <a:schemeClr val="bg1"/>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dLblPos val="ctr"/>
            <c:showLegendKey val="0"/>
            <c:showVal val="0"/>
            <c:showCatName val="0"/>
            <c:showSerName val="0"/>
            <c:showPercent val="1"/>
            <c:showBubbleSize val="0"/>
            <c:showLeaderLines val="1"/>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[合肥学院就业全库202212151008.xls]Sheet1!$C$17:$G$17</c:f>
              <c:strCache>
                <c:ptCount val="5"/>
                <c:pt idx="0">
                  <c:v>合肥市</c:v>
                </c:pt>
                <c:pt idx="1">
                  <c:v>滁州</c:v>
                </c:pt>
                <c:pt idx="2">
                  <c:v>淮南</c:v>
                </c:pt>
                <c:pt idx="3">
                  <c:v>六安</c:v>
                </c:pt>
                <c:pt idx="4">
                  <c:v>其他</c:v>
                </c:pt>
              </c:strCache>
            </c:strRef>
          </c:cat>
          <c:val>
            <c:numRef>
              <c:f>[合肥学院就业全库202212151008.xls]Sheet1!$C$18:$G$18</c:f>
            </c:numRef>
          </c:val>
        </c:ser>
        <c:ser>
          <c:idx val="1"/>
          <c:order val="1"/>
          <c:spPr/>
          <c:explosion val="7"/>
          <c:dLbls>
            <c:numFmt formatCode="General" sourceLinked="1"/>
            <c:spPr>
              <a:noFill/>
              <a:ln>
                <a:noFill/>
              </a:ln>
              <a:effectLst/>
            </c:spPr>
            <c:txPr>
              <a:bodyPr rot="0" spcFirstLastPara="0" vertOverflow="ellipsis" vert="horz" wrap="square" lIns="38100" tIns="19050" rIns="38100" bIns="19050" anchor="ctr" anchorCtr="1"/>
              <a:lstStyle/>
              <a:p>
                <a:pPr>
                  <a:defRPr lang="zh-CN" sz="900" b="1"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dLblPos val="ctr"/>
            <c:showLegendKey val="0"/>
            <c:showVal val="0"/>
            <c:showCatName val="0"/>
            <c:showSerName val="0"/>
            <c:showPercent val="1"/>
            <c:showBubbleSize val="0"/>
            <c:showLeaderLines val="1"/>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[合肥学院就业全库202212151008.xls]Sheet1!$C$17:$G$17</c:f>
              <c:strCache>
                <c:ptCount val="5"/>
                <c:pt idx="0">
                  <c:v>合肥市</c:v>
                </c:pt>
                <c:pt idx="1">
                  <c:v>滁州</c:v>
                </c:pt>
                <c:pt idx="2">
                  <c:v>淮南</c:v>
                </c:pt>
                <c:pt idx="3">
                  <c:v>六安</c:v>
                </c:pt>
                <c:pt idx="4">
                  <c:v>其他</c:v>
                </c:pt>
              </c:strCache>
            </c:strRef>
          </c:cat>
          <c:val>
            <c:numRef>
              <c:f>[合肥学院就业全库202212151008.xls]Sheet1!$C$19:$G$19</c:f>
            </c:numRef>
          </c:val>
        </c:ser>
        <c:ser>
          <c:idx val="2"/>
          <c:order val="2"/>
          <c:spPr/>
          <c:explosion val="7"/>
          <c:dLbls>
            <c:numFmt formatCode="General" sourceLinked="1"/>
            <c:spPr>
              <a:noFill/>
              <a:ln>
                <a:noFill/>
              </a:ln>
              <a:effectLst/>
            </c:spPr>
            <c:txPr>
              <a:bodyPr rot="0" spcFirstLastPara="0" vertOverflow="ellipsis" vert="horz" wrap="square" lIns="38100" tIns="19050" rIns="38100" bIns="19050" anchor="ctr" anchorCtr="1"/>
              <a:lstStyle/>
              <a:p>
                <a:pPr>
                  <a:defRPr lang="zh-CN" sz="900" b="1"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dLblPos val="ctr"/>
            <c:showLegendKey val="0"/>
            <c:showVal val="0"/>
            <c:showCatName val="0"/>
            <c:showSerName val="0"/>
            <c:showPercent val="1"/>
            <c:showBubbleSize val="0"/>
            <c:showLeaderLines val="1"/>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[合肥学院就业全库202212151008.xls]Sheet1!$C$17:$G$17</c:f>
              <c:strCache>
                <c:ptCount val="5"/>
                <c:pt idx="0">
                  <c:v>合肥市</c:v>
                </c:pt>
                <c:pt idx="1">
                  <c:v>滁州</c:v>
                </c:pt>
                <c:pt idx="2">
                  <c:v>淮南</c:v>
                </c:pt>
                <c:pt idx="3">
                  <c:v>六安</c:v>
                </c:pt>
                <c:pt idx="4">
                  <c:v>其他</c:v>
                </c:pt>
              </c:strCache>
            </c:strRef>
          </c:cat>
          <c:val>
            <c:numRef>
              <c:f>[合肥学院就业全库202212151008.xls]Sheet1!$C$20:$G$20</c:f>
            </c:numRef>
          </c:val>
        </c:ser>
        <c:ser>
          <c:idx val="3"/>
          <c:order val="3"/>
          <c:spPr/>
          <c:explosion val="7"/>
          <c:dLbls>
            <c:numFmt formatCode="General" sourceLinked="1"/>
            <c:spPr>
              <a:noFill/>
              <a:ln>
                <a:noFill/>
              </a:ln>
              <a:effectLst/>
            </c:spPr>
            <c:txPr>
              <a:bodyPr rot="0" spcFirstLastPara="0" vertOverflow="ellipsis" vert="horz" wrap="square" lIns="38100" tIns="19050" rIns="38100" bIns="19050" anchor="ctr" anchorCtr="1"/>
              <a:lstStyle/>
              <a:p>
                <a:pPr>
                  <a:defRPr lang="zh-CN" sz="900" b="1"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dLblPos val="ctr"/>
            <c:showLegendKey val="0"/>
            <c:showVal val="0"/>
            <c:showCatName val="0"/>
            <c:showSerName val="0"/>
            <c:showPercent val="1"/>
            <c:showBubbleSize val="0"/>
            <c:showLeaderLines val="1"/>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[合肥学院就业全库202212151008.xls]Sheet1!$C$17:$G$17</c:f>
              <c:strCache>
                <c:ptCount val="5"/>
                <c:pt idx="0">
                  <c:v>合肥市</c:v>
                </c:pt>
                <c:pt idx="1">
                  <c:v>滁州</c:v>
                </c:pt>
                <c:pt idx="2">
                  <c:v>淮南</c:v>
                </c:pt>
                <c:pt idx="3">
                  <c:v>六安</c:v>
                </c:pt>
                <c:pt idx="4">
                  <c:v>其他</c:v>
                </c:pt>
              </c:strCache>
            </c:strRef>
          </c:cat>
          <c:val>
            <c:numRef>
              <c:f>[合肥学院就业全库202212151008.xls]Sheet1!$C$21:$G$21</c:f>
            </c:numRef>
          </c:val>
        </c:ser>
        <c:ser>
          <c:idx val="4"/>
          <c:order val="4"/>
          <c:spPr/>
          <c:explosion val="7"/>
          <c:dPt>
            <c:idx val="0"/>
            <c:bubble3D val="0"/>
            <c:spPr>
              <a:solidFill>
                <a:schemeClr val="accent6"/>
              </a:solidFill>
              <a:ln w="19050">
                <a:solidFill>
                  <a:schemeClr val="lt1"/>
                </a:solidFill>
              </a:ln>
              <a:effectLst/>
            </c:spPr>
          </c:dPt>
          <c:dPt>
            <c:idx val="1"/>
            <c:bubble3D val="0"/>
            <c:spPr>
              <a:solidFill>
                <a:schemeClr val="accent5"/>
              </a:solidFill>
              <a:ln w="19050">
                <a:solidFill>
                  <a:schemeClr val="lt1"/>
                </a:solidFill>
              </a:ln>
              <a:effectLst/>
            </c:spPr>
          </c:dPt>
          <c:dPt>
            <c:idx val="2"/>
            <c:bubble3D val="0"/>
            <c:spPr>
              <a:solidFill>
                <a:schemeClr val="accent4"/>
              </a:solidFill>
              <a:ln w="19050">
                <a:solidFill>
                  <a:schemeClr val="lt1"/>
                </a:solidFill>
              </a:ln>
              <a:effectLst/>
            </c:spPr>
          </c:dPt>
          <c:dPt>
            <c:idx val="3"/>
            <c:bubble3D val="0"/>
            <c:spPr>
              <a:solidFill>
                <a:schemeClr val="accent6">
                  <a:lumMod val="60000"/>
                </a:schemeClr>
              </a:solidFill>
              <a:ln w="19050">
                <a:solidFill>
                  <a:schemeClr val="lt1"/>
                </a:solidFill>
              </a:ln>
              <a:effectLst/>
            </c:spPr>
          </c:dPt>
          <c:dPt>
            <c:idx val="4"/>
            <c:bubble3D val="0"/>
            <c:spPr>
              <a:solidFill>
                <a:schemeClr val="accent5">
                  <a:lumMod val="60000"/>
                </a:schemeClr>
              </a:solidFill>
              <a:ln w="19050">
                <a:solidFill>
                  <a:schemeClr val="lt1"/>
                </a:solidFill>
              </a:ln>
              <a:effectLst/>
            </c:spPr>
          </c:dPt>
          <c:dLbls>
            <c:numFmt formatCode="General" sourceLinked="1"/>
            <c:spPr>
              <a:noFill/>
              <a:ln>
                <a:noFill/>
              </a:ln>
              <a:effectLst/>
            </c:spPr>
            <c:txPr>
              <a:bodyPr rot="0" spcFirstLastPara="0" vertOverflow="ellipsis" vert="horz" wrap="square" lIns="38100" tIns="19050" rIns="38100" bIns="19050" anchor="ctr" anchorCtr="1"/>
              <a:lstStyle/>
              <a:p>
                <a:pPr>
                  <a:defRPr lang="zh-CN" sz="900" b="1"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dLblPos val="ctr"/>
            <c:showLegendKey val="0"/>
            <c:showVal val="0"/>
            <c:showCatName val="0"/>
            <c:showSerName val="0"/>
            <c:showPercent val="1"/>
            <c:showBubbleSize val="0"/>
            <c:showLeaderLines val="1"/>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[合肥学院就业全库202212151008.xls]Sheet1!$C$17:$G$17</c:f>
              <c:strCache>
                <c:ptCount val="5"/>
                <c:pt idx="0">
                  <c:v>合肥市</c:v>
                </c:pt>
                <c:pt idx="1">
                  <c:v>滁州</c:v>
                </c:pt>
                <c:pt idx="2">
                  <c:v>淮南</c:v>
                </c:pt>
                <c:pt idx="3">
                  <c:v>六安</c:v>
                </c:pt>
                <c:pt idx="4">
                  <c:v>其他</c:v>
                </c:pt>
              </c:strCache>
            </c:strRef>
          </c:cat>
          <c:val>
            <c:numRef>
              <c:f>[合肥学院就业全库202212151008.xls]Sheet1!$C$22:$G$22</c:f>
              <c:numCache>
                <c:formatCode>General</c:formatCode>
                <c:ptCount val="5"/>
                <c:pt idx="0">
                  <c:v>39</c:v>
                </c:pt>
                <c:pt idx="1">
                  <c:v>2</c:v>
                </c:pt>
                <c:pt idx="2">
                  <c:v>3</c:v>
                </c:pt>
                <c:pt idx="3">
                  <c:v>3</c:v>
                </c:pt>
                <c:pt idx="4">
                  <c:v>6</c:v>
                </c:pt>
              </c:numCache>
            </c:numRef>
          </c:val>
        </c:ser>
        <c:dLbls>
          <c:showLegendKey val="0"/>
          <c:showVal val="1"/>
          <c:showCatName val="0"/>
          <c:showSerName val="0"/>
          <c:showPercent val="0"/>
          <c:showBubbleSize val="0"/>
          <c:showLeaderLines val="1"/>
        </c:dLbls>
        <c:firstSliceAng val="0"/>
      </c:pieChart>
      <c:spPr>
        <a:noFill/>
        <a:ln>
          <a:noFill/>
        </a:ln>
        <a:effectLst/>
      </c:spPr>
    </c:plotArea>
    <c:legend>
      <c:legendPos val="r"/>
      <c:legendEntry>
        <c:idx val="0"/>
        <c:txPr>
          <a:bodyPr rot="0" spcFirstLastPara="0" vertOverflow="ellipsis" vert="horz" wrap="square" anchor="ctr" anchorCtr="1"/>
          <a:lstStyle/>
          <a:p>
            <a:pPr>
              <a:defRPr lang="zh-CN" sz="900" b="1"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legendEntry>
      <c:legendEntry>
        <c:idx val="1"/>
        <c:txPr>
          <a:bodyPr rot="0" spcFirstLastPara="0" vertOverflow="ellipsis" vert="horz" wrap="square" anchor="ctr" anchorCtr="1"/>
          <a:lstStyle/>
          <a:p>
            <a:pPr>
              <a:defRPr lang="zh-CN" sz="900" b="1"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legendEntry>
      <c:legendEntry>
        <c:idx val="2"/>
        <c:txPr>
          <a:bodyPr rot="0" spcFirstLastPara="0" vertOverflow="ellipsis" vert="horz" wrap="square" anchor="ctr" anchorCtr="1"/>
          <a:lstStyle/>
          <a:p>
            <a:pPr>
              <a:defRPr lang="zh-CN" sz="900" b="1"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legendEntry>
      <c:legendEntry>
        <c:idx val="3"/>
        <c:txPr>
          <a:bodyPr rot="0" spcFirstLastPara="0" vertOverflow="ellipsis" vert="horz" wrap="square" anchor="ctr" anchorCtr="1"/>
          <a:lstStyle/>
          <a:p>
            <a:pPr>
              <a:defRPr lang="zh-CN" sz="900" b="1"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legendEntry>
      <c:legendEntry>
        <c:idx val="4"/>
        <c:txPr>
          <a:bodyPr rot="0" spcFirstLastPara="0" vertOverflow="ellipsis" vert="horz" wrap="square" anchor="ctr" anchorCtr="1"/>
          <a:lstStyle/>
          <a:p>
            <a:pPr>
              <a:defRPr lang="zh-CN" sz="900" b="1"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legendEntry>
      <c:layout/>
      <c:overlay val="0"/>
      <c:spPr>
        <a:noFill/>
        <a:ln>
          <a:noFill/>
        </a:ln>
        <a:effectLst/>
      </c:spPr>
      <c:txPr>
        <a:bodyPr rot="0" spcFirstLastPara="0" vertOverflow="ellipsis" vert="horz" wrap="square" anchor="ctr" anchorCtr="1" forceAA="0"/>
        <a:lstStyle/>
        <a:p>
          <a:pPr>
            <a:defRPr lang="zh-CN" sz="900" b="1"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b="1">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forceAA="0"/>
          <a:lstStyle/>
          <a:p>
            <a:pPr>
              <a:defRPr lang="zh-CN" sz="1400" b="1" i="0" u="none" strike="noStrike" kern="1200" spc="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r>
              <a:t>各专业就业主要省份分布</a:t>
            </a:r>
          </a:p>
        </c:rich>
      </c:tx>
      <c:layout>
        <c:manualLayout>
          <c:xMode val="edge"/>
          <c:yMode val="edge"/>
          <c:x val="0.306875753920386"/>
          <c:y val="0.0311793944871216"/>
        </c:manualLayout>
      </c:layout>
      <c:overlay val="0"/>
      <c:spPr>
        <a:noFill/>
        <a:ln>
          <a:noFill/>
        </a:ln>
        <a:effectLst/>
      </c:spPr>
    </c:title>
    <c:autoTitleDeleted val="0"/>
    <c:plotArea>
      <c:layout>
        <c:manualLayout>
          <c:layoutTarget val="inner"/>
          <c:xMode val="edge"/>
          <c:yMode val="edge"/>
          <c:x val="0.130550693415915"/>
          <c:y val="0.176405733186329"/>
          <c:w val="0.808455634845833"/>
          <c:h val="0.580022050716648"/>
        </c:manualLayout>
      </c:layout>
      <c:barChart>
        <c:barDir val="bar"/>
        <c:grouping val="stacked"/>
        <c:varyColors val="0"/>
        <c:ser>
          <c:idx val="0"/>
          <c:order val="0"/>
          <c:tx>
            <c:strRef>
              <c:f>[合肥学院就业全库202212151008.xls]Sheet1!$B$17</c:f>
              <c:strCache>
                <c:ptCount val="1"/>
                <c:pt idx="0">
                  <c:v>安徽省</c:v>
                </c:pt>
              </c:strCache>
            </c:strRef>
          </c:tx>
          <c:spPr>
            <a:solidFill>
              <a:schemeClr val="accent6"/>
            </a:solidFill>
            <a:ln>
              <a:noFill/>
            </a:ln>
            <a:effectLst/>
          </c:spPr>
          <c:invertIfNegative val="0"/>
          <c:dLbls>
            <c:delete val="1"/>
          </c:dLbls>
          <c:cat>
            <c:strRef>
              <c:f>[合肥学院就业全库202212151008.xls]Sheet1!$A$18:$A$21</c:f>
              <c:strCache>
                <c:ptCount val="4"/>
                <c:pt idx="0">
                  <c:v>酒店管理</c:v>
                </c:pt>
                <c:pt idx="1">
                  <c:v>旅游管理</c:v>
                </c:pt>
                <c:pt idx="2">
                  <c:v>人文地理与城乡规划</c:v>
                </c:pt>
                <c:pt idx="3">
                  <c:v>旅游管理专科</c:v>
                </c:pt>
              </c:strCache>
            </c:strRef>
          </c:cat>
          <c:val>
            <c:numRef>
              <c:f>[合肥学院就业全库202212151008.xls]Sheet1!$B$18:$B$21</c:f>
              <c:numCache>
                <c:formatCode>General</c:formatCode>
                <c:ptCount val="4"/>
                <c:pt idx="0">
                  <c:v>20</c:v>
                </c:pt>
                <c:pt idx="1">
                  <c:v>14</c:v>
                </c:pt>
                <c:pt idx="2">
                  <c:v>17</c:v>
                </c:pt>
                <c:pt idx="3">
                  <c:v>2</c:v>
                </c:pt>
              </c:numCache>
            </c:numRef>
          </c:val>
        </c:ser>
        <c:ser>
          <c:idx val="1"/>
          <c:order val="1"/>
          <c:tx>
            <c:strRef>
              <c:f>[合肥学院就业全库202212151008.xls]Sheet1!$C$17</c:f>
              <c:strCache>
                <c:ptCount val="1"/>
                <c:pt idx="0">
                  <c:v>合肥市</c:v>
                </c:pt>
              </c:strCache>
            </c:strRef>
          </c:tx>
          <c:spPr>
            <a:solidFill>
              <a:schemeClr val="accent5"/>
            </a:solidFill>
            <a:ln>
              <a:noFill/>
            </a:ln>
            <a:effectLst/>
          </c:spPr>
          <c:invertIfNegative val="0"/>
          <c:dLbls>
            <c:delete val="1"/>
          </c:dLbls>
          <c:cat>
            <c:strRef>
              <c:f>[合肥学院就业全库202212151008.xls]Sheet1!$A$18:$A$21</c:f>
              <c:strCache>
                <c:ptCount val="4"/>
                <c:pt idx="0">
                  <c:v>酒店管理</c:v>
                </c:pt>
                <c:pt idx="1">
                  <c:v>旅游管理</c:v>
                </c:pt>
                <c:pt idx="2">
                  <c:v>人文地理与城乡规划</c:v>
                </c:pt>
                <c:pt idx="3">
                  <c:v>旅游管理专科</c:v>
                </c:pt>
              </c:strCache>
            </c:strRef>
          </c:cat>
          <c:val>
            <c:numRef>
              <c:f>[合肥学院就业全库202212151008.xls]Sheet1!$C$18:$C$21</c:f>
            </c:numRef>
          </c:val>
        </c:ser>
        <c:ser>
          <c:idx val="2"/>
          <c:order val="2"/>
          <c:tx>
            <c:strRef>
              <c:f>[合肥学院就业全库202212151008.xls]Sheet1!$D$17</c:f>
              <c:strCache>
                <c:ptCount val="1"/>
                <c:pt idx="0">
                  <c:v>滁州</c:v>
                </c:pt>
              </c:strCache>
            </c:strRef>
          </c:tx>
          <c:spPr>
            <a:solidFill>
              <a:schemeClr val="accent4"/>
            </a:solidFill>
            <a:ln>
              <a:noFill/>
            </a:ln>
            <a:effectLst/>
          </c:spPr>
          <c:invertIfNegative val="0"/>
          <c:dLbls>
            <c:delete val="1"/>
          </c:dLbls>
          <c:cat>
            <c:strRef>
              <c:f>[合肥学院就业全库202212151008.xls]Sheet1!$A$18:$A$21</c:f>
              <c:strCache>
                <c:ptCount val="4"/>
                <c:pt idx="0">
                  <c:v>酒店管理</c:v>
                </c:pt>
                <c:pt idx="1">
                  <c:v>旅游管理</c:v>
                </c:pt>
                <c:pt idx="2">
                  <c:v>人文地理与城乡规划</c:v>
                </c:pt>
                <c:pt idx="3">
                  <c:v>旅游管理专科</c:v>
                </c:pt>
              </c:strCache>
            </c:strRef>
          </c:cat>
          <c:val>
            <c:numRef>
              <c:f>[合肥学院就业全库202212151008.xls]Sheet1!$D$18:$D$21</c:f>
            </c:numRef>
          </c:val>
        </c:ser>
        <c:ser>
          <c:idx val="3"/>
          <c:order val="3"/>
          <c:tx>
            <c:strRef>
              <c:f>[合肥学院就业全库202212151008.xls]Sheet1!$E$17</c:f>
              <c:strCache>
                <c:ptCount val="1"/>
                <c:pt idx="0">
                  <c:v>淮南</c:v>
                </c:pt>
              </c:strCache>
            </c:strRef>
          </c:tx>
          <c:spPr>
            <a:solidFill>
              <a:schemeClr val="accent6">
                <a:lumMod val="60000"/>
              </a:schemeClr>
            </a:solidFill>
            <a:ln>
              <a:noFill/>
            </a:ln>
            <a:effectLst/>
          </c:spPr>
          <c:invertIfNegative val="0"/>
          <c:dLbls>
            <c:delete val="1"/>
          </c:dLbls>
          <c:cat>
            <c:strRef>
              <c:f>[合肥学院就业全库202212151008.xls]Sheet1!$A$18:$A$21</c:f>
              <c:strCache>
                <c:ptCount val="4"/>
                <c:pt idx="0">
                  <c:v>酒店管理</c:v>
                </c:pt>
                <c:pt idx="1">
                  <c:v>旅游管理</c:v>
                </c:pt>
                <c:pt idx="2">
                  <c:v>人文地理与城乡规划</c:v>
                </c:pt>
                <c:pt idx="3">
                  <c:v>旅游管理专科</c:v>
                </c:pt>
              </c:strCache>
            </c:strRef>
          </c:cat>
          <c:val>
            <c:numRef>
              <c:f>[合肥学院就业全库202212151008.xls]Sheet1!$E$18:$E$21</c:f>
            </c:numRef>
          </c:val>
        </c:ser>
        <c:ser>
          <c:idx val="4"/>
          <c:order val="4"/>
          <c:tx>
            <c:strRef>
              <c:f>[合肥学院就业全库202212151008.xls]Sheet1!$F$17</c:f>
              <c:strCache>
                <c:ptCount val="1"/>
                <c:pt idx="0">
                  <c:v>六安</c:v>
                </c:pt>
              </c:strCache>
            </c:strRef>
          </c:tx>
          <c:spPr>
            <a:solidFill>
              <a:schemeClr val="accent5">
                <a:lumMod val="60000"/>
              </a:schemeClr>
            </a:solidFill>
            <a:ln>
              <a:noFill/>
            </a:ln>
            <a:effectLst/>
          </c:spPr>
          <c:invertIfNegative val="0"/>
          <c:dLbls>
            <c:delete val="1"/>
          </c:dLbls>
          <c:cat>
            <c:strRef>
              <c:f>[合肥学院就业全库202212151008.xls]Sheet1!$A$18:$A$21</c:f>
              <c:strCache>
                <c:ptCount val="4"/>
                <c:pt idx="0">
                  <c:v>酒店管理</c:v>
                </c:pt>
                <c:pt idx="1">
                  <c:v>旅游管理</c:v>
                </c:pt>
                <c:pt idx="2">
                  <c:v>人文地理与城乡规划</c:v>
                </c:pt>
                <c:pt idx="3">
                  <c:v>旅游管理专科</c:v>
                </c:pt>
              </c:strCache>
            </c:strRef>
          </c:cat>
          <c:val>
            <c:numRef>
              <c:f>[合肥学院就业全库202212151008.xls]Sheet1!$F$18:$F$21</c:f>
            </c:numRef>
          </c:val>
        </c:ser>
        <c:ser>
          <c:idx val="5"/>
          <c:order val="5"/>
          <c:tx>
            <c:strRef>
              <c:f>[合肥学院就业全库202212151008.xls]Sheet1!$G$17</c:f>
              <c:strCache>
                <c:ptCount val="1"/>
                <c:pt idx="0">
                  <c:v>其他</c:v>
                </c:pt>
              </c:strCache>
            </c:strRef>
          </c:tx>
          <c:spPr>
            <a:solidFill>
              <a:schemeClr val="accent4">
                <a:lumMod val="60000"/>
              </a:schemeClr>
            </a:solidFill>
            <a:ln>
              <a:noFill/>
            </a:ln>
            <a:effectLst/>
          </c:spPr>
          <c:invertIfNegative val="0"/>
          <c:dLbls>
            <c:delete val="1"/>
          </c:dLbls>
          <c:cat>
            <c:strRef>
              <c:f>[合肥学院就业全库202212151008.xls]Sheet1!$A$18:$A$21</c:f>
              <c:strCache>
                <c:ptCount val="4"/>
                <c:pt idx="0">
                  <c:v>酒店管理</c:v>
                </c:pt>
                <c:pt idx="1">
                  <c:v>旅游管理</c:v>
                </c:pt>
                <c:pt idx="2">
                  <c:v>人文地理与城乡规划</c:v>
                </c:pt>
                <c:pt idx="3">
                  <c:v>旅游管理专科</c:v>
                </c:pt>
              </c:strCache>
            </c:strRef>
          </c:cat>
          <c:val>
            <c:numRef>
              <c:f>[合肥学院就业全库202212151008.xls]Sheet1!$G$18:$G$21</c:f>
            </c:numRef>
          </c:val>
        </c:ser>
        <c:ser>
          <c:idx val="6"/>
          <c:order val="6"/>
          <c:tx>
            <c:strRef>
              <c:f>[合肥学院就业全库202212151008.xls]Sheet1!$H$17</c:f>
              <c:strCache>
                <c:ptCount val="1"/>
                <c:pt idx="0">
                  <c:v>广东</c:v>
                </c:pt>
              </c:strCache>
            </c:strRef>
          </c:tx>
          <c:spPr>
            <a:solidFill>
              <a:schemeClr val="accent6">
                <a:lumMod val="80000"/>
                <a:lumOff val="20000"/>
              </a:schemeClr>
            </a:solidFill>
            <a:ln>
              <a:noFill/>
            </a:ln>
            <a:effectLst/>
          </c:spPr>
          <c:invertIfNegative val="0"/>
          <c:dLbls>
            <c:delete val="1"/>
          </c:dLbls>
          <c:cat>
            <c:strRef>
              <c:f>[合肥学院就业全库202212151008.xls]Sheet1!$A$18:$A$21</c:f>
              <c:strCache>
                <c:ptCount val="4"/>
                <c:pt idx="0">
                  <c:v>酒店管理</c:v>
                </c:pt>
                <c:pt idx="1">
                  <c:v>旅游管理</c:v>
                </c:pt>
                <c:pt idx="2">
                  <c:v>人文地理与城乡规划</c:v>
                </c:pt>
                <c:pt idx="3">
                  <c:v>旅游管理专科</c:v>
                </c:pt>
              </c:strCache>
            </c:strRef>
          </c:cat>
          <c:val>
            <c:numRef>
              <c:f>[合肥学院就业全库202212151008.xls]Sheet1!$H$18:$H$21</c:f>
              <c:numCache>
                <c:formatCode>General</c:formatCode>
                <c:ptCount val="4"/>
                <c:pt idx="0">
                  <c:v>0</c:v>
                </c:pt>
                <c:pt idx="1">
                  <c:v>2</c:v>
                </c:pt>
                <c:pt idx="2">
                  <c:v>0</c:v>
                </c:pt>
                <c:pt idx="3">
                  <c:v>0</c:v>
                </c:pt>
              </c:numCache>
            </c:numRef>
          </c:val>
        </c:ser>
        <c:ser>
          <c:idx val="7"/>
          <c:order val="7"/>
          <c:tx>
            <c:strRef>
              <c:f>[合肥学院就业全库202212151008.xls]Sheet1!$I$17</c:f>
              <c:strCache>
                <c:ptCount val="1"/>
                <c:pt idx="0">
                  <c:v>江苏</c:v>
                </c:pt>
              </c:strCache>
            </c:strRef>
          </c:tx>
          <c:spPr>
            <a:solidFill>
              <a:schemeClr val="accent5">
                <a:lumMod val="80000"/>
                <a:lumOff val="20000"/>
              </a:schemeClr>
            </a:solidFill>
            <a:ln>
              <a:noFill/>
            </a:ln>
            <a:effectLst/>
          </c:spPr>
          <c:invertIfNegative val="0"/>
          <c:dLbls>
            <c:delete val="1"/>
          </c:dLbls>
          <c:cat>
            <c:strRef>
              <c:f>[合肥学院就业全库202212151008.xls]Sheet1!$A$18:$A$21</c:f>
              <c:strCache>
                <c:ptCount val="4"/>
                <c:pt idx="0">
                  <c:v>酒店管理</c:v>
                </c:pt>
                <c:pt idx="1">
                  <c:v>旅游管理</c:v>
                </c:pt>
                <c:pt idx="2">
                  <c:v>人文地理与城乡规划</c:v>
                </c:pt>
                <c:pt idx="3">
                  <c:v>旅游管理专科</c:v>
                </c:pt>
              </c:strCache>
            </c:strRef>
          </c:cat>
          <c:val>
            <c:numRef>
              <c:f>[合肥学院就业全库202212151008.xls]Sheet1!$I$18:$I$21</c:f>
              <c:numCache>
                <c:formatCode>General</c:formatCode>
                <c:ptCount val="4"/>
                <c:pt idx="0">
                  <c:v>1</c:v>
                </c:pt>
                <c:pt idx="1">
                  <c:v>0</c:v>
                </c:pt>
                <c:pt idx="2">
                  <c:v>1</c:v>
                </c:pt>
                <c:pt idx="3">
                  <c:v>0</c:v>
                </c:pt>
              </c:numCache>
            </c:numRef>
          </c:val>
        </c:ser>
        <c:ser>
          <c:idx val="8"/>
          <c:order val="8"/>
          <c:tx>
            <c:strRef>
              <c:f>[合肥学院就业全库202212151008.xls]Sheet1!$J$17</c:f>
              <c:strCache>
                <c:ptCount val="1"/>
                <c:pt idx="0">
                  <c:v>山东</c:v>
                </c:pt>
              </c:strCache>
            </c:strRef>
          </c:tx>
          <c:spPr>
            <a:solidFill>
              <a:schemeClr val="accent4">
                <a:lumMod val="80000"/>
                <a:lumOff val="20000"/>
              </a:schemeClr>
            </a:solidFill>
            <a:ln>
              <a:noFill/>
            </a:ln>
            <a:effectLst/>
          </c:spPr>
          <c:invertIfNegative val="0"/>
          <c:dLbls>
            <c:delete val="1"/>
          </c:dLbls>
          <c:cat>
            <c:strRef>
              <c:f>[合肥学院就业全库202212151008.xls]Sheet1!$A$18:$A$21</c:f>
              <c:strCache>
                <c:ptCount val="4"/>
                <c:pt idx="0">
                  <c:v>酒店管理</c:v>
                </c:pt>
                <c:pt idx="1">
                  <c:v>旅游管理</c:v>
                </c:pt>
                <c:pt idx="2">
                  <c:v>人文地理与城乡规划</c:v>
                </c:pt>
                <c:pt idx="3">
                  <c:v>旅游管理专科</c:v>
                </c:pt>
              </c:strCache>
            </c:strRef>
          </c:cat>
          <c:val>
            <c:numRef>
              <c:f>[合肥学院就业全库202212151008.xls]Sheet1!$J$18:$J$21</c:f>
              <c:numCache>
                <c:formatCode>General</c:formatCode>
                <c:ptCount val="4"/>
                <c:pt idx="0">
                  <c:v>0</c:v>
                </c:pt>
                <c:pt idx="1">
                  <c:v>1</c:v>
                </c:pt>
                <c:pt idx="2">
                  <c:v>1</c:v>
                </c:pt>
                <c:pt idx="3">
                  <c:v>0</c:v>
                </c:pt>
              </c:numCache>
            </c:numRef>
          </c:val>
        </c:ser>
        <c:ser>
          <c:idx val="9"/>
          <c:order val="9"/>
          <c:tx>
            <c:strRef>
              <c:f>[合肥学院就业全库202212151008.xls]Sheet1!$K$17</c:f>
              <c:strCache>
                <c:ptCount val="1"/>
                <c:pt idx="0">
                  <c:v>山西</c:v>
                </c:pt>
              </c:strCache>
            </c:strRef>
          </c:tx>
          <c:spPr>
            <a:solidFill>
              <a:schemeClr val="accent6">
                <a:lumMod val="80000"/>
              </a:schemeClr>
            </a:solidFill>
            <a:ln>
              <a:noFill/>
            </a:ln>
            <a:effectLst/>
          </c:spPr>
          <c:invertIfNegative val="0"/>
          <c:dLbls>
            <c:delete val="1"/>
          </c:dLbls>
          <c:cat>
            <c:strRef>
              <c:f>[合肥学院就业全库202212151008.xls]Sheet1!$A$18:$A$21</c:f>
              <c:strCache>
                <c:ptCount val="4"/>
                <c:pt idx="0">
                  <c:v>酒店管理</c:v>
                </c:pt>
                <c:pt idx="1">
                  <c:v>旅游管理</c:v>
                </c:pt>
                <c:pt idx="2">
                  <c:v>人文地理与城乡规划</c:v>
                </c:pt>
                <c:pt idx="3">
                  <c:v>旅游管理专科</c:v>
                </c:pt>
              </c:strCache>
            </c:strRef>
          </c:cat>
          <c:val>
            <c:numRef>
              <c:f>[合肥学院就业全库202212151008.xls]Sheet1!$K$18:$K$21</c:f>
              <c:numCache>
                <c:formatCode>General</c:formatCode>
                <c:ptCount val="4"/>
                <c:pt idx="0">
                  <c:v>0</c:v>
                </c:pt>
                <c:pt idx="1">
                  <c:v>2</c:v>
                </c:pt>
                <c:pt idx="2">
                  <c:v>0</c:v>
                </c:pt>
                <c:pt idx="3">
                  <c:v>0</c:v>
                </c:pt>
              </c:numCache>
            </c:numRef>
          </c:val>
        </c:ser>
        <c:ser>
          <c:idx val="10"/>
          <c:order val="10"/>
          <c:tx>
            <c:strRef>
              <c:f>[合肥学院就业全库202212151008.xls]Sheet1!$L$17</c:f>
              <c:strCache>
                <c:ptCount val="1"/>
                <c:pt idx="0">
                  <c:v>上海</c:v>
                </c:pt>
              </c:strCache>
            </c:strRef>
          </c:tx>
          <c:spPr>
            <a:solidFill>
              <a:schemeClr val="accent5">
                <a:lumMod val="80000"/>
              </a:schemeClr>
            </a:solidFill>
            <a:ln>
              <a:noFill/>
            </a:ln>
            <a:effectLst/>
          </c:spPr>
          <c:invertIfNegative val="0"/>
          <c:dLbls>
            <c:delete val="1"/>
          </c:dLbls>
          <c:cat>
            <c:strRef>
              <c:f>[合肥学院就业全库202212151008.xls]Sheet1!$A$18:$A$21</c:f>
              <c:strCache>
                <c:ptCount val="4"/>
                <c:pt idx="0">
                  <c:v>酒店管理</c:v>
                </c:pt>
                <c:pt idx="1">
                  <c:v>旅游管理</c:v>
                </c:pt>
                <c:pt idx="2">
                  <c:v>人文地理与城乡规划</c:v>
                </c:pt>
                <c:pt idx="3">
                  <c:v>旅游管理专科</c:v>
                </c:pt>
              </c:strCache>
            </c:strRef>
          </c:cat>
          <c:val>
            <c:numRef>
              <c:f>[合肥学院就业全库202212151008.xls]Sheet1!$L$18:$L$21</c:f>
              <c:numCache>
                <c:formatCode>General</c:formatCode>
                <c:ptCount val="4"/>
                <c:pt idx="0">
                  <c:v>1</c:v>
                </c:pt>
                <c:pt idx="1">
                  <c:v>1</c:v>
                </c:pt>
                <c:pt idx="2">
                  <c:v>0</c:v>
                </c:pt>
                <c:pt idx="3">
                  <c:v>0</c:v>
                </c:pt>
              </c:numCache>
            </c:numRef>
          </c:val>
        </c:ser>
        <c:ser>
          <c:idx val="11"/>
          <c:order val="11"/>
          <c:tx>
            <c:strRef>
              <c:f>[合肥学院就业全库202212151008.xls]Sheet1!$M$17</c:f>
              <c:strCache>
                <c:ptCount val="1"/>
                <c:pt idx="0">
                  <c:v>四川</c:v>
                </c:pt>
              </c:strCache>
            </c:strRef>
          </c:tx>
          <c:spPr>
            <a:solidFill>
              <a:schemeClr val="accent4">
                <a:lumMod val="80000"/>
              </a:schemeClr>
            </a:solidFill>
            <a:ln>
              <a:noFill/>
            </a:ln>
            <a:effectLst/>
          </c:spPr>
          <c:invertIfNegative val="0"/>
          <c:dLbls>
            <c:delete val="1"/>
          </c:dLbls>
          <c:cat>
            <c:strRef>
              <c:f>[合肥学院就业全库202212151008.xls]Sheet1!$A$18:$A$21</c:f>
              <c:strCache>
                <c:ptCount val="4"/>
                <c:pt idx="0">
                  <c:v>酒店管理</c:v>
                </c:pt>
                <c:pt idx="1">
                  <c:v>旅游管理</c:v>
                </c:pt>
                <c:pt idx="2">
                  <c:v>人文地理与城乡规划</c:v>
                </c:pt>
                <c:pt idx="3">
                  <c:v>旅游管理专科</c:v>
                </c:pt>
              </c:strCache>
            </c:strRef>
          </c:cat>
          <c:val>
            <c:numRef>
              <c:f>[合肥学院就业全库202212151008.xls]Sheet1!$M$18:$M$21</c:f>
              <c:numCache>
                <c:formatCode>General</c:formatCode>
                <c:ptCount val="4"/>
                <c:pt idx="0">
                  <c:v>0</c:v>
                </c:pt>
                <c:pt idx="1">
                  <c:v>0</c:v>
                </c:pt>
                <c:pt idx="2">
                  <c:v>3</c:v>
                </c:pt>
                <c:pt idx="3">
                  <c:v>0</c:v>
                </c:pt>
              </c:numCache>
            </c:numRef>
          </c:val>
        </c:ser>
        <c:ser>
          <c:idx val="12"/>
          <c:order val="12"/>
          <c:tx>
            <c:strRef>
              <c:f>[合肥学院就业全库202212151008.xls]Sheet1!$N$17</c:f>
              <c:strCache>
                <c:ptCount val="1"/>
                <c:pt idx="0">
                  <c:v>浙江</c:v>
                </c:pt>
              </c:strCache>
            </c:strRef>
          </c:tx>
          <c:spPr>
            <a:solidFill>
              <a:schemeClr val="accent6">
                <a:lumMod val="60000"/>
                <a:lumOff val="40000"/>
              </a:schemeClr>
            </a:solidFill>
            <a:ln>
              <a:noFill/>
            </a:ln>
            <a:effectLst/>
          </c:spPr>
          <c:invertIfNegative val="0"/>
          <c:dLbls>
            <c:delete val="1"/>
          </c:dLbls>
          <c:cat>
            <c:strRef>
              <c:f>[合肥学院就业全库202212151008.xls]Sheet1!$A$18:$A$21</c:f>
              <c:strCache>
                <c:ptCount val="4"/>
                <c:pt idx="0">
                  <c:v>酒店管理</c:v>
                </c:pt>
                <c:pt idx="1">
                  <c:v>旅游管理</c:v>
                </c:pt>
                <c:pt idx="2">
                  <c:v>人文地理与城乡规划</c:v>
                </c:pt>
                <c:pt idx="3">
                  <c:v>旅游管理专科</c:v>
                </c:pt>
              </c:strCache>
            </c:strRef>
          </c:cat>
          <c:val>
            <c:numRef>
              <c:f>[合肥学院就业全库202212151008.xls]Sheet1!$N$18:$N$21</c:f>
              <c:numCache>
                <c:formatCode>General</c:formatCode>
                <c:ptCount val="4"/>
                <c:pt idx="0">
                  <c:v>1</c:v>
                </c:pt>
                <c:pt idx="1">
                  <c:v>2</c:v>
                </c:pt>
                <c:pt idx="2">
                  <c:v>1</c:v>
                </c:pt>
                <c:pt idx="3">
                  <c:v>0</c:v>
                </c:pt>
              </c:numCache>
            </c:numRef>
          </c:val>
        </c:ser>
        <c:ser>
          <c:idx val="13"/>
          <c:order val="13"/>
          <c:tx>
            <c:strRef>
              <c:f>[合肥学院就业全库202212151008.xls]Sheet1!$O$17</c:f>
              <c:strCache>
                <c:ptCount val="1"/>
                <c:pt idx="0">
                  <c:v>其他</c:v>
                </c:pt>
              </c:strCache>
            </c:strRef>
          </c:tx>
          <c:spPr>
            <a:solidFill>
              <a:schemeClr val="accent5">
                <a:lumMod val="60000"/>
                <a:lumOff val="40000"/>
              </a:schemeClr>
            </a:solidFill>
            <a:ln>
              <a:noFill/>
            </a:ln>
            <a:effectLst/>
          </c:spPr>
          <c:invertIfNegative val="0"/>
          <c:dLbls>
            <c:delete val="1"/>
          </c:dLbls>
          <c:cat>
            <c:strRef>
              <c:f>[合肥学院就业全库202212151008.xls]Sheet1!$A$18:$A$21</c:f>
              <c:strCache>
                <c:ptCount val="4"/>
                <c:pt idx="0">
                  <c:v>酒店管理</c:v>
                </c:pt>
                <c:pt idx="1">
                  <c:v>旅游管理</c:v>
                </c:pt>
                <c:pt idx="2">
                  <c:v>人文地理与城乡规划</c:v>
                </c:pt>
                <c:pt idx="3">
                  <c:v>旅游管理专科</c:v>
                </c:pt>
              </c:strCache>
            </c:strRef>
          </c:cat>
          <c:val>
            <c:numRef>
              <c:f>[合肥学院就业全库202212151008.xls]Sheet1!$O$18:$O$21</c:f>
              <c:numCache>
                <c:formatCode>General</c:formatCode>
                <c:ptCount val="4"/>
                <c:pt idx="0">
                  <c:v>2</c:v>
                </c:pt>
                <c:pt idx="1">
                  <c:v>3</c:v>
                </c:pt>
                <c:pt idx="2">
                  <c:v>2</c:v>
                </c:pt>
                <c:pt idx="3">
                  <c:v>0</c:v>
                </c:pt>
              </c:numCache>
            </c:numRef>
          </c:val>
        </c:ser>
        <c:dLbls>
          <c:showLegendKey val="0"/>
          <c:showVal val="0"/>
          <c:showCatName val="0"/>
          <c:showSerName val="0"/>
          <c:showPercent val="0"/>
          <c:showBubbleSize val="0"/>
        </c:dLbls>
        <c:gapWidth val="71"/>
        <c:overlap val="100"/>
        <c:axId val="137834756"/>
        <c:axId val="918039218"/>
      </c:barChart>
      <c:catAx>
        <c:axId val="137834756"/>
        <c:scaling>
          <c:orientation val="minMax"/>
        </c:scaling>
        <c:delete val="0"/>
        <c:axPos val="l"/>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forceAA="0"/>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crossAx val="918039218"/>
        <c:crosses val="autoZero"/>
        <c:auto val="1"/>
        <c:lblAlgn val="ctr"/>
        <c:lblOffset val="100"/>
        <c:noMultiLvlLbl val="0"/>
      </c:catAx>
      <c:valAx>
        <c:axId val="918039218"/>
        <c:scaling>
          <c:orientation val="minMax"/>
        </c:scaling>
        <c:delete val="0"/>
        <c:axPos val="b"/>
        <c:majorGridlines>
          <c:spPr>
            <a:ln w="9525" cap="flat" cmpd="sng" algn="ctr">
              <a:solidFill>
                <a:srgbClr val="C7E3D8"/>
              </a:solidFill>
              <a:round/>
            </a:ln>
            <a:effectLst/>
          </c:spPr>
        </c:majorGridlines>
        <c:numFmt formatCode="General" sourceLinked="1"/>
        <c:majorTickMark val="none"/>
        <c:minorTickMark val="none"/>
        <c:tickLblPos val="nextTo"/>
        <c:spPr>
          <a:noFill/>
          <a:ln>
            <a:noFill/>
          </a:ln>
          <a:effectLst/>
        </c:spPr>
        <c:txPr>
          <a:bodyPr rot="-60000000" spcFirstLastPara="0" vertOverflow="ellipsis" vert="horz" wrap="square" anchor="ctr" anchorCtr="1" forceAA="0"/>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crossAx val="137834756"/>
        <c:crosses val="autoZero"/>
        <c:crossBetween val="between"/>
      </c:valAx>
      <c:spPr>
        <a:noFill/>
        <a:ln>
          <a:noFill/>
        </a:ln>
        <a:effectLst/>
      </c:spPr>
    </c:plotArea>
    <c:legend>
      <c:legendPos val="b"/>
      <c:layout>
        <c:manualLayout>
          <c:xMode val="edge"/>
          <c:yMode val="edge"/>
          <c:x val="0.119861578308727"/>
          <c:y val="0.867775014933805"/>
        </c:manualLayout>
      </c:layout>
      <c:overlay val="0"/>
      <c:spPr>
        <a:noFill/>
        <a:ln>
          <a:noFill/>
        </a:ln>
        <a:effectLst/>
      </c:spPr>
      <c:txPr>
        <a:bodyPr rot="0" spcFirstLastPara="0" vertOverflow="ellipsis" vert="horz" wrap="square" anchor="ctr" anchorCtr="1" forceAA="0"/>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legend>
    <c:plotVisOnly val="1"/>
    <c:dispBlanksAs val="gap"/>
    <c:showDLblsOverMax val="0"/>
  </c:chart>
  <c:spPr>
    <a:solidFill>
      <a:sysClr val="window" lastClr="FFFFFF"/>
    </a:solidFill>
    <a:ln w="3175" cap="flat" cmpd="sng" algn="ctr">
      <a:solidFill>
        <a:sysClr val="window" lastClr="FFFFFF">
          <a:lumMod val="85000"/>
        </a:sysClr>
      </a:solidFill>
      <a:round/>
    </a:ln>
    <a:effectLst>
      <a:outerShdw blurRad="63500" dist="37357" dir="2700000" sx="0" sy="0" rotWithShape="0">
        <a:scrgbClr r="0" g="0" b="0"/>
      </a:outerShdw>
    </a:effectLst>
  </c:spPr>
  <c:txPr>
    <a:bodyPr/>
    <a:lstStyle/>
    <a:p>
      <a:pPr>
        <a:defRPr lang="zh-CN">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forceAA="0"/>
          <a:lstStyle/>
          <a:p>
            <a:pPr>
              <a:defRPr lang="zh-CN" sz="1400" b="1" i="0" u="none" strike="noStrike" kern="1200" spc="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r>
              <a:t>各专业省内就业主要城市分布</a:t>
            </a:r>
          </a:p>
        </c:rich>
      </c:tx>
      <c:layout>
        <c:manualLayout>
          <c:xMode val="edge"/>
          <c:yMode val="edge"/>
          <c:x val="0.237816764132554"/>
          <c:y val="0.0307514450867052"/>
        </c:manualLayout>
      </c:layout>
      <c:overlay val="0"/>
      <c:spPr>
        <a:noFill/>
        <a:ln>
          <a:noFill/>
        </a:ln>
        <a:effectLst/>
      </c:spPr>
    </c:title>
    <c:autoTitleDeleted val="0"/>
    <c:plotArea>
      <c:layout>
        <c:manualLayout>
          <c:layoutTarget val="inner"/>
          <c:xMode val="edge"/>
          <c:yMode val="edge"/>
          <c:x val="0.16786410470621"/>
          <c:y val="0.174787236076502"/>
          <c:w val="0.808455634845833"/>
          <c:h val="0.580022050716648"/>
        </c:manualLayout>
      </c:layout>
      <c:barChart>
        <c:barDir val="bar"/>
        <c:grouping val="stacked"/>
        <c:varyColors val="0"/>
        <c:ser>
          <c:idx val="0"/>
          <c:order val="0"/>
          <c:tx>
            <c:strRef>
              <c:f>[合肥学院就业全库202212151008.xls]Sheet1!$B$17</c:f>
              <c:strCache>
                <c:ptCount val="1"/>
                <c:pt idx="0">
                  <c:v>安徽省</c:v>
                </c:pt>
              </c:strCache>
            </c:strRef>
          </c:tx>
          <c:spPr>
            <a:solidFill>
              <a:schemeClr val="accent6"/>
            </a:solidFill>
            <a:ln>
              <a:noFill/>
            </a:ln>
            <a:effectLst/>
          </c:spPr>
          <c:invertIfNegative val="0"/>
          <c:dLbls>
            <c:delete val="1"/>
          </c:dLbls>
          <c:cat>
            <c:strRef>
              <c:f>[合肥学院就业全库202212151008.xls]Sheet1!$A$18:$A$21</c:f>
              <c:strCache>
                <c:ptCount val="4"/>
                <c:pt idx="0">
                  <c:v>酒店管理</c:v>
                </c:pt>
                <c:pt idx="1">
                  <c:v>旅游管理</c:v>
                </c:pt>
                <c:pt idx="2">
                  <c:v>人文地理与城乡规划</c:v>
                </c:pt>
                <c:pt idx="3">
                  <c:v>旅游管理专科</c:v>
                </c:pt>
              </c:strCache>
            </c:strRef>
          </c:cat>
          <c:val>
            <c:numRef>
              <c:f>[合肥学院就业全库202212151008.xls]Sheet1!$B$18:$B$21</c:f>
            </c:numRef>
          </c:val>
        </c:ser>
        <c:ser>
          <c:idx val="1"/>
          <c:order val="1"/>
          <c:tx>
            <c:strRef>
              <c:f>[合肥学院就业全库202212151008.xls]Sheet1!$C$17</c:f>
              <c:strCache>
                <c:ptCount val="1"/>
                <c:pt idx="0">
                  <c:v>合肥市</c:v>
                </c:pt>
              </c:strCache>
            </c:strRef>
          </c:tx>
          <c:spPr>
            <a:solidFill>
              <a:schemeClr val="accent6"/>
            </a:solidFill>
            <a:ln>
              <a:noFill/>
            </a:ln>
            <a:effectLst/>
          </c:spPr>
          <c:invertIfNegative val="0"/>
          <c:dLbls>
            <c:delete val="1"/>
          </c:dLbls>
          <c:cat>
            <c:strRef>
              <c:f>[合肥学院就业全库202212151008.xls]Sheet1!$A$18:$A$21</c:f>
              <c:strCache>
                <c:ptCount val="4"/>
                <c:pt idx="0">
                  <c:v>酒店管理</c:v>
                </c:pt>
                <c:pt idx="1">
                  <c:v>旅游管理</c:v>
                </c:pt>
                <c:pt idx="2">
                  <c:v>人文地理与城乡规划</c:v>
                </c:pt>
                <c:pt idx="3">
                  <c:v>旅游管理专科</c:v>
                </c:pt>
              </c:strCache>
            </c:strRef>
          </c:cat>
          <c:val>
            <c:numRef>
              <c:f>[合肥学院就业全库202212151008.xls]Sheet1!$C$18:$C$21</c:f>
              <c:numCache>
                <c:formatCode>General</c:formatCode>
                <c:ptCount val="4"/>
                <c:pt idx="0">
                  <c:v>16</c:v>
                </c:pt>
                <c:pt idx="1">
                  <c:v>9</c:v>
                </c:pt>
                <c:pt idx="2">
                  <c:v>12</c:v>
                </c:pt>
                <c:pt idx="3">
                  <c:v>2</c:v>
                </c:pt>
              </c:numCache>
            </c:numRef>
          </c:val>
        </c:ser>
        <c:ser>
          <c:idx val="2"/>
          <c:order val="2"/>
          <c:tx>
            <c:strRef>
              <c:f>[合肥学院就业全库202212151008.xls]Sheet1!$D$17</c:f>
              <c:strCache>
                <c:ptCount val="1"/>
                <c:pt idx="0">
                  <c:v>滁州</c:v>
                </c:pt>
              </c:strCache>
            </c:strRef>
          </c:tx>
          <c:spPr>
            <a:solidFill>
              <a:schemeClr val="accent4"/>
            </a:solidFill>
            <a:ln>
              <a:noFill/>
            </a:ln>
            <a:effectLst/>
          </c:spPr>
          <c:invertIfNegative val="0"/>
          <c:dLbls>
            <c:delete val="1"/>
          </c:dLbls>
          <c:cat>
            <c:strRef>
              <c:f>[合肥学院就业全库202212151008.xls]Sheet1!$A$18:$A$21</c:f>
              <c:strCache>
                <c:ptCount val="4"/>
                <c:pt idx="0">
                  <c:v>酒店管理</c:v>
                </c:pt>
                <c:pt idx="1">
                  <c:v>旅游管理</c:v>
                </c:pt>
                <c:pt idx="2">
                  <c:v>人文地理与城乡规划</c:v>
                </c:pt>
                <c:pt idx="3">
                  <c:v>旅游管理专科</c:v>
                </c:pt>
              </c:strCache>
            </c:strRef>
          </c:cat>
          <c:val>
            <c:numRef>
              <c:f>[合肥学院就业全库202212151008.xls]Sheet1!$D$18:$D$21</c:f>
              <c:numCache>
                <c:formatCode>General</c:formatCode>
                <c:ptCount val="4"/>
                <c:pt idx="0">
                  <c:v>0</c:v>
                </c:pt>
                <c:pt idx="1">
                  <c:v>0</c:v>
                </c:pt>
                <c:pt idx="2">
                  <c:v>2</c:v>
                </c:pt>
                <c:pt idx="3">
                  <c:v>0</c:v>
                </c:pt>
              </c:numCache>
            </c:numRef>
          </c:val>
        </c:ser>
        <c:ser>
          <c:idx val="3"/>
          <c:order val="3"/>
          <c:tx>
            <c:strRef>
              <c:f>[合肥学院就业全库202212151008.xls]Sheet1!$E$17</c:f>
              <c:strCache>
                <c:ptCount val="1"/>
                <c:pt idx="0">
                  <c:v>淮南</c:v>
                </c:pt>
              </c:strCache>
            </c:strRef>
          </c:tx>
          <c:spPr>
            <a:solidFill>
              <a:schemeClr val="accent6">
                <a:lumMod val="60000"/>
              </a:schemeClr>
            </a:solidFill>
            <a:ln>
              <a:noFill/>
            </a:ln>
            <a:effectLst/>
          </c:spPr>
          <c:invertIfNegative val="0"/>
          <c:dLbls>
            <c:delete val="1"/>
          </c:dLbls>
          <c:cat>
            <c:strRef>
              <c:f>[合肥学院就业全库202212151008.xls]Sheet1!$A$18:$A$21</c:f>
              <c:strCache>
                <c:ptCount val="4"/>
                <c:pt idx="0">
                  <c:v>酒店管理</c:v>
                </c:pt>
                <c:pt idx="1">
                  <c:v>旅游管理</c:v>
                </c:pt>
                <c:pt idx="2">
                  <c:v>人文地理与城乡规划</c:v>
                </c:pt>
                <c:pt idx="3">
                  <c:v>旅游管理专科</c:v>
                </c:pt>
              </c:strCache>
            </c:strRef>
          </c:cat>
          <c:val>
            <c:numRef>
              <c:f>[合肥学院就业全库202212151008.xls]Sheet1!$E$18:$E$21</c:f>
              <c:numCache>
                <c:formatCode>General</c:formatCode>
                <c:ptCount val="4"/>
                <c:pt idx="0">
                  <c:v>1</c:v>
                </c:pt>
                <c:pt idx="1">
                  <c:v>1</c:v>
                </c:pt>
                <c:pt idx="2">
                  <c:v>1</c:v>
                </c:pt>
                <c:pt idx="3">
                  <c:v>0</c:v>
                </c:pt>
              </c:numCache>
            </c:numRef>
          </c:val>
        </c:ser>
        <c:ser>
          <c:idx val="4"/>
          <c:order val="4"/>
          <c:tx>
            <c:strRef>
              <c:f>[合肥学院就业全库202212151008.xls]Sheet1!$F$17</c:f>
              <c:strCache>
                <c:ptCount val="1"/>
                <c:pt idx="0">
                  <c:v>六安</c:v>
                </c:pt>
              </c:strCache>
            </c:strRef>
          </c:tx>
          <c:spPr>
            <a:solidFill>
              <a:schemeClr val="accent5">
                <a:lumMod val="60000"/>
              </a:schemeClr>
            </a:solidFill>
            <a:ln>
              <a:noFill/>
            </a:ln>
            <a:effectLst/>
          </c:spPr>
          <c:invertIfNegative val="0"/>
          <c:dLbls>
            <c:delete val="1"/>
          </c:dLbls>
          <c:cat>
            <c:strRef>
              <c:f>[合肥学院就业全库202212151008.xls]Sheet1!$A$18:$A$21</c:f>
              <c:strCache>
                <c:ptCount val="4"/>
                <c:pt idx="0">
                  <c:v>酒店管理</c:v>
                </c:pt>
                <c:pt idx="1">
                  <c:v>旅游管理</c:v>
                </c:pt>
                <c:pt idx="2">
                  <c:v>人文地理与城乡规划</c:v>
                </c:pt>
                <c:pt idx="3">
                  <c:v>旅游管理专科</c:v>
                </c:pt>
              </c:strCache>
            </c:strRef>
          </c:cat>
          <c:val>
            <c:numRef>
              <c:f>[合肥学院就业全库202212151008.xls]Sheet1!$F$18:$F$21</c:f>
              <c:numCache>
                <c:formatCode>General</c:formatCode>
                <c:ptCount val="4"/>
                <c:pt idx="1">
                  <c:v>2</c:v>
                </c:pt>
                <c:pt idx="2">
                  <c:v>1</c:v>
                </c:pt>
                <c:pt idx="3">
                  <c:v>0</c:v>
                </c:pt>
              </c:numCache>
            </c:numRef>
          </c:val>
        </c:ser>
        <c:ser>
          <c:idx val="5"/>
          <c:order val="5"/>
          <c:tx>
            <c:strRef>
              <c:f>[合肥学院就业全库202212151008.xls]Sheet1!$G$17</c:f>
              <c:strCache>
                <c:ptCount val="1"/>
                <c:pt idx="0">
                  <c:v>其他</c:v>
                </c:pt>
              </c:strCache>
            </c:strRef>
          </c:tx>
          <c:spPr>
            <a:solidFill>
              <a:schemeClr val="accent4">
                <a:lumMod val="60000"/>
              </a:schemeClr>
            </a:solidFill>
            <a:ln>
              <a:noFill/>
            </a:ln>
            <a:effectLst/>
          </c:spPr>
          <c:invertIfNegative val="0"/>
          <c:dLbls>
            <c:delete val="1"/>
          </c:dLbls>
          <c:cat>
            <c:strRef>
              <c:f>[合肥学院就业全库202212151008.xls]Sheet1!$A$18:$A$21</c:f>
              <c:strCache>
                <c:ptCount val="4"/>
                <c:pt idx="0">
                  <c:v>酒店管理</c:v>
                </c:pt>
                <c:pt idx="1">
                  <c:v>旅游管理</c:v>
                </c:pt>
                <c:pt idx="2">
                  <c:v>人文地理与城乡规划</c:v>
                </c:pt>
                <c:pt idx="3">
                  <c:v>旅游管理专科</c:v>
                </c:pt>
              </c:strCache>
            </c:strRef>
          </c:cat>
          <c:val>
            <c:numRef>
              <c:f>[合肥学院就业全库202212151008.xls]Sheet1!$G$18:$G$21</c:f>
              <c:numCache>
                <c:formatCode>General</c:formatCode>
                <c:ptCount val="4"/>
                <c:pt idx="0">
                  <c:v>1</c:v>
                </c:pt>
                <c:pt idx="1">
                  <c:v>0</c:v>
                </c:pt>
                <c:pt idx="2">
                  <c:v>0</c:v>
                </c:pt>
                <c:pt idx="3">
                  <c:v>0</c:v>
                </c:pt>
              </c:numCache>
            </c:numRef>
          </c:val>
        </c:ser>
        <c:dLbls>
          <c:showLegendKey val="0"/>
          <c:showVal val="0"/>
          <c:showCatName val="0"/>
          <c:showSerName val="0"/>
          <c:showPercent val="0"/>
          <c:showBubbleSize val="0"/>
        </c:dLbls>
        <c:gapWidth val="71"/>
        <c:overlap val="100"/>
        <c:axId val="323433263"/>
        <c:axId val="740383244"/>
      </c:barChart>
      <c:catAx>
        <c:axId val="323433263"/>
        <c:scaling>
          <c:orientation val="minMax"/>
        </c:scaling>
        <c:delete val="0"/>
        <c:axPos val="l"/>
        <c:minorGridlines>
          <c:spPr>
            <a:ln w="9525" cap="flat" cmpd="sng" algn="ctr">
              <a:solidFill>
                <a:schemeClr val="tx1">
                  <a:lumMod val="5000"/>
                  <a:lumOff val="95000"/>
                </a:schemeClr>
              </a:solidFill>
              <a:round/>
            </a:ln>
            <a:effectLst/>
          </c:spPr>
        </c:minorGridlines>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forceAA="0"/>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crossAx val="740383244"/>
        <c:crosses val="autoZero"/>
        <c:auto val="1"/>
        <c:lblAlgn val="ctr"/>
        <c:lblOffset val="100"/>
        <c:noMultiLvlLbl val="0"/>
      </c:catAx>
      <c:valAx>
        <c:axId val="740383244"/>
        <c:scaling>
          <c:orientation val="minMax"/>
        </c:scaling>
        <c:delete val="0"/>
        <c:axPos val="b"/>
        <c:majorGridlines>
          <c:spPr>
            <a:ln w="9525" cap="flat" cmpd="sng" algn="ctr">
              <a:solidFill>
                <a:srgbClr val="C7E3D8"/>
              </a:solidFill>
              <a:round/>
            </a:ln>
            <a:effectLst/>
          </c:spPr>
        </c:majorGridlines>
        <c:numFmt formatCode="General" sourceLinked="1"/>
        <c:majorTickMark val="out"/>
        <c:minorTickMark val="none"/>
        <c:tickLblPos val="nextTo"/>
        <c:spPr>
          <a:noFill/>
          <a:ln>
            <a:noFill/>
          </a:ln>
          <a:effectLst/>
        </c:spPr>
        <c:txPr>
          <a:bodyPr rot="-60000000" spcFirstLastPara="0" vertOverflow="ellipsis" vert="horz" wrap="square" anchor="ctr" anchorCtr="1" forceAA="0"/>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crossAx val="323433263"/>
        <c:crosses val="autoZero"/>
        <c:crossBetween val="between"/>
      </c:valAx>
      <c:spPr>
        <a:noFill/>
        <a:ln>
          <a:noFill/>
        </a:ln>
        <a:effectLst/>
      </c:spPr>
    </c:plotArea>
    <c:legend>
      <c:legendPos val="b"/>
      <c:layout>
        <c:manualLayout>
          <c:xMode val="edge"/>
          <c:yMode val="edge"/>
          <c:x val="0.250067457908975"/>
          <c:y val="0.875035715231909"/>
        </c:manualLayout>
      </c:layout>
      <c:overlay val="0"/>
      <c:spPr>
        <a:noFill/>
        <a:ln>
          <a:noFill/>
        </a:ln>
        <a:effectLst/>
      </c:spPr>
      <c:txPr>
        <a:bodyPr rot="0" spcFirstLastPara="0" vertOverflow="ellipsis" vert="horz" wrap="square" anchor="ctr" anchorCtr="1" forceAA="0"/>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legend>
    <c:plotVisOnly val="1"/>
    <c:dispBlanksAs val="gap"/>
    <c:showDLblsOverMax val="0"/>
  </c:chart>
  <c:spPr>
    <a:solidFill>
      <a:sysClr val="window" lastClr="FFFFFF"/>
    </a:solidFill>
    <a:ln w="3175" cap="flat" cmpd="sng" algn="ctr">
      <a:solidFill>
        <a:sysClr val="window" lastClr="FFFFFF">
          <a:lumMod val="85000"/>
        </a:sysClr>
      </a:solidFill>
      <a:round/>
    </a:ln>
    <a:effectLst>
      <a:outerShdw blurRad="63500" dist="37357" dir="2700000" sx="0" sy="0" rotWithShape="0">
        <a:scrgbClr r="0" g="0" b="0"/>
      </a:outerShdw>
    </a:effectLst>
  </c:spPr>
  <c:txPr>
    <a:bodyPr/>
    <a:lstStyle/>
    <a:p>
      <a:pPr>
        <a:defRPr lang="zh-CN">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zh-CN" sz="1800" b="1" i="0" u="none" strike="noStrike" kern="1200" baseline="0">
                <a:solidFill>
                  <a:schemeClr val="tx1"/>
                </a:solidFill>
                <a:latin typeface="+mn-lt"/>
                <a:ea typeface="+mn-ea"/>
                <a:cs typeface="+mn-cs"/>
              </a:defRPr>
            </a:pPr>
            <a:r>
              <a:rPr lang="zh-CN" altLang="en-US"/>
              <a:t>软件工程就业行业分布图 </a:t>
            </a:r>
            <a:endParaRPr lang="zh-CN" altLang="en-US"/>
          </a:p>
        </c:rich>
      </c:tx>
      <c:layout/>
      <c:overlay val="0"/>
    </c:title>
    <c:autoTitleDeleted val="0"/>
    <c:plotArea>
      <c:layout>
        <c:manualLayout>
          <c:layoutTarget val="inner"/>
          <c:xMode val="edge"/>
          <c:yMode val="edge"/>
          <c:x val="0.0775155632621735"/>
          <c:y val="0.165333333333333"/>
          <c:w val="0.48158844765343"/>
          <c:h val="0.762285714285714"/>
        </c:manualLayout>
      </c:layout>
      <c:pieChart>
        <c:varyColors val="1"/>
        <c:ser>
          <c:idx val="0"/>
          <c:order val="0"/>
          <c:tx>
            <c:strRef>
              <c:f>[合肥学院就业全库202212191056.xls]Sheet7!$B$1:$B$2</c:f>
              <c:strCache>
                <c:ptCount val="1"/>
                <c:pt idx="0">
                  <c:v>软件工程就业行业分布图 汇总</c:v>
                </c:pt>
              </c:strCache>
            </c:strRef>
          </c:tx>
          <c:explosion val="0"/>
          <c:dPt>
            <c:idx val="0"/>
            <c:bubble3D val="0"/>
          </c:dPt>
          <c:dPt>
            <c:idx val="1"/>
            <c:bubble3D val="0"/>
          </c:dPt>
          <c:dPt>
            <c:idx val="2"/>
            <c:bubble3D val="0"/>
          </c:dPt>
          <c:dPt>
            <c:idx val="3"/>
            <c:bubble3D val="0"/>
          </c:dPt>
          <c:dPt>
            <c:idx val="4"/>
            <c:bubble3D val="0"/>
          </c:dPt>
          <c:dPt>
            <c:idx val="5"/>
            <c:bubble3D val="0"/>
          </c:dPt>
          <c:dPt>
            <c:idx val="6"/>
            <c:bubble3D val="0"/>
          </c:dPt>
          <c:dPt>
            <c:idx val="7"/>
            <c:bubble3D val="0"/>
          </c:dPt>
          <c:dPt>
            <c:idx val="8"/>
            <c:bubble3D val="0"/>
          </c:dPt>
          <c:dPt>
            <c:idx val="9"/>
            <c:bubble3D val="0"/>
          </c:dPt>
          <c:dPt>
            <c:idx val="10"/>
            <c:bubble3D val="0"/>
          </c:dPt>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solidFill>
                    <a:latin typeface="+mn-lt"/>
                    <a:ea typeface="+mn-ea"/>
                    <a:cs typeface="+mn-cs"/>
                  </a:defRPr>
                </a:pPr>
              </a:p>
            </c:txPr>
            <c:dLblPos val="inEnd"/>
            <c:showLegendKey val="0"/>
            <c:showVal val="0"/>
            <c:showCatName val="0"/>
            <c:showSerName val="0"/>
            <c:showPercent val="1"/>
            <c:showBubbleSize val="0"/>
            <c:showLeaderLines val="1"/>
            <c:extLst>
              <c:ext xmlns:c15="http://schemas.microsoft.com/office/drawing/2012/chart" uri="{CE6537A1-D6FC-4f65-9D91-7224C49458BB}">
                <c15:layout/>
                <c15:showLeaderLines val="1"/>
                <c15:leaderLines/>
              </c:ext>
            </c:extLst>
          </c:dLbls>
          <c:cat>
            <c:strRef>
              <c:f>[合肥学院就业全库202212191056.xls]Sheet7!$A$3:$A$13</c:f>
              <c:strCache>
                <c:ptCount val="11"/>
                <c:pt idx="0">
                  <c:v>电力、热力、燃气及水生产和供应业</c:v>
                </c:pt>
                <c:pt idx="1">
                  <c:v>建筑业</c:v>
                </c:pt>
                <c:pt idx="2">
                  <c:v>交通运输、仓储和邮政业</c:v>
                </c:pt>
                <c:pt idx="3">
                  <c:v>教育</c:v>
                </c:pt>
                <c:pt idx="4">
                  <c:v>金融业</c:v>
                </c:pt>
                <c:pt idx="5">
                  <c:v>科学研究和技术服务业</c:v>
                </c:pt>
                <c:pt idx="6">
                  <c:v>农、林、牧、渔业</c:v>
                </c:pt>
                <c:pt idx="7">
                  <c:v>信息传输、软件和信息技术服务业</c:v>
                </c:pt>
                <c:pt idx="8">
                  <c:v>制造业</c:v>
                </c:pt>
                <c:pt idx="9">
                  <c:v>住宿和餐饮业</c:v>
                </c:pt>
                <c:pt idx="10">
                  <c:v>租赁和商务服务业</c:v>
                </c:pt>
              </c:strCache>
            </c:strRef>
          </c:cat>
          <c:val>
            <c:numRef>
              <c:f>[合肥学院就业全库202212191056.xls]Sheet7!$B$3:$B$13</c:f>
              <c:numCache>
                <c:formatCode>0.00%</c:formatCode>
                <c:ptCount val="11"/>
                <c:pt idx="0">
                  <c:v>0.021978021978022</c:v>
                </c:pt>
                <c:pt idx="1">
                  <c:v>0.021978021978022</c:v>
                </c:pt>
                <c:pt idx="2">
                  <c:v>0.010989010989011</c:v>
                </c:pt>
                <c:pt idx="3">
                  <c:v>0.021978021978022</c:v>
                </c:pt>
                <c:pt idx="4">
                  <c:v>0.010989010989011</c:v>
                </c:pt>
                <c:pt idx="5">
                  <c:v>0.032967032967033</c:v>
                </c:pt>
                <c:pt idx="6">
                  <c:v>0.010989010989011</c:v>
                </c:pt>
                <c:pt idx="7">
                  <c:v>0.769230769230769</c:v>
                </c:pt>
                <c:pt idx="8">
                  <c:v>0.0549450549450549</c:v>
                </c:pt>
                <c:pt idx="9">
                  <c:v>0.010989010989011</c:v>
                </c:pt>
                <c:pt idx="10">
                  <c:v>0.032967032967033</c:v>
                </c:pt>
              </c:numCache>
            </c:numRef>
          </c:val>
        </c:ser>
        <c:dLbls>
          <c:showLegendKey val="0"/>
          <c:showVal val="0"/>
          <c:showCatName val="0"/>
          <c:showSerName val="0"/>
          <c:showPercent val="1"/>
          <c:showBubbleSize val="0"/>
          <c:showLeaderLines val="1"/>
        </c:dLbls>
        <c:firstSliceAng val="0"/>
      </c:pieChart>
    </c:plotArea>
    <c:legend>
      <c:legendPos val="r"/>
      <c:layout>
        <c:manualLayout>
          <c:xMode val="edge"/>
          <c:yMode val="edge"/>
          <c:x val="0.559604119882127"/>
          <c:y val="0.173496212973378"/>
          <c:w val="0.437989141249041"/>
          <c:h val="0.771363606946392"/>
        </c:manualLayout>
      </c:layout>
      <c:overlay val="0"/>
      <c:txPr>
        <a:bodyPr rot="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legend>
    <c:plotVisOnly val="1"/>
    <c:dispBlanksAs val="gap"/>
    <c:showDLblsOverMax val="0"/>
  </c:chart>
  <c:txPr>
    <a:bodyPr/>
    <a:lstStyle/>
    <a:p>
      <a:pPr>
        <a:defRPr lang="zh-CN"/>
      </a:pPr>
    </a:p>
  </c:txPr>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defTabSz="914400">
              <a:defRPr lang="zh-CN" sz="1400" b="1" i="0" u="none" strike="noStrike" kern="1200" spc="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r>
              <a:rPr b="1"/>
              <a:t>主要行业分布</a:t>
            </a:r>
            <a:endParaRPr b="1"/>
          </a:p>
        </c:rich>
      </c:tx>
      <c:layout/>
      <c:overlay val="0"/>
      <c:spPr>
        <a:noFill/>
        <a:ln>
          <a:noFill/>
        </a:ln>
        <a:effectLst/>
      </c:spPr>
    </c:title>
    <c:autoTitleDeleted val="0"/>
    <c:plotArea>
      <c:layout>
        <c:manualLayout>
          <c:layoutTarget val="inner"/>
          <c:xMode val="edge"/>
          <c:yMode val="edge"/>
          <c:x val="0.0776848706558662"/>
          <c:y val="0.276405733186329"/>
          <c:w val="0.874105043114711"/>
          <c:h val="0.594685777287762"/>
        </c:manualLayout>
      </c:layout>
      <c:barChart>
        <c:barDir val="col"/>
        <c:grouping val="clustered"/>
        <c:varyColors val="0"/>
        <c:ser>
          <c:idx val="0"/>
          <c:order val="0"/>
          <c:spPr>
            <a:solidFill>
              <a:srgbClr val="68648E"/>
            </a:solidFill>
            <a:ln>
              <a:noFill/>
            </a:ln>
            <a:effectLst/>
          </c:spPr>
          <c:invertIfNegative val="0"/>
          <c:dLbls>
            <c:delete val="1"/>
          </c:dLbls>
          <c:cat>
            <c:strRef>
              <c:f>[合肥学院就业全库202212151008.xls]就业行业!$B$1:$P$1</c:f>
              <c:strCache>
                <c:ptCount val="15"/>
                <c:pt idx="0">
                  <c:v>住宿和餐饮业</c:v>
                </c:pt>
                <c:pt idx="1">
                  <c:v>批发和零售业</c:v>
                </c:pt>
                <c:pt idx="2">
                  <c:v>制造业</c:v>
                </c:pt>
                <c:pt idx="3">
                  <c:v>建筑业</c:v>
                </c:pt>
                <c:pt idx="4">
                  <c:v>居民服务、修理和其他服务业</c:v>
                </c:pt>
                <c:pt idx="5">
                  <c:v>信息传输、软件和信息技术服务业</c:v>
                </c:pt>
                <c:pt idx="6">
                  <c:v>文化、体育和娱乐业</c:v>
                </c:pt>
                <c:pt idx="7">
                  <c:v>租赁和商务服务业</c:v>
                </c:pt>
                <c:pt idx="8">
                  <c:v>机关</c:v>
                </c:pt>
                <c:pt idx="9">
                  <c:v>教育</c:v>
                </c:pt>
                <c:pt idx="10">
                  <c:v>电力、热力、燃气及水生产和供应业</c:v>
                </c:pt>
                <c:pt idx="11">
                  <c:v>房地产业</c:v>
                </c:pt>
                <c:pt idx="12">
                  <c:v>卫生和社会工作</c:v>
                </c:pt>
                <c:pt idx="13">
                  <c:v>科学研究和技术服务业</c:v>
                </c:pt>
                <c:pt idx="14">
                  <c:v>水利、环境和公共设施管理业</c:v>
                </c:pt>
              </c:strCache>
            </c:strRef>
          </c:cat>
          <c:val>
            <c:numRef>
              <c:f>[合肥学院就业全库202212151008.xls]就业行业!$B$2:$P$2</c:f>
            </c:numRef>
          </c:val>
        </c:ser>
        <c:ser>
          <c:idx val="1"/>
          <c:order val="1"/>
          <c:spPr>
            <a:solidFill>
              <a:srgbClr val="D282A1"/>
            </a:solidFill>
            <a:ln>
              <a:noFill/>
            </a:ln>
            <a:effectLst/>
          </c:spPr>
          <c:invertIfNegative val="0"/>
          <c:dLbls>
            <c:delete val="1"/>
          </c:dLbls>
          <c:cat>
            <c:strRef>
              <c:f>[合肥学院就业全库202212151008.xls]就业行业!$B$1:$P$1</c:f>
              <c:strCache>
                <c:ptCount val="15"/>
                <c:pt idx="0">
                  <c:v>住宿和餐饮业</c:v>
                </c:pt>
                <c:pt idx="1">
                  <c:v>批发和零售业</c:v>
                </c:pt>
                <c:pt idx="2">
                  <c:v>制造业</c:v>
                </c:pt>
                <c:pt idx="3">
                  <c:v>建筑业</c:v>
                </c:pt>
                <c:pt idx="4">
                  <c:v>居民服务、修理和其他服务业</c:v>
                </c:pt>
                <c:pt idx="5">
                  <c:v>信息传输、软件和信息技术服务业</c:v>
                </c:pt>
                <c:pt idx="6">
                  <c:v>文化、体育和娱乐业</c:v>
                </c:pt>
                <c:pt idx="7">
                  <c:v>租赁和商务服务业</c:v>
                </c:pt>
                <c:pt idx="8">
                  <c:v>机关</c:v>
                </c:pt>
                <c:pt idx="9">
                  <c:v>教育</c:v>
                </c:pt>
                <c:pt idx="10">
                  <c:v>电力、热力、燃气及水生产和供应业</c:v>
                </c:pt>
                <c:pt idx="11">
                  <c:v>房地产业</c:v>
                </c:pt>
                <c:pt idx="12">
                  <c:v>卫生和社会工作</c:v>
                </c:pt>
                <c:pt idx="13">
                  <c:v>科学研究和技术服务业</c:v>
                </c:pt>
                <c:pt idx="14">
                  <c:v>水利、环境和公共设施管理业</c:v>
                </c:pt>
              </c:strCache>
            </c:strRef>
          </c:cat>
          <c:val>
            <c:numRef>
              <c:f>[合肥学院就业全库202212151008.xls]就业行业!$B$3:$P$3</c:f>
            </c:numRef>
          </c:val>
        </c:ser>
        <c:ser>
          <c:idx val="2"/>
          <c:order val="2"/>
          <c:spPr>
            <a:solidFill>
              <a:srgbClr val="FCA988"/>
            </a:solidFill>
            <a:ln>
              <a:noFill/>
            </a:ln>
            <a:effectLst/>
          </c:spPr>
          <c:invertIfNegative val="0"/>
          <c:dLbls>
            <c:delete val="1"/>
          </c:dLbls>
          <c:cat>
            <c:strRef>
              <c:f>[合肥学院就业全库202212151008.xls]就业行业!$B$1:$P$1</c:f>
              <c:strCache>
                <c:ptCount val="15"/>
                <c:pt idx="0">
                  <c:v>住宿和餐饮业</c:v>
                </c:pt>
                <c:pt idx="1">
                  <c:v>批发和零售业</c:v>
                </c:pt>
                <c:pt idx="2">
                  <c:v>制造业</c:v>
                </c:pt>
                <c:pt idx="3">
                  <c:v>建筑业</c:v>
                </c:pt>
                <c:pt idx="4">
                  <c:v>居民服务、修理和其他服务业</c:v>
                </c:pt>
                <c:pt idx="5">
                  <c:v>信息传输、软件和信息技术服务业</c:v>
                </c:pt>
                <c:pt idx="6">
                  <c:v>文化、体育和娱乐业</c:v>
                </c:pt>
                <c:pt idx="7">
                  <c:v>租赁和商务服务业</c:v>
                </c:pt>
                <c:pt idx="8">
                  <c:v>机关</c:v>
                </c:pt>
                <c:pt idx="9">
                  <c:v>教育</c:v>
                </c:pt>
                <c:pt idx="10">
                  <c:v>电力、热力、燃气及水生产和供应业</c:v>
                </c:pt>
                <c:pt idx="11">
                  <c:v>房地产业</c:v>
                </c:pt>
                <c:pt idx="12">
                  <c:v>卫生和社会工作</c:v>
                </c:pt>
                <c:pt idx="13">
                  <c:v>科学研究和技术服务业</c:v>
                </c:pt>
                <c:pt idx="14">
                  <c:v>水利、环境和公共设施管理业</c:v>
                </c:pt>
              </c:strCache>
            </c:strRef>
          </c:cat>
          <c:val>
            <c:numRef>
              <c:f>[合肥学院就业全库202212151008.xls]就业行业!$B$4:$P$4</c:f>
            </c:numRef>
          </c:val>
        </c:ser>
        <c:ser>
          <c:idx val="3"/>
          <c:order val="3"/>
          <c:spPr>
            <a:solidFill>
              <a:srgbClr val="68648E"/>
            </a:solidFill>
            <a:ln>
              <a:noFill/>
            </a:ln>
            <a:effectLst/>
          </c:spPr>
          <c:invertIfNegative val="0"/>
          <c:dLbls>
            <c:delete val="1"/>
          </c:dLbls>
          <c:cat>
            <c:strRef>
              <c:f>[合肥学院就业全库202212151008.xls]就业行业!$B$1:$P$1</c:f>
              <c:strCache>
                <c:ptCount val="15"/>
                <c:pt idx="0">
                  <c:v>住宿和餐饮业</c:v>
                </c:pt>
                <c:pt idx="1">
                  <c:v>批发和零售业</c:v>
                </c:pt>
                <c:pt idx="2">
                  <c:v>制造业</c:v>
                </c:pt>
                <c:pt idx="3">
                  <c:v>建筑业</c:v>
                </c:pt>
                <c:pt idx="4">
                  <c:v>居民服务、修理和其他服务业</c:v>
                </c:pt>
                <c:pt idx="5">
                  <c:v>信息传输、软件和信息技术服务业</c:v>
                </c:pt>
                <c:pt idx="6">
                  <c:v>文化、体育和娱乐业</c:v>
                </c:pt>
                <c:pt idx="7">
                  <c:v>租赁和商务服务业</c:v>
                </c:pt>
                <c:pt idx="8">
                  <c:v>机关</c:v>
                </c:pt>
                <c:pt idx="9">
                  <c:v>教育</c:v>
                </c:pt>
                <c:pt idx="10">
                  <c:v>电力、热力、燃气及水生产和供应业</c:v>
                </c:pt>
                <c:pt idx="11">
                  <c:v>房地产业</c:v>
                </c:pt>
                <c:pt idx="12">
                  <c:v>卫生和社会工作</c:v>
                </c:pt>
                <c:pt idx="13">
                  <c:v>科学研究和技术服务业</c:v>
                </c:pt>
                <c:pt idx="14">
                  <c:v>水利、环境和公共设施管理业</c:v>
                </c:pt>
              </c:strCache>
            </c:strRef>
          </c:cat>
          <c:val>
            <c:numRef>
              <c:f>[合肥学院就业全库202212151008.xls]就业行业!$B$5:$P$5</c:f>
            </c:numRef>
          </c:val>
        </c:ser>
        <c:ser>
          <c:idx val="4"/>
          <c:order val="4"/>
          <c:spPr>
            <a:solidFill>
              <a:srgbClr val="70AD47">
                <a:lumMod val="60000"/>
                <a:lumOff val="40000"/>
              </a:srgbClr>
            </a:solidFill>
            <a:ln>
              <a:noFill/>
            </a:ln>
            <a:effectLst/>
          </c:spPr>
          <c:invertIfNegative val="0"/>
          <c:dLbls>
            <c:delete val="1"/>
          </c:dLbls>
          <c:cat>
            <c:strRef>
              <c:f>[合肥学院就业全库202212151008.xls]就业行业!$B$1:$P$1</c:f>
              <c:strCache>
                <c:ptCount val="15"/>
                <c:pt idx="0">
                  <c:v>住宿和餐饮业</c:v>
                </c:pt>
                <c:pt idx="1">
                  <c:v>批发和零售业</c:v>
                </c:pt>
                <c:pt idx="2">
                  <c:v>制造业</c:v>
                </c:pt>
                <c:pt idx="3">
                  <c:v>建筑业</c:v>
                </c:pt>
                <c:pt idx="4">
                  <c:v>居民服务、修理和其他服务业</c:v>
                </c:pt>
                <c:pt idx="5">
                  <c:v>信息传输、软件和信息技术服务业</c:v>
                </c:pt>
                <c:pt idx="6">
                  <c:v>文化、体育和娱乐业</c:v>
                </c:pt>
                <c:pt idx="7">
                  <c:v>租赁和商务服务业</c:v>
                </c:pt>
                <c:pt idx="8">
                  <c:v>机关</c:v>
                </c:pt>
                <c:pt idx="9">
                  <c:v>教育</c:v>
                </c:pt>
                <c:pt idx="10">
                  <c:v>电力、热力、燃气及水生产和供应业</c:v>
                </c:pt>
                <c:pt idx="11">
                  <c:v>房地产业</c:v>
                </c:pt>
                <c:pt idx="12">
                  <c:v>卫生和社会工作</c:v>
                </c:pt>
                <c:pt idx="13">
                  <c:v>科学研究和技术服务业</c:v>
                </c:pt>
                <c:pt idx="14">
                  <c:v>水利、环境和公共设施管理业</c:v>
                </c:pt>
              </c:strCache>
            </c:strRef>
          </c:cat>
          <c:val>
            <c:numRef>
              <c:f>[合肥学院就业全库202212151008.xls]就业行业!$B$6:$P$6</c:f>
              <c:numCache>
                <c:formatCode>General</c:formatCode>
                <c:ptCount val="15"/>
                <c:pt idx="0">
                  <c:v>13</c:v>
                </c:pt>
                <c:pt idx="1">
                  <c:v>11</c:v>
                </c:pt>
                <c:pt idx="2">
                  <c:v>11</c:v>
                </c:pt>
                <c:pt idx="3">
                  <c:v>9</c:v>
                </c:pt>
                <c:pt idx="4">
                  <c:v>6</c:v>
                </c:pt>
                <c:pt idx="5">
                  <c:v>6</c:v>
                </c:pt>
                <c:pt idx="6">
                  <c:v>5</c:v>
                </c:pt>
                <c:pt idx="7">
                  <c:v>4</c:v>
                </c:pt>
                <c:pt idx="8">
                  <c:v>5</c:v>
                </c:pt>
                <c:pt idx="9">
                  <c:v>1</c:v>
                </c:pt>
                <c:pt idx="10">
                  <c:v>1</c:v>
                </c:pt>
                <c:pt idx="11">
                  <c:v>1</c:v>
                </c:pt>
                <c:pt idx="12">
                  <c:v>1</c:v>
                </c:pt>
                <c:pt idx="13">
                  <c:v>1</c:v>
                </c:pt>
                <c:pt idx="14">
                  <c:v>2</c:v>
                </c:pt>
              </c:numCache>
            </c:numRef>
          </c:val>
        </c:ser>
        <c:dLbls>
          <c:showLegendKey val="0"/>
          <c:showVal val="0"/>
          <c:showCatName val="0"/>
          <c:showSerName val="0"/>
          <c:showPercent val="0"/>
          <c:showBubbleSize val="0"/>
        </c:dLbls>
        <c:gapWidth val="219"/>
        <c:overlap val="-27"/>
        <c:axId val="652639537"/>
        <c:axId val="546554429"/>
      </c:barChart>
      <c:catAx>
        <c:axId val="652639537"/>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forceAA="0"/>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crossAx val="546554429"/>
        <c:crosses val="autoZero"/>
        <c:auto val="1"/>
        <c:lblAlgn val="ctr"/>
        <c:lblOffset val="100"/>
        <c:noMultiLvlLbl val="0"/>
      </c:catAx>
      <c:valAx>
        <c:axId val="546554429"/>
        <c:scaling>
          <c:orientation val="minMax"/>
        </c:scaling>
        <c:delete val="0"/>
        <c:axPos val="l"/>
        <c:minorGridlines>
          <c:spPr>
            <a:ln w="9525" cap="flat" cmpd="sng" algn="ctr">
              <a:solidFill>
                <a:schemeClr val="tx1">
                  <a:lumMod val="5000"/>
                  <a:lumOff val="95000"/>
                </a:schemeClr>
              </a:solidFill>
              <a:round/>
            </a:ln>
            <a:effectLst/>
          </c:spPr>
        </c:minorGridlines>
        <c:numFmt formatCode="General" sourceLinked="1"/>
        <c:majorTickMark val="out"/>
        <c:minorTickMark val="none"/>
        <c:tickLblPos val="nextTo"/>
        <c:spPr>
          <a:noFill/>
          <a:ln>
            <a:noFill/>
          </a:ln>
          <a:effectLst/>
        </c:spPr>
        <c:txPr>
          <a:bodyPr rot="-60000000" spcFirstLastPara="0" vertOverflow="ellipsis" vert="horz" wrap="square" anchor="ctr" anchorCtr="1" forceAA="0"/>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crossAx val="652639537"/>
        <c:crosses val="autoZero"/>
        <c:crossBetween val="between"/>
      </c:valAx>
      <c:spPr>
        <a:noFill/>
        <a:ln>
          <a:noFill/>
        </a:ln>
        <a:effectLst/>
      </c:spPr>
    </c:plotArea>
    <c:plotVisOnly val="1"/>
    <c:dispBlanksAs val="gap"/>
    <c:showDLblsOverMax val="0"/>
  </c:chart>
  <c:spPr>
    <a:solidFill>
      <a:schemeClr val="bg1"/>
    </a:solidFill>
    <a:ln w="3175" cap="flat" cmpd="sng" algn="ctr">
      <a:solidFill>
        <a:sysClr val="window" lastClr="FFFFFF">
          <a:lumMod val="85000"/>
        </a:sysClr>
      </a:solidFill>
      <a:round/>
    </a:ln>
    <a:effectLst/>
  </c:spPr>
  <c:txPr>
    <a:bodyPr/>
    <a:lstStyle/>
    <a:p>
      <a:pPr>
        <a:defRPr lang="zh-CN">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forceAA="0"/>
          <a:lstStyle/>
          <a:p>
            <a:pPr>
              <a:defRPr lang="zh-CN" sz="1400" b="1" i="0" u="none" strike="noStrike" kern="1200" spc="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r>
              <a:t>各专业主要行业分布</a:t>
            </a:r>
          </a:p>
        </c:rich>
      </c:tx>
      <c:layout>
        <c:manualLayout>
          <c:xMode val="edge"/>
          <c:yMode val="edge"/>
          <c:x val="0.375901141891194"/>
          <c:y val="0.0190044700153374"/>
        </c:manualLayout>
      </c:layout>
      <c:overlay val="0"/>
      <c:spPr>
        <a:noFill/>
        <a:ln>
          <a:noFill/>
        </a:ln>
        <a:effectLst/>
      </c:spPr>
    </c:title>
    <c:autoTitleDeleted val="0"/>
    <c:plotArea>
      <c:layout>
        <c:manualLayout>
          <c:layoutTarget val="inner"/>
          <c:xMode val="edge"/>
          <c:yMode val="edge"/>
          <c:x val="0.169097513271864"/>
          <c:y val="0.233916978162502"/>
          <c:w val="0.592754028127037"/>
          <c:h val="0.611725359039937"/>
        </c:manualLayout>
      </c:layout>
      <c:barChart>
        <c:barDir val="bar"/>
        <c:grouping val="stacked"/>
        <c:varyColors val="0"/>
        <c:ser>
          <c:idx val="0"/>
          <c:order val="0"/>
          <c:tx>
            <c:strRef>
              <c:f>[合肥学院就业全库202212151008.xls]就业行业!$B$1</c:f>
              <c:strCache>
                <c:ptCount val="1"/>
                <c:pt idx="0">
                  <c:v>住宿和餐饮业</c:v>
                </c:pt>
              </c:strCache>
            </c:strRef>
          </c:tx>
          <c:spPr>
            <a:solidFill>
              <a:srgbClr val="70B19D"/>
            </a:solidFill>
            <a:ln>
              <a:noFill/>
            </a:ln>
            <a:effectLst/>
          </c:spPr>
          <c:invertIfNegative val="0"/>
          <c:dLbls>
            <c:delete val="1"/>
          </c:dLbls>
          <c:cat>
            <c:strRef>
              <c:f>[合肥学院就业全库202212151008.xls]就业行业!$A$2:$A$5</c:f>
              <c:strCache>
                <c:ptCount val="4"/>
                <c:pt idx="0">
                  <c:v>酒店管理</c:v>
                </c:pt>
                <c:pt idx="1">
                  <c:v>旅游管理</c:v>
                </c:pt>
                <c:pt idx="2">
                  <c:v>人文地理与城乡规划</c:v>
                </c:pt>
                <c:pt idx="3">
                  <c:v>旅游管理专科</c:v>
                </c:pt>
              </c:strCache>
            </c:strRef>
          </c:cat>
          <c:val>
            <c:numRef>
              <c:f>[合肥学院就业全库202212151008.xls]就业行业!$B$2:$B$5</c:f>
              <c:numCache>
                <c:formatCode>General</c:formatCode>
                <c:ptCount val="4"/>
                <c:pt idx="0">
                  <c:v>12</c:v>
                </c:pt>
                <c:pt idx="1">
                  <c:v>1</c:v>
                </c:pt>
                <c:pt idx="2">
                  <c:v>0</c:v>
                </c:pt>
                <c:pt idx="3">
                  <c:v>0</c:v>
                </c:pt>
              </c:numCache>
            </c:numRef>
          </c:val>
        </c:ser>
        <c:ser>
          <c:idx val="1"/>
          <c:order val="1"/>
          <c:tx>
            <c:strRef>
              <c:f>[合肥学院就业全库202212151008.xls]就业行业!$C$1</c:f>
              <c:strCache>
                <c:ptCount val="1"/>
                <c:pt idx="0">
                  <c:v>批发和零售业</c:v>
                </c:pt>
              </c:strCache>
            </c:strRef>
          </c:tx>
          <c:spPr>
            <a:solidFill>
              <a:srgbClr val="75C7B0"/>
            </a:solidFill>
            <a:ln>
              <a:noFill/>
            </a:ln>
            <a:effectLst/>
          </c:spPr>
          <c:invertIfNegative val="0"/>
          <c:dLbls>
            <c:delete val="1"/>
          </c:dLbls>
          <c:cat>
            <c:strRef>
              <c:f>[合肥学院就业全库202212151008.xls]就业行业!$A$2:$A$5</c:f>
              <c:strCache>
                <c:ptCount val="4"/>
                <c:pt idx="0">
                  <c:v>酒店管理</c:v>
                </c:pt>
                <c:pt idx="1">
                  <c:v>旅游管理</c:v>
                </c:pt>
                <c:pt idx="2">
                  <c:v>人文地理与城乡规划</c:v>
                </c:pt>
                <c:pt idx="3">
                  <c:v>旅游管理专科</c:v>
                </c:pt>
              </c:strCache>
            </c:strRef>
          </c:cat>
          <c:val>
            <c:numRef>
              <c:f>[合肥学院就业全库202212151008.xls]就业行业!$C$2:$C$5</c:f>
              <c:numCache>
                <c:formatCode>General</c:formatCode>
                <c:ptCount val="4"/>
                <c:pt idx="0">
                  <c:v>3</c:v>
                </c:pt>
                <c:pt idx="1">
                  <c:v>3</c:v>
                </c:pt>
                <c:pt idx="2">
                  <c:v>5</c:v>
                </c:pt>
                <c:pt idx="3">
                  <c:v>0</c:v>
                </c:pt>
              </c:numCache>
            </c:numRef>
          </c:val>
        </c:ser>
        <c:ser>
          <c:idx val="2"/>
          <c:order val="2"/>
          <c:tx>
            <c:strRef>
              <c:f>[合肥学院就业全库202212151008.xls]就业行业!$D$1</c:f>
              <c:strCache>
                <c:ptCount val="1"/>
                <c:pt idx="0">
                  <c:v>制造业</c:v>
                </c:pt>
              </c:strCache>
            </c:strRef>
          </c:tx>
          <c:spPr>
            <a:solidFill>
              <a:srgbClr val="A2D8C6">
                <a:alpha val="90000"/>
              </a:srgbClr>
            </a:solidFill>
            <a:ln>
              <a:noFill/>
            </a:ln>
            <a:effectLst/>
          </c:spPr>
          <c:invertIfNegative val="0"/>
          <c:dLbls>
            <c:delete val="1"/>
          </c:dLbls>
          <c:cat>
            <c:strRef>
              <c:f>[合肥学院就业全库202212151008.xls]就业行业!$A$2:$A$5</c:f>
              <c:strCache>
                <c:ptCount val="4"/>
                <c:pt idx="0">
                  <c:v>酒店管理</c:v>
                </c:pt>
                <c:pt idx="1">
                  <c:v>旅游管理</c:v>
                </c:pt>
                <c:pt idx="2">
                  <c:v>人文地理与城乡规划</c:v>
                </c:pt>
                <c:pt idx="3">
                  <c:v>旅游管理专科</c:v>
                </c:pt>
              </c:strCache>
            </c:strRef>
          </c:cat>
          <c:val>
            <c:numRef>
              <c:f>[合肥学院就业全库202212151008.xls]就业行业!$D$2:$D$5</c:f>
              <c:numCache>
                <c:formatCode>General</c:formatCode>
                <c:ptCount val="4"/>
                <c:pt idx="0">
                  <c:v>3</c:v>
                </c:pt>
                <c:pt idx="1">
                  <c:v>5</c:v>
                </c:pt>
                <c:pt idx="2">
                  <c:v>3</c:v>
                </c:pt>
                <c:pt idx="3">
                  <c:v>0</c:v>
                </c:pt>
              </c:numCache>
            </c:numRef>
          </c:val>
        </c:ser>
        <c:ser>
          <c:idx val="3"/>
          <c:order val="3"/>
          <c:tx>
            <c:strRef>
              <c:f>[合肥学院就业全库202212151008.xls]就业行业!$E$1</c:f>
              <c:strCache>
                <c:ptCount val="1"/>
                <c:pt idx="0">
                  <c:v>建筑业</c:v>
                </c:pt>
              </c:strCache>
            </c:strRef>
          </c:tx>
          <c:spPr>
            <a:gradFill>
              <a:gsLst>
                <a:gs pos="0">
                  <a:srgbClr val="88CBCC"/>
                </a:gs>
                <a:gs pos="0">
                  <a:srgbClr val="ADDBDC"/>
                </a:gs>
                <a:gs pos="0">
                  <a:srgbClr val="62BBBB">
                    <a:alpha val="72000"/>
                  </a:srgbClr>
                </a:gs>
              </a:gsLst>
              <a:lin ang="0" scaled="1"/>
            </a:gradFill>
            <a:ln>
              <a:noFill/>
            </a:ln>
            <a:effectLst/>
          </c:spPr>
          <c:invertIfNegative val="0"/>
          <c:dLbls>
            <c:delete val="1"/>
          </c:dLbls>
          <c:cat>
            <c:strRef>
              <c:f>[合肥学院就业全库202212151008.xls]就业行业!$A$2:$A$5</c:f>
              <c:strCache>
                <c:ptCount val="4"/>
                <c:pt idx="0">
                  <c:v>酒店管理</c:v>
                </c:pt>
                <c:pt idx="1">
                  <c:v>旅游管理</c:v>
                </c:pt>
                <c:pt idx="2">
                  <c:v>人文地理与城乡规划</c:v>
                </c:pt>
                <c:pt idx="3">
                  <c:v>旅游管理专科</c:v>
                </c:pt>
              </c:strCache>
            </c:strRef>
          </c:cat>
          <c:val>
            <c:numRef>
              <c:f>[合肥学院就业全库202212151008.xls]就业行业!$E$2:$E$5</c:f>
              <c:numCache>
                <c:formatCode>General</c:formatCode>
                <c:ptCount val="4"/>
                <c:pt idx="0">
                  <c:v>0</c:v>
                </c:pt>
                <c:pt idx="1">
                  <c:v>5</c:v>
                </c:pt>
                <c:pt idx="2">
                  <c:v>4</c:v>
                </c:pt>
                <c:pt idx="3">
                  <c:v>0</c:v>
                </c:pt>
              </c:numCache>
            </c:numRef>
          </c:val>
        </c:ser>
        <c:ser>
          <c:idx val="4"/>
          <c:order val="4"/>
          <c:tx>
            <c:strRef>
              <c:f>[合肥学院就业全库202212151008.xls]就业行业!$F$1</c:f>
              <c:strCache>
                <c:ptCount val="1"/>
                <c:pt idx="0">
                  <c:v>居民服务、修理和其他服务业</c:v>
                </c:pt>
              </c:strCache>
            </c:strRef>
          </c:tx>
          <c:spPr>
            <a:gradFill>
              <a:gsLst>
                <a:gs pos="0">
                  <a:srgbClr val="B5D5B7"/>
                </a:gs>
                <a:gs pos="0">
                  <a:srgbClr val="C5EDCD"/>
                </a:gs>
              </a:gsLst>
              <a:lin scaled="1"/>
            </a:gradFill>
            <a:ln>
              <a:noFill/>
            </a:ln>
            <a:effectLst/>
          </c:spPr>
          <c:invertIfNegative val="0"/>
          <c:dLbls>
            <c:delete val="1"/>
          </c:dLbls>
          <c:cat>
            <c:strRef>
              <c:f>[合肥学院就业全库202212151008.xls]就业行业!$A$2:$A$5</c:f>
              <c:strCache>
                <c:ptCount val="4"/>
                <c:pt idx="0">
                  <c:v>酒店管理</c:v>
                </c:pt>
                <c:pt idx="1">
                  <c:v>旅游管理</c:v>
                </c:pt>
                <c:pt idx="2">
                  <c:v>人文地理与城乡规划</c:v>
                </c:pt>
                <c:pt idx="3">
                  <c:v>旅游管理专科</c:v>
                </c:pt>
              </c:strCache>
            </c:strRef>
          </c:cat>
          <c:val>
            <c:numRef>
              <c:f>[合肥学院就业全库202212151008.xls]就业行业!$F$2:$F$5</c:f>
              <c:numCache>
                <c:formatCode>General</c:formatCode>
                <c:ptCount val="4"/>
                <c:pt idx="0">
                  <c:v>3</c:v>
                </c:pt>
                <c:pt idx="1">
                  <c:v>2</c:v>
                </c:pt>
                <c:pt idx="2">
                  <c:v>1</c:v>
                </c:pt>
                <c:pt idx="3">
                  <c:v>0</c:v>
                </c:pt>
              </c:numCache>
            </c:numRef>
          </c:val>
        </c:ser>
        <c:ser>
          <c:idx val="5"/>
          <c:order val="5"/>
          <c:tx>
            <c:strRef>
              <c:f>[合肥学院就业全库202212151008.xls]就业行业!$G$1</c:f>
              <c:strCache>
                <c:ptCount val="1"/>
                <c:pt idx="0">
                  <c:v>信息传输、软件和信息技术服务业</c:v>
                </c:pt>
              </c:strCache>
            </c:strRef>
          </c:tx>
          <c:spPr>
            <a:gradFill>
              <a:gsLst>
                <a:gs pos="100000">
                  <a:srgbClr val="C0D2BC"/>
                </a:gs>
                <a:gs pos="0">
                  <a:srgbClr val="D5E1D2"/>
                </a:gs>
                <a:gs pos="100000">
                  <a:srgbClr val="AAC2A5"/>
                </a:gs>
              </a:gsLst>
              <a:lin scaled="1"/>
            </a:gradFill>
            <a:ln>
              <a:noFill/>
            </a:ln>
            <a:effectLst/>
          </c:spPr>
          <c:invertIfNegative val="0"/>
          <c:dLbls>
            <c:delete val="1"/>
          </c:dLbls>
          <c:cat>
            <c:strRef>
              <c:f>[合肥学院就业全库202212151008.xls]就业行业!$A$2:$A$5</c:f>
              <c:strCache>
                <c:ptCount val="4"/>
                <c:pt idx="0">
                  <c:v>酒店管理</c:v>
                </c:pt>
                <c:pt idx="1">
                  <c:v>旅游管理</c:v>
                </c:pt>
                <c:pt idx="2">
                  <c:v>人文地理与城乡规划</c:v>
                </c:pt>
                <c:pt idx="3">
                  <c:v>旅游管理专科</c:v>
                </c:pt>
              </c:strCache>
            </c:strRef>
          </c:cat>
          <c:val>
            <c:numRef>
              <c:f>[合肥学院就业全库202212151008.xls]就业行业!$G$2:$G$5</c:f>
              <c:numCache>
                <c:formatCode>General</c:formatCode>
                <c:ptCount val="4"/>
                <c:pt idx="0">
                  <c:v>1</c:v>
                </c:pt>
                <c:pt idx="1">
                  <c:v>3</c:v>
                </c:pt>
                <c:pt idx="2">
                  <c:v>2</c:v>
                </c:pt>
                <c:pt idx="3">
                  <c:v>0</c:v>
                </c:pt>
              </c:numCache>
            </c:numRef>
          </c:val>
        </c:ser>
        <c:ser>
          <c:idx val="6"/>
          <c:order val="6"/>
          <c:tx>
            <c:strRef>
              <c:f>[合肥学院就业全库202212151008.xls]就业行业!$H$1</c:f>
              <c:strCache>
                <c:ptCount val="1"/>
                <c:pt idx="0">
                  <c:v>文化、体育和娱乐业</c:v>
                </c:pt>
              </c:strCache>
            </c:strRef>
          </c:tx>
          <c:spPr>
            <a:gradFill>
              <a:gsLst>
                <a:gs pos="0">
                  <a:srgbClr val="C0D2BC"/>
                </a:gs>
                <a:gs pos="0">
                  <a:srgbClr val="D5E1D2"/>
                </a:gs>
                <a:gs pos="5000">
                  <a:srgbClr val="AAC2A5"/>
                </a:gs>
              </a:gsLst>
              <a:lin scaled="1"/>
            </a:gradFill>
            <a:ln>
              <a:noFill/>
            </a:ln>
            <a:effectLst/>
          </c:spPr>
          <c:invertIfNegative val="0"/>
          <c:dLbls>
            <c:delete val="1"/>
          </c:dLbls>
          <c:cat>
            <c:strRef>
              <c:f>[合肥学院就业全库202212151008.xls]就业行业!$A$2:$A$5</c:f>
              <c:strCache>
                <c:ptCount val="4"/>
                <c:pt idx="0">
                  <c:v>酒店管理</c:v>
                </c:pt>
                <c:pt idx="1">
                  <c:v>旅游管理</c:v>
                </c:pt>
                <c:pt idx="2">
                  <c:v>人文地理与城乡规划</c:v>
                </c:pt>
                <c:pt idx="3">
                  <c:v>旅游管理专科</c:v>
                </c:pt>
              </c:strCache>
            </c:strRef>
          </c:cat>
          <c:val>
            <c:numRef>
              <c:f>[合肥学院就业全库202212151008.xls]就业行业!$H$2:$H$5</c:f>
              <c:numCache>
                <c:formatCode>General</c:formatCode>
                <c:ptCount val="4"/>
                <c:pt idx="0">
                  <c:v>1</c:v>
                </c:pt>
                <c:pt idx="1">
                  <c:v>1</c:v>
                </c:pt>
                <c:pt idx="2">
                  <c:v>3</c:v>
                </c:pt>
                <c:pt idx="3">
                  <c:v>0</c:v>
                </c:pt>
              </c:numCache>
            </c:numRef>
          </c:val>
        </c:ser>
        <c:ser>
          <c:idx val="7"/>
          <c:order val="7"/>
          <c:tx>
            <c:strRef>
              <c:f>[合肥学院就业全库202212151008.xls]就业行业!$I$1</c:f>
              <c:strCache>
                <c:ptCount val="1"/>
                <c:pt idx="0">
                  <c:v>租赁和商务服务业</c:v>
                </c:pt>
              </c:strCache>
            </c:strRef>
          </c:tx>
          <c:spPr>
            <a:gradFill>
              <a:gsLst>
                <a:gs pos="8000">
                  <a:srgbClr val="84AF7F"/>
                </a:gs>
                <a:gs pos="0">
                  <a:srgbClr val="ADCAAA"/>
                </a:gs>
                <a:gs pos="100000">
                  <a:srgbClr val="5B9454"/>
                </a:gs>
              </a:gsLst>
              <a:lin scaled="1"/>
            </a:gradFill>
            <a:ln>
              <a:noFill/>
            </a:ln>
            <a:effectLst/>
          </c:spPr>
          <c:invertIfNegative val="0"/>
          <c:dLbls>
            <c:delete val="1"/>
          </c:dLbls>
          <c:cat>
            <c:strRef>
              <c:f>[合肥学院就业全库202212151008.xls]就业行业!$A$2:$A$5</c:f>
              <c:strCache>
                <c:ptCount val="4"/>
                <c:pt idx="0">
                  <c:v>酒店管理</c:v>
                </c:pt>
                <c:pt idx="1">
                  <c:v>旅游管理</c:v>
                </c:pt>
                <c:pt idx="2">
                  <c:v>人文地理与城乡规划</c:v>
                </c:pt>
                <c:pt idx="3">
                  <c:v>旅游管理专科</c:v>
                </c:pt>
              </c:strCache>
            </c:strRef>
          </c:cat>
          <c:val>
            <c:numRef>
              <c:f>[合肥学院就业全库202212151008.xls]就业行业!$I$2:$I$5</c:f>
              <c:numCache>
                <c:formatCode>General</c:formatCode>
                <c:ptCount val="4"/>
                <c:pt idx="0">
                  <c:v>0</c:v>
                </c:pt>
                <c:pt idx="1">
                  <c:v>1</c:v>
                </c:pt>
                <c:pt idx="2">
                  <c:v>1</c:v>
                </c:pt>
                <c:pt idx="3">
                  <c:v>2</c:v>
                </c:pt>
              </c:numCache>
            </c:numRef>
          </c:val>
        </c:ser>
        <c:ser>
          <c:idx val="8"/>
          <c:order val="8"/>
          <c:tx>
            <c:strRef>
              <c:f>[合肥学院就业全库202212151008.xls]就业行业!$J$1</c:f>
              <c:strCache>
                <c:ptCount val="1"/>
                <c:pt idx="0">
                  <c:v>机关</c:v>
                </c:pt>
              </c:strCache>
            </c:strRef>
          </c:tx>
          <c:spPr>
            <a:solidFill>
              <a:srgbClr val="70B19D">
                <a:alpha val="80000"/>
              </a:srgbClr>
            </a:solidFill>
            <a:ln>
              <a:noFill/>
            </a:ln>
            <a:effectLst/>
          </c:spPr>
          <c:invertIfNegative val="0"/>
          <c:dLbls>
            <c:delete val="1"/>
          </c:dLbls>
          <c:cat>
            <c:strRef>
              <c:f>[合肥学院就业全库202212151008.xls]就业行业!$A$2:$A$5</c:f>
              <c:strCache>
                <c:ptCount val="4"/>
                <c:pt idx="0">
                  <c:v>酒店管理</c:v>
                </c:pt>
                <c:pt idx="1">
                  <c:v>旅游管理</c:v>
                </c:pt>
                <c:pt idx="2">
                  <c:v>人文地理与城乡规划</c:v>
                </c:pt>
                <c:pt idx="3">
                  <c:v>旅游管理专科</c:v>
                </c:pt>
              </c:strCache>
            </c:strRef>
          </c:cat>
          <c:val>
            <c:numRef>
              <c:f>[合肥学院就业全库202212151008.xls]就业行业!$J$2:$J$5</c:f>
              <c:numCache>
                <c:formatCode>General</c:formatCode>
                <c:ptCount val="4"/>
                <c:pt idx="0">
                  <c:v>0</c:v>
                </c:pt>
                <c:pt idx="1">
                  <c:v>2</c:v>
                </c:pt>
                <c:pt idx="2">
                  <c:v>3</c:v>
                </c:pt>
                <c:pt idx="3">
                  <c:v>0</c:v>
                </c:pt>
              </c:numCache>
            </c:numRef>
          </c:val>
        </c:ser>
        <c:ser>
          <c:idx val="9"/>
          <c:order val="9"/>
          <c:tx>
            <c:strRef>
              <c:f>[合肥学院就业全库202212151008.xls]就业行业!$K$1</c:f>
              <c:strCache>
                <c:ptCount val="1"/>
                <c:pt idx="0">
                  <c:v>教育</c:v>
                </c:pt>
              </c:strCache>
            </c:strRef>
          </c:tx>
          <c:spPr>
            <a:solidFill>
              <a:srgbClr val="75C7B0"/>
            </a:solidFill>
            <a:ln>
              <a:noFill/>
            </a:ln>
            <a:effectLst/>
          </c:spPr>
          <c:invertIfNegative val="0"/>
          <c:dLbls>
            <c:delete val="1"/>
          </c:dLbls>
          <c:cat>
            <c:strRef>
              <c:f>[合肥学院就业全库202212151008.xls]就业行业!$A$2:$A$5</c:f>
              <c:strCache>
                <c:ptCount val="4"/>
                <c:pt idx="0">
                  <c:v>酒店管理</c:v>
                </c:pt>
                <c:pt idx="1">
                  <c:v>旅游管理</c:v>
                </c:pt>
                <c:pt idx="2">
                  <c:v>人文地理与城乡规划</c:v>
                </c:pt>
                <c:pt idx="3">
                  <c:v>旅游管理专科</c:v>
                </c:pt>
              </c:strCache>
            </c:strRef>
          </c:cat>
          <c:val>
            <c:numRef>
              <c:f>[合肥学院就业全库202212151008.xls]就业行业!$K$2:$K$5</c:f>
              <c:numCache>
                <c:formatCode>General</c:formatCode>
                <c:ptCount val="4"/>
                <c:pt idx="0">
                  <c:v>0</c:v>
                </c:pt>
                <c:pt idx="1">
                  <c:v>0</c:v>
                </c:pt>
                <c:pt idx="2">
                  <c:v>1</c:v>
                </c:pt>
                <c:pt idx="3">
                  <c:v>0</c:v>
                </c:pt>
              </c:numCache>
            </c:numRef>
          </c:val>
        </c:ser>
        <c:ser>
          <c:idx val="10"/>
          <c:order val="10"/>
          <c:tx>
            <c:strRef>
              <c:f>[合肥学院就业全库202212151008.xls]就业行业!$L$1</c:f>
              <c:strCache>
                <c:ptCount val="1"/>
                <c:pt idx="0">
                  <c:v>电力、热力、燃气及水生产和供应业</c:v>
                </c:pt>
              </c:strCache>
            </c:strRef>
          </c:tx>
          <c:spPr>
            <a:solidFill>
              <a:srgbClr val="70AD47">
                <a:lumMod val="40000"/>
                <a:lumOff val="60000"/>
              </a:srgbClr>
            </a:solidFill>
            <a:ln>
              <a:noFill/>
            </a:ln>
            <a:effectLst/>
          </c:spPr>
          <c:invertIfNegative val="0"/>
          <c:dLbls>
            <c:delete val="1"/>
          </c:dLbls>
          <c:cat>
            <c:strRef>
              <c:f>[合肥学院就业全库202212151008.xls]就业行业!$A$2:$A$5</c:f>
              <c:strCache>
                <c:ptCount val="4"/>
                <c:pt idx="0">
                  <c:v>酒店管理</c:v>
                </c:pt>
                <c:pt idx="1">
                  <c:v>旅游管理</c:v>
                </c:pt>
                <c:pt idx="2">
                  <c:v>人文地理与城乡规划</c:v>
                </c:pt>
                <c:pt idx="3">
                  <c:v>旅游管理专科</c:v>
                </c:pt>
              </c:strCache>
            </c:strRef>
          </c:cat>
          <c:val>
            <c:numRef>
              <c:f>[合肥学院就业全库202212151008.xls]就业行业!$L$2:$L$5</c:f>
              <c:numCache>
                <c:formatCode>General</c:formatCode>
                <c:ptCount val="4"/>
                <c:pt idx="0">
                  <c:v>0</c:v>
                </c:pt>
                <c:pt idx="1">
                  <c:v>1</c:v>
                </c:pt>
                <c:pt idx="2">
                  <c:v>0</c:v>
                </c:pt>
                <c:pt idx="3">
                  <c:v>0</c:v>
                </c:pt>
              </c:numCache>
            </c:numRef>
          </c:val>
        </c:ser>
        <c:ser>
          <c:idx val="11"/>
          <c:order val="11"/>
          <c:tx>
            <c:strRef>
              <c:f>[合肥学院就业全库202212151008.xls]就业行业!$M$1</c:f>
              <c:strCache>
                <c:ptCount val="1"/>
                <c:pt idx="0">
                  <c:v>房地产业</c:v>
                </c:pt>
              </c:strCache>
            </c:strRef>
          </c:tx>
          <c:spPr>
            <a:solidFill>
              <a:srgbClr val="70AD47">
                <a:alpha val="59000"/>
              </a:srgbClr>
            </a:solidFill>
            <a:ln>
              <a:noFill/>
            </a:ln>
            <a:effectLst/>
          </c:spPr>
          <c:invertIfNegative val="0"/>
          <c:dLbls>
            <c:delete val="1"/>
          </c:dLbls>
          <c:cat>
            <c:strRef>
              <c:f>[合肥学院就业全库202212151008.xls]就业行业!$A$2:$A$5</c:f>
              <c:strCache>
                <c:ptCount val="4"/>
                <c:pt idx="0">
                  <c:v>酒店管理</c:v>
                </c:pt>
                <c:pt idx="1">
                  <c:v>旅游管理</c:v>
                </c:pt>
                <c:pt idx="2">
                  <c:v>人文地理与城乡规划</c:v>
                </c:pt>
                <c:pt idx="3">
                  <c:v>旅游管理专科</c:v>
                </c:pt>
              </c:strCache>
            </c:strRef>
          </c:cat>
          <c:val>
            <c:numRef>
              <c:f>[合肥学院就业全库202212151008.xls]就业行业!$M$2:$M$5</c:f>
              <c:numCache>
                <c:formatCode>General</c:formatCode>
                <c:ptCount val="4"/>
                <c:pt idx="0">
                  <c:v>0</c:v>
                </c:pt>
                <c:pt idx="1">
                  <c:v>1</c:v>
                </c:pt>
                <c:pt idx="2">
                  <c:v>0</c:v>
                </c:pt>
                <c:pt idx="3">
                  <c:v>0</c:v>
                </c:pt>
              </c:numCache>
            </c:numRef>
          </c:val>
        </c:ser>
        <c:ser>
          <c:idx val="12"/>
          <c:order val="12"/>
          <c:tx>
            <c:strRef>
              <c:f>[合肥学院就业全库202212151008.xls]就业行业!$N$1</c:f>
              <c:strCache>
                <c:ptCount val="1"/>
                <c:pt idx="0">
                  <c:v>卫生和社会工作</c:v>
                </c:pt>
              </c:strCache>
            </c:strRef>
          </c:tx>
          <c:spPr>
            <a:solidFill>
              <a:srgbClr val="70AD47">
                <a:lumMod val="75000"/>
                <a:alpha val="62000"/>
              </a:srgbClr>
            </a:solidFill>
            <a:ln>
              <a:noFill/>
            </a:ln>
            <a:effectLst/>
          </c:spPr>
          <c:invertIfNegative val="0"/>
          <c:dLbls>
            <c:delete val="1"/>
          </c:dLbls>
          <c:cat>
            <c:strRef>
              <c:f>[合肥学院就业全库202212151008.xls]就业行业!$A$2:$A$5</c:f>
              <c:strCache>
                <c:ptCount val="4"/>
                <c:pt idx="0">
                  <c:v>酒店管理</c:v>
                </c:pt>
                <c:pt idx="1">
                  <c:v>旅游管理</c:v>
                </c:pt>
                <c:pt idx="2">
                  <c:v>人文地理与城乡规划</c:v>
                </c:pt>
                <c:pt idx="3">
                  <c:v>旅游管理专科</c:v>
                </c:pt>
              </c:strCache>
            </c:strRef>
          </c:cat>
          <c:val>
            <c:numRef>
              <c:f>[合肥学院就业全库202212151008.xls]就业行业!$N$2:$N$5</c:f>
              <c:numCache>
                <c:formatCode>General</c:formatCode>
                <c:ptCount val="4"/>
                <c:pt idx="0">
                  <c:v>1</c:v>
                </c:pt>
                <c:pt idx="1">
                  <c:v>0</c:v>
                </c:pt>
                <c:pt idx="2">
                  <c:v>0</c:v>
                </c:pt>
                <c:pt idx="3">
                  <c:v>0</c:v>
                </c:pt>
              </c:numCache>
            </c:numRef>
          </c:val>
        </c:ser>
        <c:ser>
          <c:idx val="13"/>
          <c:order val="13"/>
          <c:tx>
            <c:strRef>
              <c:f>[合肥学院就业全库202212151008.xls]就业行业!$O$1</c:f>
              <c:strCache>
                <c:ptCount val="1"/>
                <c:pt idx="0">
                  <c:v>科学研究和技术服务业</c:v>
                </c:pt>
              </c:strCache>
            </c:strRef>
          </c:tx>
          <c:spPr>
            <a:solidFill>
              <a:srgbClr val="75C7B0">
                <a:alpha val="48000"/>
              </a:srgbClr>
            </a:solidFill>
            <a:ln>
              <a:noFill/>
            </a:ln>
            <a:effectLst/>
          </c:spPr>
          <c:invertIfNegative val="0"/>
          <c:dLbls>
            <c:delete val="1"/>
          </c:dLbls>
          <c:cat>
            <c:strRef>
              <c:f>[合肥学院就业全库202212151008.xls]就业行业!$A$2:$A$5</c:f>
              <c:strCache>
                <c:ptCount val="4"/>
                <c:pt idx="0">
                  <c:v>酒店管理</c:v>
                </c:pt>
                <c:pt idx="1">
                  <c:v>旅游管理</c:v>
                </c:pt>
                <c:pt idx="2">
                  <c:v>人文地理与城乡规划</c:v>
                </c:pt>
                <c:pt idx="3">
                  <c:v>旅游管理专科</c:v>
                </c:pt>
              </c:strCache>
            </c:strRef>
          </c:cat>
          <c:val>
            <c:numRef>
              <c:f>[合肥学院就业全库202212151008.xls]就业行业!$O$2:$O$5</c:f>
              <c:numCache>
                <c:formatCode>General</c:formatCode>
                <c:ptCount val="4"/>
                <c:pt idx="0">
                  <c:v>1</c:v>
                </c:pt>
                <c:pt idx="1">
                  <c:v>0</c:v>
                </c:pt>
                <c:pt idx="2">
                  <c:v>0</c:v>
                </c:pt>
                <c:pt idx="3">
                  <c:v>0</c:v>
                </c:pt>
              </c:numCache>
            </c:numRef>
          </c:val>
        </c:ser>
        <c:ser>
          <c:idx val="14"/>
          <c:order val="14"/>
          <c:tx>
            <c:strRef>
              <c:f>[合肥学院就业全库202212151008.xls]就业行业!$P$1</c:f>
              <c:strCache>
                <c:ptCount val="1"/>
                <c:pt idx="0">
                  <c:v>水利、环境和公共设施管理业</c:v>
                </c:pt>
              </c:strCache>
            </c:strRef>
          </c:tx>
          <c:spPr>
            <a:solidFill>
              <a:srgbClr val="A2D8C6"/>
            </a:solidFill>
            <a:ln>
              <a:noFill/>
            </a:ln>
            <a:effectLst/>
          </c:spPr>
          <c:invertIfNegative val="0"/>
          <c:dLbls>
            <c:delete val="1"/>
          </c:dLbls>
          <c:cat>
            <c:strRef>
              <c:f>[合肥学院就业全库202212151008.xls]就业行业!$A$2:$A$5</c:f>
              <c:strCache>
                <c:ptCount val="4"/>
                <c:pt idx="0">
                  <c:v>酒店管理</c:v>
                </c:pt>
                <c:pt idx="1">
                  <c:v>旅游管理</c:v>
                </c:pt>
                <c:pt idx="2">
                  <c:v>人文地理与城乡规划</c:v>
                </c:pt>
                <c:pt idx="3">
                  <c:v>旅游管理专科</c:v>
                </c:pt>
              </c:strCache>
            </c:strRef>
          </c:cat>
          <c:val>
            <c:numRef>
              <c:f>[合肥学院就业全库202212151008.xls]就业行业!$P$2:$P$5</c:f>
              <c:numCache>
                <c:formatCode>General</c:formatCode>
                <c:ptCount val="4"/>
                <c:pt idx="2">
                  <c:v>2</c:v>
                </c:pt>
              </c:numCache>
            </c:numRef>
          </c:val>
        </c:ser>
        <c:dLbls>
          <c:showLegendKey val="0"/>
          <c:showVal val="0"/>
          <c:showCatName val="0"/>
          <c:showSerName val="0"/>
          <c:showPercent val="0"/>
          <c:showBubbleSize val="0"/>
        </c:dLbls>
        <c:gapWidth val="71"/>
        <c:overlap val="100"/>
        <c:axId val="887285125"/>
        <c:axId val="737181755"/>
      </c:barChart>
      <c:catAx>
        <c:axId val="88728512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forceAA="0"/>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crossAx val="737181755"/>
        <c:crosses val="autoZero"/>
        <c:auto val="1"/>
        <c:lblAlgn val="ctr"/>
        <c:lblOffset val="100"/>
        <c:noMultiLvlLbl val="0"/>
      </c:catAx>
      <c:valAx>
        <c:axId val="737181755"/>
        <c:scaling>
          <c:orientation val="minMax"/>
        </c:scaling>
        <c:delete val="0"/>
        <c:axPos val="b"/>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0" vertOverflow="ellipsis" vert="horz" wrap="square" anchor="ctr" anchorCtr="1" forceAA="0"/>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crossAx val="887285125"/>
        <c:crosses val="autoZero"/>
        <c:crossBetween val="between"/>
      </c:valAx>
      <c:spPr>
        <a:noFill/>
        <a:ln>
          <a:noFill/>
        </a:ln>
        <a:effectLst/>
      </c:spPr>
    </c:plotArea>
    <c:legend>
      <c:legendPos val="r"/>
      <c:layout>
        <c:manualLayout>
          <c:xMode val="edge"/>
          <c:yMode val="edge"/>
          <c:x val="0.821924187389401"/>
          <c:y val="0.0756261150067038"/>
          <c:w val="0.166899506379808"/>
          <c:h val="0.888058233326776"/>
        </c:manualLayout>
      </c:layout>
      <c:overlay val="0"/>
      <c:spPr>
        <a:noFill/>
        <a:ln>
          <a:noFill/>
        </a:ln>
        <a:effectLst/>
      </c:spPr>
      <c:txPr>
        <a:bodyPr rot="0" spcFirstLastPara="0" vertOverflow="ellipsis" vert="horz" wrap="square" anchor="ctr" anchorCtr="1" forceAA="0"/>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legend>
    <c:plotVisOnly val="1"/>
    <c:dispBlanksAs val="gap"/>
    <c:showDLblsOverMax val="0"/>
  </c:chart>
  <c:spPr>
    <a:solidFill>
      <a:sysClr val="window" lastClr="FFFFFF"/>
    </a:solidFill>
    <a:ln w="3175" cap="flat" cmpd="sng" algn="ctr">
      <a:solidFill>
        <a:sysClr val="window" lastClr="FFFFFF">
          <a:lumMod val="85000"/>
        </a:sysClr>
      </a:solidFill>
      <a:round/>
    </a:ln>
    <a:effectLst>
      <a:outerShdw blurRad="63500" dist="37357" dir="2700000" sx="0" sy="0" rotWithShape="0">
        <a:scrgbClr r="0" g="0" b="0"/>
      </a:outerShdw>
    </a:effectLst>
  </c:spPr>
  <c:txPr>
    <a:bodyPr/>
    <a:lstStyle/>
    <a:p>
      <a:pPr>
        <a:defRPr lang="zh-CN">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zh-CN" sz="1400" b="0" i="0" u="none" strike="noStrike" kern="1200" spc="0" baseline="0">
                <a:solidFill>
                  <a:schemeClr val="tx1">
                    <a:lumMod val="65000"/>
                    <a:lumOff val="35000"/>
                  </a:schemeClr>
                </a:solidFill>
                <a:latin typeface="+mn-lt"/>
                <a:ea typeface="+mn-ea"/>
                <a:cs typeface="+mn-cs"/>
              </a:defRPr>
            </a:pPr>
            <a:r>
              <a:rPr b="1">
                <a:latin typeface="微软雅黑" panose="020B0503020204020204" charset="-122"/>
                <a:ea typeface="微软雅黑" panose="020B0503020204020204" charset="-122"/>
              </a:rPr>
              <a:t>主要工作职位类别</a:t>
            </a:r>
            <a:endParaRPr b="1">
              <a:latin typeface="微软雅黑" panose="020B0503020204020204" charset="-122"/>
              <a:ea typeface="微软雅黑" panose="020B0503020204020204" charset="-122"/>
            </a:endParaRPr>
          </a:p>
        </c:rich>
      </c:tx>
      <c:layout>
        <c:manualLayout>
          <c:xMode val="edge"/>
          <c:yMode val="edge"/>
          <c:x val="0.350089296963588"/>
          <c:y val="0.0397246086306364"/>
        </c:manualLayout>
      </c:layout>
      <c:overlay val="0"/>
      <c:spPr>
        <a:noFill/>
        <a:ln>
          <a:noFill/>
        </a:ln>
        <a:effectLst/>
      </c:spPr>
    </c:title>
    <c:autoTitleDeleted val="0"/>
    <c:plotArea>
      <c:layout>
        <c:manualLayout>
          <c:layoutTarget val="inner"/>
          <c:xMode val="edge"/>
          <c:yMode val="edge"/>
          <c:x val="0.12101851203467"/>
          <c:y val="0.217932489451477"/>
          <c:w val="0.848425932409774"/>
          <c:h val="0.46084388185654"/>
        </c:manualLayout>
      </c:layout>
      <c:barChart>
        <c:barDir val="col"/>
        <c:grouping val="clustered"/>
        <c:varyColors val="0"/>
        <c:ser>
          <c:idx val="0"/>
          <c:order val="0"/>
          <c:spPr>
            <a:solidFill>
              <a:schemeClr val="accent1"/>
            </a:solidFill>
            <a:ln>
              <a:noFill/>
            </a:ln>
            <a:effectLst/>
          </c:spPr>
          <c:invertIfNegative val="0"/>
          <c:dLbls>
            <c:delete val="1"/>
          </c:dLbls>
          <c:cat>
            <c:strRef>
              <c:f>[合肥学院就业全库202212151008.xls]就业行业!$B$9:$H$9</c:f>
              <c:strCache>
                <c:ptCount val="7"/>
                <c:pt idx="0">
                  <c:v>商业和服务业人员</c:v>
                </c:pt>
                <c:pt idx="1">
                  <c:v>办事人员和有关人员</c:v>
                </c:pt>
                <c:pt idx="2">
                  <c:v>其他专业技术人员</c:v>
                </c:pt>
                <c:pt idx="3">
                  <c:v>基层工作人员</c:v>
                </c:pt>
                <c:pt idx="4">
                  <c:v>公务员</c:v>
                </c:pt>
                <c:pt idx="5">
                  <c:v>金融业务人员</c:v>
                </c:pt>
                <c:pt idx="6">
                  <c:v>文学艺术工作人员</c:v>
                </c:pt>
              </c:strCache>
            </c:strRef>
          </c:cat>
          <c:val>
            <c:numRef>
              <c:f>[合肥学院就业全库202212151008.xls]就业行业!$B$10:$H$10</c:f>
            </c:numRef>
          </c:val>
        </c:ser>
        <c:ser>
          <c:idx val="1"/>
          <c:order val="1"/>
          <c:spPr>
            <a:solidFill>
              <a:schemeClr val="accent2"/>
            </a:solidFill>
            <a:ln>
              <a:noFill/>
            </a:ln>
            <a:effectLst/>
          </c:spPr>
          <c:invertIfNegative val="0"/>
          <c:dLbls>
            <c:delete val="1"/>
          </c:dLbls>
          <c:cat>
            <c:strRef>
              <c:f>[合肥学院就业全库202212151008.xls]就业行业!$B$9:$H$9</c:f>
              <c:strCache>
                <c:ptCount val="7"/>
                <c:pt idx="0">
                  <c:v>商业和服务业人员</c:v>
                </c:pt>
                <c:pt idx="1">
                  <c:v>办事人员和有关人员</c:v>
                </c:pt>
                <c:pt idx="2">
                  <c:v>其他专业技术人员</c:v>
                </c:pt>
                <c:pt idx="3">
                  <c:v>基层工作人员</c:v>
                </c:pt>
                <c:pt idx="4">
                  <c:v>公务员</c:v>
                </c:pt>
                <c:pt idx="5">
                  <c:v>金融业务人员</c:v>
                </c:pt>
                <c:pt idx="6">
                  <c:v>文学艺术工作人员</c:v>
                </c:pt>
              </c:strCache>
            </c:strRef>
          </c:cat>
          <c:val>
            <c:numRef>
              <c:f>[合肥学院就业全库202212151008.xls]就业行业!$B$11:$H$11</c:f>
            </c:numRef>
          </c:val>
        </c:ser>
        <c:ser>
          <c:idx val="2"/>
          <c:order val="2"/>
          <c:spPr>
            <a:solidFill>
              <a:schemeClr val="accent3"/>
            </a:solidFill>
            <a:ln>
              <a:noFill/>
            </a:ln>
            <a:effectLst/>
          </c:spPr>
          <c:invertIfNegative val="0"/>
          <c:dLbls>
            <c:delete val="1"/>
          </c:dLbls>
          <c:cat>
            <c:strRef>
              <c:f>[合肥学院就业全库202212151008.xls]就业行业!$B$9:$H$9</c:f>
              <c:strCache>
                <c:ptCount val="7"/>
                <c:pt idx="0">
                  <c:v>商业和服务业人员</c:v>
                </c:pt>
                <c:pt idx="1">
                  <c:v>办事人员和有关人员</c:v>
                </c:pt>
                <c:pt idx="2">
                  <c:v>其他专业技术人员</c:v>
                </c:pt>
                <c:pt idx="3">
                  <c:v>基层工作人员</c:v>
                </c:pt>
                <c:pt idx="4">
                  <c:v>公务员</c:v>
                </c:pt>
                <c:pt idx="5">
                  <c:v>金融业务人员</c:v>
                </c:pt>
                <c:pt idx="6">
                  <c:v>文学艺术工作人员</c:v>
                </c:pt>
              </c:strCache>
            </c:strRef>
          </c:cat>
          <c:val>
            <c:numRef>
              <c:f>[合肥学院就业全库202212151008.xls]就业行业!$B$12:$H$12</c:f>
            </c:numRef>
          </c:val>
        </c:ser>
        <c:ser>
          <c:idx val="3"/>
          <c:order val="3"/>
          <c:spPr>
            <a:solidFill>
              <a:schemeClr val="accent4"/>
            </a:solidFill>
            <a:ln>
              <a:noFill/>
            </a:ln>
            <a:effectLst/>
          </c:spPr>
          <c:invertIfNegative val="0"/>
          <c:dLbls>
            <c:delete val="1"/>
          </c:dLbls>
          <c:cat>
            <c:strRef>
              <c:f>[合肥学院就业全库202212151008.xls]就业行业!$B$9:$H$9</c:f>
              <c:strCache>
                <c:ptCount val="7"/>
                <c:pt idx="0">
                  <c:v>商业和服务业人员</c:v>
                </c:pt>
                <c:pt idx="1">
                  <c:v>办事人员和有关人员</c:v>
                </c:pt>
                <c:pt idx="2">
                  <c:v>其他专业技术人员</c:v>
                </c:pt>
                <c:pt idx="3">
                  <c:v>基层工作人员</c:v>
                </c:pt>
                <c:pt idx="4">
                  <c:v>公务员</c:v>
                </c:pt>
                <c:pt idx="5">
                  <c:v>金融业务人员</c:v>
                </c:pt>
                <c:pt idx="6">
                  <c:v>文学艺术工作人员</c:v>
                </c:pt>
              </c:strCache>
            </c:strRef>
          </c:cat>
          <c:val>
            <c:numRef>
              <c:f>[合肥学院就业全库202212151008.xls]就业行业!$B$13:$H$13</c:f>
            </c:numRef>
          </c:val>
        </c:ser>
        <c:ser>
          <c:idx val="4"/>
          <c:order val="4"/>
          <c:spPr>
            <a:solidFill>
              <a:schemeClr val="accent6">
                <a:lumMod val="60000"/>
                <a:lumOff val="40000"/>
              </a:schemeClr>
            </a:solidFill>
            <a:ln>
              <a:noFill/>
            </a:ln>
            <a:effectLst/>
          </c:spPr>
          <c:invertIfNegative val="0"/>
          <c:dLbls>
            <c:delete val="1"/>
          </c:dLbls>
          <c:cat>
            <c:strRef>
              <c:f>[合肥学院就业全库202212151008.xls]就业行业!$B$9:$H$9</c:f>
              <c:strCache>
                <c:ptCount val="7"/>
                <c:pt idx="0">
                  <c:v>商业和服务业人员</c:v>
                </c:pt>
                <c:pt idx="1">
                  <c:v>办事人员和有关人员</c:v>
                </c:pt>
                <c:pt idx="2">
                  <c:v>其他专业技术人员</c:v>
                </c:pt>
                <c:pt idx="3">
                  <c:v>基层工作人员</c:v>
                </c:pt>
                <c:pt idx="4">
                  <c:v>公务员</c:v>
                </c:pt>
                <c:pt idx="5">
                  <c:v>金融业务人员</c:v>
                </c:pt>
                <c:pt idx="6">
                  <c:v>文学艺术工作人员</c:v>
                </c:pt>
              </c:strCache>
            </c:strRef>
          </c:cat>
          <c:val>
            <c:numRef>
              <c:f>[合肥学院就业全库202212151008.xls]就业行业!$B$14:$H$14</c:f>
              <c:numCache>
                <c:formatCode>General</c:formatCode>
                <c:ptCount val="7"/>
                <c:pt idx="0">
                  <c:v>33</c:v>
                </c:pt>
                <c:pt idx="1">
                  <c:v>33</c:v>
                </c:pt>
                <c:pt idx="2">
                  <c:v>5</c:v>
                </c:pt>
                <c:pt idx="3">
                  <c:v>3</c:v>
                </c:pt>
                <c:pt idx="4">
                  <c:v>1</c:v>
                </c:pt>
                <c:pt idx="5">
                  <c:v>1</c:v>
                </c:pt>
                <c:pt idx="6">
                  <c:v>1</c:v>
                </c:pt>
              </c:numCache>
            </c:numRef>
          </c:val>
        </c:ser>
        <c:dLbls>
          <c:showLegendKey val="0"/>
          <c:showVal val="0"/>
          <c:showCatName val="0"/>
          <c:showSerName val="0"/>
          <c:showPercent val="0"/>
          <c:showBubbleSize val="0"/>
        </c:dLbls>
        <c:gapWidth val="219"/>
        <c:overlap val="-27"/>
        <c:axId val="245456042"/>
        <c:axId val="683659197"/>
      </c:barChart>
      <c:catAx>
        <c:axId val="245456042"/>
        <c:scaling>
          <c:orientation val="minMax"/>
        </c:scaling>
        <c:delete val="0"/>
        <c:axPos val="b"/>
        <c:majorGridlines>
          <c:spPr>
            <a:ln w="9525" cap="flat" cmpd="sng" algn="ctr">
              <a:solidFill>
                <a:schemeClr val="tx1">
                  <a:lumMod val="15000"/>
                  <a:lumOff val="85000"/>
                </a:schemeClr>
              </a:solidFill>
              <a:round/>
            </a:ln>
            <a:effectLst/>
          </c:spPr>
        </c:majorGridlines>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683659197"/>
        <c:crosses val="autoZero"/>
        <c:auto val="1"/>
        <c:lblAlgn val="ctr"/>
        <c:lblOffset val="100"/>
        <c:noMultiLvlLbl val="0"/>
      </c:catAx>
      <c:valAx>
        <c:axId val="683659197"/>
        <c:scaling>
          <c:orientation val="minMax"/>
        </c:scaling>
        <c:delete val="0"/>
        <c:axPos val="l"/>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24545604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forceAA="0"/>
          <a:lstStyle/>
          <a:p>
            <a:pPr>
              <a:defRPr lang="zh-CN" sz="1400" b="1" i="0" u="none" strike="noStrike" kern="1200" spc="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r>
              <a:t>各专业主要工作职位类别</a:t>
            </a:r>
          </a:p>
        </c:rich>
      </c:tx>
      <c:layout/>
      <c:overlay val="0"/>
      <c:spPr>
        <a:noFill/>
        <a:ln>
          <a:noFill/>
        </a:ln>
        <a:effectLst/>
      </c:spPr>
    </c:title>
    <c:autoTitleDeleted val="0"/>
    <c:plotArea>
      <c:layout>
        <c:manualLayout>
          <c:layoutTarget val="inner"/>
          <c:xMode val="edge"/>
          <c:yMode val="edge"/>
          <c:x val="0.226242990654206"/>
          <c:y val="0.236111111111111"/>
          <c:w val="0.546342679127726"/>
          <c:h val="0.575787037037037"/>
        </c:manualLayout>
      </c:layout>
      <c:barChart>
        <c:barDir val="bar"/>
        <c:grouping val="stacked"/>
        <c:varyColors val="0"/>
        <c:ser>
          <c:idx val="0"/>
          <c:order val="0"/>
          <c:tx>
            <c:strRef>
              <c:f>[合肥学院就业全库202212151008.xls]就业行业!$B$9</c:f>
              <c:strCache>
                <c:ptCount val="1"/>
                <c:pt idx="0">
                  <c:v>商业和服务业人员</c:v>
                </c:pt>
              </c:strCache>
            </c:strRef>
          </c:tx>
          <c:spPr>
            <a:solidFill>
              <a:srgbClr val="70B19D"/>
            </a:solidFill>
            <a:ln>
              <a:noFill/>
            </a:ln>
            <a:effectLst/>
          </c:spPr>
          <c:invertIfNegative val="0"/>
          <c:dLbls>
            <c:delete val="1"/>
          </c:dLbls>
          <c:cat>
            <c:strRef>
              <c:f>[合肥学院就业全库202212151008.xls]就业行业!$A$10:$A$13</c:f>
              <c:strCache>
                <c:ptCount val="4"/>
                <c:pt idx="0">
                  <c:v>酒店管理</c:v>
                </c:pt>
                <c:pt idx="1">
                  <c:v>旅游管理</c:v>
                </c:pt>
                <c:pt idx="2">
                  <c:v>人文地理与城乡规划</c:v>
                </c:pt>
                <c:pt idx="3">
                  <c:v>旅游管理专科</c:v>
                </c:pt>
              </c:strCache>
            </c:strRef>
          </c:cat>
          <c:val>
            <c:numRef>
              <c:f>[合肥学院就业全库202212151008.xls]就业行业!$B$10:$B$13</c:f>
              <c:numCache>
                <c:formatCode>General</c:formatCode>
                <c:ptCount val="4"/>
                <c:pt idx="0">
                  <c:v>18</c:v>
                </c:pt>
                <c:pt idx="1">
                  <c:v>13</c:v>
                </c:pt>
                <c:pt idx="2">
                  <c:v>2</c:v>
                </c:pt>
                <c:pt idx="3">
                  <c:v>0</c:v>
                </c:pt>
              </c:numCache>
            </c:numRef>
          </c:val>
        </c:ser>
        <c:ser>
          <c:idx val="1"/>
          <c:order val="1"/>
          <c:tx>
            <c:strRef>
              <c:f>[合肥学院就业全库202212151008.xls]就业行业!$C$9</c:f>
              <c:strCache>
                <c:ptCount val="1"/>
                <c:pt idx="0">
                  <c:v>办事人员和有关人员</c:v>
                </c:pt>
              </c:strCache>
            </c:strRef>
          </c:tx>
          <c:spPr>
            <a:solidFill>
              <a:srgbClr val="75C7B0"/>
            </a:solidFill>
            <a:ln>
              <a:noFill/>
            </a:ln>
            <a:effectLst/>
          </c:spPr>
          <c:invertIfNegative val="0"/>
          <c:dLbls>
            <c:delete val="1"/>
          </c:dLbls>
          <c:cat>
            <c:strRef>
              <c:f>[合肥学院就业全库202212151008.xls]就业行业!$A$10:$A$13</c:f>
              <c:strCache>
                <c:ptCount val="4"/>
                <c:pt idx="0">
                  <c:v>酒店管理</c:v>
                </c:pt>
                <c:pt idx="1">
                  <c:v>旅游管理</c:v>
                </c:pt>
                <c:pt idx="2">
                  <c:v>人文地理与城乡规划</c:v>
                </c:pt>
                <c:pt idx="3">
                  <c:v>旅游管理专科</c:v>
                </c:pt>
              </c:strCache>
            </c:strRef>
          </c:cat>
          <c:val>
            <c:numRef>
              <c:f>[合肥学院就业全库202212151008.xls]就业行业!$C$10:$C$13</c:f>
              <c:numCache>
                <c:formatCode>General</c:formatCode>
                <c:ptCount val="4"/>
                <c:pt idx="0">
                  <c:v>6</c:v>
                </c:pt>
                <c:pt idx="1">
                  <c:v>9</c:v>
                </c:pt>
                <c:pt idx="2">
                  <c:v>16</c:v>
                </c:pt>
                <c:pt idx="3">
                  <c:v>2</c:v>
                </c:pt>
              </c:numCache>
            </c:numRef>
          </c:val>
        </c:ser>
        <c:ser>
          <c:idx val="2"/>
          <c:order val="2"/>
          <c:tx>
            <c:strRef>
              <c:f>[合肥学院就业全库202212151008.xls]就业行业!$D$9</c:f>
              <c:strCache>
                <c:ptCount val="1"/>
                <c:pt idx="0">
                  <c:v>其他专业技术人员</c:v>
                </c:pt>
              </c:strCache>
            </c:strRef>
          </c:tx>
          <c:spPr>
            <a:solidFill>
              <a:srgbClr val="A2D8C6"/>
            </a:solidFill>
            <a:ln>
              <a:noFill/>
            </a:ln>
            <a:effectLst/>
          </c:spPr>
          <c:invertIfNegative val="0"/>
          <c:dLbls>
            <c:delete val="1"/>
          </c:dLbls>
          <c:cat>
            <c:strRef>
              <c:f>[合肥学院就业全库202212151008.xls]就业行业!$A$10:$A$13</c:f>
              <c:strCache>
                <c:ptCount val="4"/>
                <c:pt idx="0">
                  <c:v>酒店管理</c:v>
                </c:pt>
                <c:pt idx="1">
                  <c:v>旅游管理</c:v>
                </c:pt>
                <c:pt idx="2">
                  <c:v>人文地理与城乡规划</c:v>
                </c:pt>
                <c:pt idx="3">
                  <c:v>旅游管理专科</c:v>
                </c:pt>
              </c:strCache>
            </c:strRef>
          </c:cat>
          <c:val>
            <c:numRef>
              <c:f>[合肥学院就业全库202212151008.xls]就业行业!$D$10:$D$13</c:f>
              <c:numCache>
                <c:formatCode>General</c:formatCode>
                <c:ptCount val="4"/>
                <c:pt idx="0">
                  <c:v>0</c:v>
                </c:pt>
                <c:pt idx="1">
                  <c:v>1</c:v>
                </c:pt>
                <c:pt idx="2">
                  <c:v>4</c:v>
                </c:pt>
                <c:pt idx="3">
                  <c:v>0</c:v>
                </c:pt>
              </c:numCache>
            </c:numRef>
          </c:val>
        </c:ser>
        <c:ser>
          <c:idx val="3"/>
          <c:order val="3"/>
          <c:tx>
            <c:strRef>
              <c:f>[合肥学院就业全库202212151008.xls]就业行业!$E$9</c:f>
              <c:strCache>
                <c:ptCount val="1"/>
                <c:pt idx="0">
                  <c:v>基层工作人员</c:v>
                </c:pt>
              </c:strCache>
            </c:strRef>
          </c:tx>
          <c:spPr>
            <a:solidFill>
              <a:srgbClr val="C7E3D8"/>
            </a:solidFill>
            <a:ln>
              <a:noFill/>
            </a:ln>
            <a:effectLst/>
          </c:spPr>
          <c:invertIfNegative val="0"/>
          <c:dLbls>
            <c:delete val="1"/>
          </c:dLbls>
          <c:cat>
            <c:strRef>
              <c:f>[合肥学院就业全库202212151008.xls]就业行业!$A$10:$A$13</c:f>
              <c:strCache>
                <c:ptCount val="4"/>
                <c:pt idx="0">
                  <c:v>酒店管理</c:v>
                </c:pt>
                <c:pt idx="1">
                  <c:v>旅游管理</c:v>
                </c:pt>
                <c:pt idx="2">
                  <c:v>人文地理与城乡规划</c:v>
                </c:pt>
                <c:pt idx="3">
                  <c:v>旅游管理专科</c:v>
                </c:pt>
              </c:strCache>
            </c:strRef>
          </c:cat>
          <c:val>
            <c:numRef>
              <c:f>[合肥学院就业全库202212151008.xls]就业行业!$E$10:$E$13</c:f>
              <c:numCache>
                <c:formatCode>General</c:formatCode>
                <c:ptCount val="4"/>
                <c:pt idx="0">
                  <c:v>0</c:v>
                </c:pt>
                <c:pt idx="1">
                  <c:v>1</c:v>
                </c:pt>
                <c:pt idx="2">
                  <c:v>2</c:v>
                </c:pt>
                <c:pt idx="3">
                  <c:v>0</c:v>
                </c:pt>
              </c:numCache>
            </c:numRef>
          </c:val>
        </c:ser>
        <c:ser>
          <c:idx val="4"/>
          <c:order val="4"/>
          <c:tx>
            <c:strRef>
              <c:f>[合肥学院就业全库202212151008.xls]就业行业!$F$9</c:f>
              <c:strCache>
                <c:ptCount val="1"/>
                <c:pt idx="0">
                  <c:v>公务员</c:v>
                </c:pt>
              </c:strCache>
            </c:strRef>
          </c:tx>
          <c:spPr>
            <a:solidFill>
              <a:srgbClr val="70AD47">
                <a:lumMod val="75000"/>
                <a:alpha val="59000"/>
              </a:srgbClr>
            </a:solidFill>
            <a:ln>
              <a:noFill/>
            </a:ln>
            <a:effectLst/>
          </c:spPr>
          <c:invertIfNegative val="0"/>
          <c:dLbls>
            <c:delete val="1"/>
          </c:dLbls>
          <c:cat>
            <c:strRef>
              <c:f>[合肥学院就业全库202212151008.xls]就业行业!$A$10:$A$13</c:f>
              <c:strCache>
                <c:ptCount val="4"/>
                <c:pt idx="0">
                  <c:v>酒店管理</c:v>
                </c:pt>
                <c:pt idx="1">
                  <c:v>旅游管理</c:v>
                </c:pt>
                <c:pt idx="2">
                  <c:v>人文地理与城乡规划</c:v>
                </c:pt>
                <c:pt idx="3">
                  <c:v>旅游管理专科</c:v>
                </c:pt>
              </c:strCache>
            </c:strRef>
          </c:cat>
          <c:val>
            <c:numRef>
              <c:f>[合肥学院就业全库202212151008.xls]就业行业!$F$10:$F$13</c:f>
              <c:numCache>
                <c:formatCode>General</c:formatCode>
                <c:ptCount val="4"/>
                <c:pt idx="0">
                  <c:v>0</c:v>
                </c:pt>
                <c:pt idx="1">
                  <c:v>1</c:v>
                </c:pt>
                <c:pt idx="3">
                  <c:v>0</c:v>
                </c:pt>
              </c:numCache>
            </c:numRef>
          </c:val>
        </c:ser>
        <c:ser>
          <c:idx val="5"/>
          <c:order val="5"/>
          <c:tx>
            <c:strRef>
              <c:f>[合肥学院就业全库202212151008.xls]就业行业!$G$9</c:f>
              <c:strCache>
                <c:ptCount val="1"/>
                <c:pt idx="0">
                  <c:v>金融业务人员</c:v>
                </c:pt>
              </c:strCache>
            </c:strRef>
          </c:tx>
          <c:spPr>
            <a:gradFill>
              <a:gsLst>
                <a:gs pos="100000">
                  <a:srgbClr val="9EE256"/>
                </a:gs>
                <a:gs pos="100000">
                  <a:srgbClr val="52762D"/>
                </a:gs>
              </a:gsLst>
              <a:lin ang="0" scaled="0"/>
            </a:gradFill>
            <a:ln>
              <a:noFill/>
            </a:ln>
            <a:effectLst/>
          </c:spPr>
          <c:invertIfNegative val="0"/>
          <c:dLbls>
            <c:delete val="1"/>
          </c:dLbls>
          <c:cat>
            <c:strRef>
              <c:f>[合肥学院就业全库202212151008.xls]就业行业!$A$10:$A$13</c:f>
              <c:strCache>
                <c:ptCount val="4"/>
                <c:pt idx="0">
                  <c:v>酒店管理</c:v>
                </c:pt>
                <c:pt idx="1">
                  <c:v>旅游管理</c:v>
                </c:pt>
                <c:pt idx="2">
                  <c:v>人文地理与城乡规划</c:v>
                </c:pt>
                <c:pt idx="3">
                  <c:v>旅游管理专科</c:v>
                </c:pt>
              </c:strCache>
            </c:strRef>
          </c:cat>
          <c:val>
            <c:numRef>
              <c:f>[合肥学院就业全库202212151008.xls]就业行业!$G$10:$G$13</c:f>
              <c:numCache>
                <c:formatCode>General</c:formatCode>
                <c:ptCount val="4"/>
                <c:pt idx="0">
                  <c:v>0</c:v>
                </c:pt>
                <c:pt idx="1">
                  <c:v>0</c:v>
                </c:pt>
                <c:pt idx="2">
                  <c:v>1</c:v>
                </c:pt>
                <c:pt idx="3">
                  <c:v>0</c:v>
                </c:pt>
              </c:numCache>
            </c:numRef>
          </c:val>
        </c:ser>
        <c:ser>
          <c:idx val="6"/>
          <c:order val="6"/>
          <c:tx>
            <c:strRef>
              <c:f>[合肥学院就业全库202212151008.xls]就业行业!$H$9</c:f>
              <c:strCache>
                <c:ptCount val="1"/>
                <c:pt idx="0">
                  <c:v>文学艺术工作人员</c:v>
                </c:pt>
              </c:strCache>
            </c:strRef>
          </c:tx>
          <c:spPr>
            <a:solidFill>
              <a:srgbClr val="70AD47">
                <a:lumMod val="50000"/>
                <a:alpha val="68000"/>
              </a:srgbClr>
            </a:solidFill>
            <a:ln>
              <a:noFill/>
            </a:ln>
            <a:effectLst/>
          </c:spPr>
          <c:invertIfNegative val="0"/>
          <c:dLbls>
            <c:delete val="1"/>
          </c:dLbls>
          <c:cat>
            <c:strRef>
              <c:f>[合肥学院就业全库202212151008.xls]就业行业!$A$10:$A$13</c:f>
              <c:strCache>
                <c:ptCount val="4"/>
                <c:pt idx="0">
                  <c:v>酒店管理</c:v>
                </c:pt>
                <c:pt idx="1">
                  <c:v>旅游管理</c:v>
                </c:pt>
                <c:pt idx="2">
                  <c:v>人文地理与城乡规划</c:v>
                </c:pt>
                <c:pt idx="3">
                  <c:v>旅游管理专科</c:v>
                </c:pt>
              </c:strCache>
            </c:strRef>
          </c:cat>
          <c:val>
            <c:numRef>
              <c:f>[合肥学院就业全库202212151008.xls]就业行业!$H$10:$H$13</c:f>
              <c:numCache>
                <c:formatCode>General</c:formatCode>
                <c:ptCount val="4"/>
                <c:pt idx="0">
                  <c:v>1</c:v>
                </c:pt>
                <c:pt idx="1">
                  <c:v>0</c:v>
                </c:pt>
                <c:pt idx="2">
                  <c:v>0</c:v>
                </c:pt>
                <c:pt idx="3">
                  <c:v>0</c:v>
                </c:pt>
              </c:numCache>
            </c:numRef>
          </c:val>
        </c:ser>
        <c:dLbls>
          <c:showLegendKey val="0"/>
          <c:showVal val="0"/>
          <c:showCatName val="0"/>
          <c:showSerName val="0"/>
          <c:showPercent val="0"/>
          <c:showBubbleSize val="0"/>
        </c:dLbls>
        <c:gapWidth val="71"/>
        <c:overlap val="100"/>
        <c:axId val="618013893"/>
        <c:axId val="998105187"/>
      </c:barChart>
      <c:catAx>
        <c:axId val="618013893"/>
        <c:scaling>
          <c:orientation val="minMax"/>
        </c:scaling>
        <c:delete val="0"/>
        <c:axPos val="l"/>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forceAA="0"/>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crossAx val="998105187"/>
        <c:crosses val="autoZero"/>
        <c:auto val="1"/>
        <c:lblAlgn val="ctr"/>
        <c:lblOffset val="100"/>
        <c:noMultiLvlLbl val="0"/>
      </c:catAx>
      <c:valAx>
        <c:axId val="998105187"/>
        <c:scaling>
          <c:orientation val="minMax"/>
        </c:scaling>
        <c:delete val="0"/>
        <c:axPos val="b"/>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0" vertOverflow="ellipsis" vert="horz" wrap="square" anchor="ctr" anchorCtr="1" forceAA="0"/>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crossAx val="618013893"/>
        <c:crosses val="autoZero"/>
        <c:crossBetween val="between"/>
      </c:valAx>
      <c:spPr>
        <a:noFill/>
        <a:ln>
          <a:noFill/>
        </a:ln>
        <a:effectLst/>
      </c:spPr>
    </c:plotArea>
    <c:legend>
      <c:legendPos val="r"/>
      <c:layout>
        <c:manualLayout>
          <c:xMode val="edge"/>
          <c:yMode val="edge"/>
          <c:x val="0.832398753894081"/>
          <c:y val="0.0972222222222222"/>
          <c:w val="0.150903426791277"/>
          <c:h val="0.864583333333333"/>
        </c:manualLayout>
      </c:layout>
      <c:overlay val="0"/>
      <c:spPr>
        <a:noFill/>
        <a:ln>
          <a:noFill/>
        </a:ln>
        <a:effectLst/>
      </c:spPr>
      <c:txPr>
        <a:bodyPr rot="0" spcFirstLastPara="0" vertOverflow="ellipsis" vert="horz" wrap="square" anchor="ctr" anchorCtr="1" forceAA="0"/>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legend>
    <c:plotVisOnly val="1"/>
    <c:dispBlanksAs val="gap"/>
    <c:showDLblsOverMax val="0"/>
  </c:chart>
  <c:spPr>
    <a:solidFill>
      <a:sysClr val="window" lastClr="FFFFFF"/>
    </a:solidFill>
    <a:ln w="3175" cap="flat" cmpd="sng" algn="ctr">
      <a:solidFill>
        <a:srgbClr val="E7E6E6"/>
      </a:solidFill>
      <a:round/>
    </a:ln>
    <a:effectLst>
      <a:outerShdw blurRad="63500" dist="37357" dir="2700000" sx="0" sy="0" rotWithShape="0">
        <a:scrgbClr r="0" g="0" b="0"/>
      </a:outerShdw>
    </a:effectLst>
  </c:spPr>
  <c:txPr>
    <a:bodyPr/>
    <a:lstStyle/>
    <a:p>
      <a:pPr>
        <a:defRPr lang="zh-CN">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zh-CN" sz="1800" b="1" i="0" u="none" strike="noStrike" kern="1200" baseline="0">
                <a:solidFill>
                  <a:schemeClr val="tx1"/>
                </a:solidFill>
                <a:latin typeface="+mn-lt"/>
                <a:ea typeface="+mn-ea"/>
                <a:cs typeface="+mn-cs"/>
              </a:defRPr>
            </a:pPr>
            <a:r>
              <a:rPr lang="zh-CN" altLang="en-US"/>
              <a:t>网络工程就业行业分布图 </a:t>
            </a:r>
            <a:endParaRPr lang="zh-CN" altLang="en-US"/>
          </a:p>
        </c:rich>
      </c:tx>
      <c:layout/>
      <c:overlay val="0"/>
    </c:title>
    <c:autoTitleDeleted val="0"/>
    <c:plotArea>
      <c:layout>
        <c:manualLayout>
          <c:layoutTarget val="inner"/>
          <c:xMode val="edge"/>
          <c:yMode val="edge"/>
          <c:x val="0.0582897099336216"/>
          <c:y val="0.1691018897331"/>
          <c:w val="0.486401925391095"/>
          <c:h val="0.787914230019493"/>
        </c:manualLayout>
      </c:layout>
      <c:pieChart>
        <c:varyColors val="1"/>
        <c:ser>
          <c:idx val="0"/>
          <c:order val="0"/>
          <c:tx>
            <c:strRef>
              <c:f>[合肥学院就业全库202212191056.xls]Sheet8!$B$1:$B$2</c:f>
              <c:strCache>
                <c:ptCount val="1"/>
                <c:pt idx="0">
                  <c:v>网络工程就业行业分布图 汇总</c:v>
                </c:pt>
              </c:strCache>
            </c:strRef>
          </c:tx>
          <c:explosion val="0"/>
          <c:dPt>
            <c:idx val="0"/>
            <c:bubble3D val="0"/>
          </c:dPt>
          <c:dPt>
            <c:idx val="1"/>
            <c:bubble3D val="0"/>
          </c:dPt>
          <c:dPt>
            <c:idx val="2"/>
            <c:bubble3D val="0"/>
          </c:dPt>
          <c:dPt>
            <c:idx val="3"/>
            <c:bubble3D val="0"/>
          </c:dPt>
          <c:dPt>
            <c:idx val="4"/>
            <c:bubble3D val="0"/>
          </c:dPt>
          <c:dPt>
            <c:idx val="5"/>
            <c:bubble3D val="0"/>
          </c:dPt>
          <c:dPt>
            <c:idx val="6"/>
            <c:bubble3D val="0"/>
          </c:dPt>
          <c:dPt>
            <c:idx val="7"/>
            <c:bubble3D val="0"/>
          </c:dPt>
          <c:dPt>
            <c:idx val="8"/>
            <c:bubble3D val="0"/>
          </c:dPt>
          <c:dPt>
            <c:idx val="9"/>
            <c:bubble3D val="0"/>
          </c:dPt>
          <c:dPt>
            <c:idx val="10"/>
            <c:bubble3D val="0"/>
          </c:dPt>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solidFill>
                    <a:latin typeface="+mn-lt"/>
                    <a:ea typeface="+mn-ea"/>
                    <a:cs typeface="+mn-cs"/>
                  </a:defRPr>
                </a:pPr>
              </a:p>
            </c:txPr>
            <c:dLblPos val="inEnd"/>
            <c:showLegendKey val="0"/>
            <c:showVal val="0"/>
            <c:showCatName val="0"/>
            <c:showSerName val="0"/>
            <c:showPercent val="1"/>
            <c:showBubbleSize val="0"/>
            <c:showLeaderLines val="1"/>
            <c:extLst>
              <c:ext xmlns:c15="http://schemas.microsoft.com/office/drawing/2012/chart" uri="{CE6537A1-D6FC-4f65-9D91-7224C49458BB}">
                <c15:layout/>
                <c15:showLeaderLines val="1"/>
                <c15:leaderLines/>
              </c:ext>
            </c:extLst>
          </c:dLbls>
          <c:cat>
            <c:strRef>
              <c:f>[合肥学院就业全库202212191056.xls]Sheet8!$A$3:$A$13</c:f>
              <c:strCache>
                <c:ptCount val="11"/>
                <c:pt idx="0">
                  <c:v>电力、热力、燃气及水生产和供应业</c:v>
                </c:pt>
                <c:pt idx="1">
                  <c:v>交通运输、仓储和邮政业</c:v>
                </c:pt>
                <c:pt idx="2">
                  <c:v>金融业</c:v>
                </c:pt>
                <c:pt idx="3">
                  <c:v>科学研究和技术服务业</c:v>
                </c:pt>
                <c:pt idx="4">
                  <c:v>农、林、牧、渔业</c:v>
                </c:pt>
                <c:pt idx="5">
                  <c:v>批发和零售业</c:v>
                </c:pt>
                <c:pt idx="6">
                  <c:v>文化、体育和娱乐业</c:v>
                </c:pt>
                <c:pt idx="7">
                  <c:v>信息传输、软件和信息技术服务业</c:v>
                </c:pt>
                <c:pt idx="8">
                  <c:v>制造业</c:v>
                </c:pt>
                <c:pt idx="9">
                  <c:v>住宿和餐饮业</c:v>
                </c:pt>
                <c:pt idx="10">
                  <c:v>租赁和商务服务业</c:v>
                </c:pt>
              </c:strCache>
            </c:strRef>
          </c:cat>
          <c:val>
            <c:numRef>
              <c:f>[合肥学院就业全库202212191056.xls]Sheet8!$B$3:$B$13</c:f>
              <c:numCache>
                <c:formatCode>0.00%</c:formatCode>
                <c:ptCount val="11"/>
                <c:pt idx="0">
                  <c:v>0.027027027027027</c:v>
                </c:pt>
                <c:pt idx="1">
                  <c:v>0.0135135135135135</c:v>
                </c:pt>
                <c:pt idx="2">
                  <c:v>0.0135135135135135</c:v>
                </c:pt>
                <c:pt idx="3">
                  <c:v>0.0945945945945946</c:v>
                </c:pt>
                <c:pt idx="4">
                  <c:v>0.027027027027027</c:v>
                </c:pt>
                <c:pt idx="5">
                  <c:v>0.0405405405405405</c:v>
                </c:pt>
                <c:pt idx="6">
                  <c:v>0.0675675675675676</c:v>
                </c:pt>
                <c:pt idx="7">
                  <c:v>0.621621621621622</c:v>
                </c:pt>
                <c:pt idx="8">
                  <c:v>0.0675675675675676</c:v>
                </c:pt>
                <c:pt idx="9">
                  <c:v>0.0135135135135135</c:v>
                </c:pt>
                <c:pt idx="10">
                  <c:v>0.0135135135135135</c:v>
                </c:pt>
              </c:numCache>
            </c:numRef>
          </c:val>
        </c:ser>
        <c:dLbls>
          <c:showLegendKey val="0"/>
          <c:showVal val="0"/>
          <c:showCatName val="0"/>
          <c:showSerName val="0"/>
          <c:showPercent val="1"/>
          <c:showBubbleSize val="0"/>
          <c:showLeaderLines val="1"/>
        </c:dLbls>
        <c:firstSliceAng val="0"/>
      </c:pieChart>
    </c:plotArea>
    <c:legend>
      <c:legendPos val="r"/>
      <c:layout>
        <c:manualLayout>
          <c:xMode val="edge"/>
          <c:yMode val="edge"/>
          <c:x val="0.560446667993216"/>
          <c:y val="0.237415457492127"/>
          <c:w val="0.436065573770492"/>
          <c:h val="0.69828302712161"/>
        </c:manualLayout>
      </c:layout>
      <c:overlay val="0"/>
      <c:txPr>
        <a:bodyPr rot="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legend>
    <c:plotVisOnly val="1"/>
    <c:dispBlanksAs val="gap"/>
    <c:showDLblsOverMax val="0"/>
  </c:chart>
  <c:txPr>
    <a:bodyPr/>
    <a:lstStyle/>
    <a:p>
      <a:pPr>
        <a:defRPr lang="zh-CN"/>
      </a:pPr>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zh-CN" sz="1800" b="1" i="0" u="none" strike="noStrike" kern="1200" baseline="0">
                <a:solidFill>
                  <a:schemeClr val="tx1"/>
                </a:solidFill>
                <a:latin typeface="+mn-lt"/>
                <a:ea typeface="+mn-ea"/>
                <a:cs typeface="+mn-cs"/>
              </a:defRPr>
            </a:pPr>
            <a:r>
              <a:rPr lang="zh-CN" altLang="en-US"/>
              <a:t>数学与应用数学就业行业分布图 </a:t>
            </a:r>
            <a:endParaRPr lang="zh-CN" altLang="en-US"/>
          </a:p>
        </c:rich>
      </c:tx>
      <c:layout/>
      <c:overlay val="0"/>
    </c:title>
    <c:autoTitleDeleted val="0"/>
    <c:plotArea>
      <c:layout>
        <c:manualLayout>
          <c:layoutTarget val="inner"/>
          <c:xMode val="edge"/>
          <c:yMode val="edge"/>
          <c:x val="0.0788843723054474"/>
          <c:y val="0.192417143509235"/>
          <c:w val="0.478850829566882"/>
          <c:h val="0.807582856490765"/>
        </c:manualLayout>
      </c:layout>
      <c:pieChart>
        <c:varyColors val="1"/>
        <c:ser>
          <c:idx val="0"/>
          <c:order val="0"/>
          <c:tx>
            <c:strRef>
              <c:f>[合肥学院就业全库202212191056.xls]Sheet9!$B$1:$B$2</c:f>
              <c:strCache>
                <c:ptCount val="1"/>
                <c:pt idx="0">
                  <c:v>数学与应用数学就业行业分布图 汇总</c:v>
                </c:pt>
              </c:strCache>
            </c:strRef>
          </c:tx>
          <c:explosion val="0"/>
          <c:dPt>
            <c:idx val="0"/>
            <c:bubble3D val="0"/>
          </c:dPt>
          <c:dPt>
            <c:idx val="1"/>
            <c:bubble3D val="0"/>
          </c:dPt>
          <c:dPt>
            <c:idx val="2"/>
            <c:bubble3D val="0"/>
          </c:dPt>
          <c:dPt>
            <c:idx val="3"/>
            <c:bubble3D val="0"/>
          </c:dPt>
          <c:dPt>
            <c:idx val="4"/>
            <c:bubble3D val="0"/>
          </c:dPt>
          <c:dPt>
            <c:idx val="5"/>
            <c:bubble3D val="0"/>
          </c:dPt>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solidFill>
                    <a:latin typeface="+mn-lt"/>
                    <a:ea typeface="+mn-ea"/>
                    <a:cs typeface="+mn-cs"/>
                  </a:defRPr>
                </a:pPr>
              </a:p>
            </c:txPr>
            <c:dLblPos val="bestFit"/>
            <c:showLegendKey val="0"/>
            <c:showVal val="0"/>
            <c:showCatName val="0"/>
            <c:showSerName val="0"/>
            <c:showPercent val="1"/>
            <c:showBubbleSize val="0"/>
            <c:showLeaderLines val="1"/>
            <c:extLst>
              <c:ext xmlns:c15="http://schemas.microsoft.com/office/drawing/2012/chart" uri="{CE6537A1-D6FC-4f65-9D91-7224C49458BB}">
                <c15:layout/>
                <c15:showLeaderLines val="1"/>
                <c15:leaderLines/>
              </c:ext>
            </c:extLst>
          </c:dLbls>
          <c:cat>
            <c:strRef>
              <c:f>[合肥学院就业全库202212191056.xls]Sheet9!$A$3:$A$8</c:f>
              <c:strCache>
                <c:ptCount val="6"/>
                <c:pt idx="0">
                  <c:v>房地产业</c:v>
                </c:pt>
                <c:pt idx="1">
                  <c:v>教育</c:v>
                </c:pt>
                <c:pt idx="2">
                  <c:v>居民服务、修理和其他服务业</c:v>
                </c:pt>
                <c:pt idx="3">
                  <c:v>批发和零售业</c:v>
                </c:pt>
                <c:pt idx="4">
                  <c:v>信息传输、软件和信息技术服务业</c:v>
                </c:pt>
                <c:pt idx="5">
                  <c:v>制造业</c:v>
                </c:pt>
              </c:strCache>
            </c:strRef>
          </c:cat>
          <c:val>
            <c:numRef>
              <c:f>[合肥学院就业全库202212191056.xls]Sheet9!$B$3:$B$8</c:f>
              <c:numCache>
                <c:formatCode>0.00%</c:formatCode>
                <c:ptCount val="6"/>
                <c:pt idx="0">
                  <c:v>0.0517241379310345</c:v>
                </c:pt>
                <c:pt idx="1">
                  <c:v>0.551724137931034</c:v>
                </c:pt>
                <c:pt idx="2">
                  <c:v>0.0517241379310345</c:v>
                </c:pt>
                <c:pt idx="3">
                  <c:v>0.0689655172413793</c:v>
                </c:pt>
                <c:pt idx="4">
                  <c:v>0.0862068965517241</c:v>
                </c:pt>
                <c:pt idx="5">
                  <c:v>0.189655172413793</c:v>
                </c:pt>
              </c:numCache>
            </c:numRef>
          </c:val>
        </c:ser>
        <c:dLbls>
          <c:showLegendKey val="0"/>
          <c:showVal val="0"/>
          <c:showCatName val="0"/>
          <c:showSerName val="0"/>
          <c:showPercent val="1"/>
          <c:showBubbleSize val="0"/>
          <c:showLeaderLines val="1"/>
        </c:dLbls>
        <c:firstSliceAng val="0"/>
      </c:pieChart>
    </c:plotArea>
    <c:legend>
      <c:legendPos val="r"/>
      <c:layout>
        <c:manualLayout>
          <c:xMode val="edge"/>
          <c:yMode val="edge"/>
          <c:x val="0.569031713996039"/>
          <c:y val="0.224277364603472"/>
          <c:w val="0.416520841032055"/>
          <c:h val="0.71945149324574"/>
        </c:manualLayout>
      </c:layout>
      <c:overlay val="0"/>
      <c:txPr>
        <a:bodyPr rot="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legend>
    <c:plotVisOnly val="1"/>
    <c:dispBlanksAs val="gap"/>
    <c:showDLblsOverMax val="0"/>
  </c:chart>
  <c:txPr>
    <a:bodyPr/>
    <a:lstStyle/>
    <a:p>
      <a:pPr>
        <a:defRPr lang="zh-CN"/>
      </a:pPr>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zh-CN" sz="1800" b="1" i="0" u="none" strike="noStrike" kern="1200" baseline="0">
                <a:solidFill>
                  <a:schemeClr val="tx1"/>
                </a:solidFill>
                <a:latin typeface="+mn-lt"/>
                <a:ea typeface="+mn-ea"/>
                <a:cs typeface="+mn-cs"/>
              </a:defRPr>
            </a:pPr>
            <a:r>
              <a:rPr lang="zh-CN" altLang="en-US"/>
              <a:t>信息与计算科学就业行业分布图 </a:t>
            </a:r>
            <a:endParaRPr lang="zh-CN" altLang="en-US"/>
          </a:p>
        </c:rich>
      </c:tx>
      <c:layout/>
      <c:overlay val="0"/>
    </c:title>
    <c:autoTitleDeleted val="0"/>
    <c:plotArea>
      <c:layout>
        <c:manualLayout>
          <c:layoutTarget val="inner"/>
          <c:xMode val="edge"/>
          <c:yMode val="edge"/>
          <c:x val="0.0859805358426031"/>
          <c:y val="0.184210526315789"/>
          <c:w val="0.435860409145608"/>
          <c:h val="0.769002123142251"/>
        </c:manualLayout>
      </c:layout>
      <c:pieChart>
        <c:varyColors val="1"/>
        <c:ser>
          <c:idx val="0"/>
          <c:order val="0"/>
          <c:tx>
            <c:strRef>
              <c:f>[合肥学院就业全库202212191056.xls]Sheet10!$B$1:$B$2</c:f>
              <c:strCache>
                <c:ptCount val="1"/>
                <c:pt idx="0">
                  <c:v>信息与计算科学就业行业分布图 汇总</c:v>
                </c:pt>
              </c:strCache>
            </c:strRef>
          </c:tx>
          <c:explosion val="0"/>
          <c:dPt>
            <c:idx val="0"/>
            <c:bubble3D val="0"/>
          </c:dPt>
          <c:dPt>
            <c:idx val="1"/>
            <c:bubble3D val="0"/>
          </c:dPt>
          <c:dPt>
            <c:idx val="2"/>
            <c:bubble3D val="0"/>
          </c:dPt>
          <c:dPt>
            <c:idx val="3"/>
            <c:bubble3D val="0"/>
          </c:dPt>
          <c:dPt>
            <c:idx val="4"/>
            <c:bubble3D val="0"/>
          </c:dPt>
          <c:dPt>
            <c:idx val="5"/>
            <c:bubble3D val="0"/>
          </c:dPt>
          <c:dPt>
            <c:idx val="6"/>
            <c:bubble3D val="0"/>
          </c:dPt>
          <c:dPt>
            <c:idx val="7"/>
            <c:bubble3D val="0"/>
          </c:dPt>
          <c:dPt>
            <c:idx val="8"/>
            <c:bubble3D val="0"/>
          </c:dPt>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solidFill>
                    <a:latin typeface="+mn-lt"/>
                    <a:ea typeface="+mn-ea"/>
                    <a:cs typeface="+mn-cs"/>
                  </a:defRPr>
                </a:pPr>
              </a:p>
            </c:txPr>
            <c:dLblPos val="inEnd"/>
            <c:showLegendKey val="0"/>
            <c:showVal val="0"/>
            <c:showCatName val="0"/>
            <c:showSerName val="0"/>
            <c:showPercent val="1"/>
            <c:showBubbleSize val="0"/>
            <c:showLeaderLines val="1"/>
            <c:extLst>
              <c:ext xmlns:c15="http://schemas.microsoft.com/office/drawing/2012/chart" uri="{CE6537A1-D6FC-4f65-9D91-7224C49458BB}">
                <c15:layout/>
                <c15:showLeaderLines val="1"/>
                <c15:leaderLines/>
              </c:ext>
            </c:extLst>
          </c:dLbls>
          <c:cat>
            <c:strRef>
              <c:f>[合肥学院就业全库202212191056.xls]Sheet10!$A$3:$A$11</c:f>
              <c:strCache>
                <c:ptCount val="9"/>
                <c:pt idx="0">
                  <c:v>房地产业</c:v>
                </c:pt>
                <c:pt idx="1">
                  <c:v>建筑业</c:v>
                </c:pt>
                <c:pt idx="2">
                  <c:v>交通运输、仓储和邮政业</c:v>
                </c:pt>
                <c:pt idx="3">
                  <c:v>教育</c:v>
                </c:pt>
                <c:pt idx="4">
                  <c:v>居民服务、修理和其他服务业</c:v>
                </c:pt>
                <c:pt idx="5">
                  <c:v>科学研究和技术服务业</c:v>
                </c:pt>
                <c:pt idx="6">
                  <c:v>批发和零售业</c:v>
                </c:pt>
                <c:pt idx="7">
                  <c:v>信息传输、软件和信息技术服务业</c:v>
                </c:pt>
                <c:pt idx="8">
                  <c:v>制造业</c:v>
                </c:pt>
              </c:strCache>
            </c:strRef>
          </c:cat>
          <c:val>
            <c:numRef>
              <c:f>[合肥学院就业全库202212191056.xls]Sheet10!$B$3:$B$11</c:f>
              <c:numCache>
                <c:formatCode>0.00%</c:formatCode>
                <c:ptCount val="9"/>
                <c:pt idx="0">
                  <c:v>0.0588235294117647</c:v>
                </c:pt>
                <c:pt idx="1">
                  <c:v>0.0294117647058824</c:v>
                </c:pt>
                <c:pt idx="2">
                  <c:v>0.0294117647058824</c:v>
                </c:pt>
                <c:pt idx="3">
                  <c:v>0.147058823529412</c:v>
                </c:pt>
                <c:pt idx="4">
                  <c:v>0.0294117647058824</c:v>
                </c:pt>
                <c:pt idx="5">
                  <c:v>0.176470588235294</c:v>
                </c:pt>
                <c:pt idx="6">
                  <c:v>0.0588235294117647</c:v>
                </c:pt>
                <c:pt idx="7">
                  <c:v>0.441176470588235</c:v>
                </c:pt>
                <c:pt idx="8">
                  <c:v>0.0294117647058824</c:v>
                </c:pt>
              </c:numCache>
            </c:numRef>
          </c:val>
        </c:ser>
        <c:dLbls>
          <c:showLegendKey val="0"/>
          <c:showVal val="0"/>
          <c:showCatName val="0"/>
          <c:showSerName val="0"/>
          <c:showPercent val="1"/>
          <c:showBubbleSize val="0"/>
          <c:showLeaderLines val="1"/>
        </c:dLbls>
        <c:firstSliceAng val="0"/>
      </c:pieChart>
    </c:plotArea>
    <c:legend>
      <c:legendPos val="r"/>
      <c:layout>
        <c:manualLayout>
          <c:xMode val="edge"/>
          <c:yMode val="edge"/>
          <c:x val="0.582249431679215"/>
          <c:y val="0.163350682859558"/>
          <c:w val="0.404929933962926"/>
          <c:h val="0.795332532585969"/>
        </c:manualLayout>
      </c:layout>
      <c:overlay val="0"/>
      <c:txPr>
        <a:bodyPr rot="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legend>
    <c:plotVisOnly val="1"/>
    <c:dispBlanksAs val="gap"/>
    <c:showDLblsOverMax val="0"/>
  </c:chart>
  <c:txPr>
    <a:bodyPr/>
    <a:lstStyle/>
    <a:p>
      <a:pPr>
        <a:defRPr lang="zh-CN"/>
      </a:pPr>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zh-CN" sz="1800" b="1" i="0" u="none" strike="noStrike" kern="1200" baseline="0">
                <a:solidFill>
                  <a:schemeClr val="tx1"/>
                </a:solidFill>
                <a:latin typeface="+mn-lt"/>
                <a:ea typeface="+mn-ea"/>
                <a:cs typeface="+mn-cs"/>
              </a:defRPr>
            </a:pPr>
            <a:r>
              <a:rPr lang="zh-CN" altLang="en-US"/>
              <a:t>信息管理与信息系统就业行业分布图</a:t>
            </a:r>
            <a:endParaRPr lang="zh-CN" altLang="en-US"/>
          </a:p>
        </c:rich>
      </c:tx>
      <c:layout/>
      <c:overlay val="0"/>
    </c:title>
    <c:autoTitleDeleted val="0"/>
    <c:plotArea>
      <c:layout/>
      <c:pieChart>
        <c:varyColors val="1"/>
        <c:ser>
          <c:idx val="0"/>
          <c:order val="0"/>
          <c:explosion val="0"/>
          <c:dPt>
            <c:idx val="0"/>
            <c:bubble3D val="0"/>
          </c:dPt>
          <c:dPt>
            <c:idx val="1"/>
            <c:bubble3D val="0"/>
          </c:dPt>
          <c:dPt>
            <c:idx val="2"/>
            <c:bubble3D val="0"/>
          </c:dPt>
          <c:dPt>
            <c:idx val="3"/>
            <c:bubble3D val="0"/>
          </c:dPt>
          <c:dPt>
            <c:idx val="4"/>
            <c:bubble3D val="0"/>
          </c:dPt>
          <c:dPt>
            <c:idx val="5"/>
            <c:bubble3D val="0"/>
          </c:dPt>
          <c:dPt>
            <c:idx val="6"/>
            <c:bubble3D val="0"/>
          </c:dPt>
          <c:dPt>
            <c:idx val="7"/>
            <c:bubble3D val="0"/>
          </c:dPt>
          <c:dPt>
            <c:idx val="8"/>
            <c:bubble3D val="0"/>
          </c:dPt>
          <c:dPt>
            <c:idx val="9"/>
            <c:bubble3D val="0"/>
          </c:dPt>
          <c:dPt>
            <c:idx val="10"/>
            <c:bubble3D val="0"/>
          </c:dPt>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solidFill>
                    <a:latin typeface="+mn-lt"/>
                    <a:ea typeface="+mn-ea"/>
                    <a:cs typeface="+mn-cs"/>
                  </a:defRPr>
                </a:pPr>
              </a:p>
            </c:txPr>
            <c:dLblPos val="inEnd"/>
            <c:showLegendKey val="0"/>
            <c:showVal val="0"/>
            <c:showCatName val="0"/>
            <c:showSerName val="0"/>
            <c:showPercent val="1"/>
            <c:showBubbleSize val="0"/>
            <c:showLeaderLines val="1"/>
            <c:extLst>
              <c:ext xmlns:c15="http://schemas.microsoft.com/office/drawing/2012/chart" uri="{CE6537A1-D6FC-4f65-9D91-7224C49458BB}">
                <c15:layout/>
                <c15:showLeaderLines val="1"/>
                <c15:leaderLines/>
              </c:ext>
            </c:extLst>
          </c:dLbls>
          <c:cat>
            <c:strRef>
              <c:f>[合肥学院就业全库202212191056.xls]Sheet11!$A$2:$A$12</c:f>
              <c:strCache>
                <c:ptCount val="11"/>
                <c:pt idx="0">
                  <c:v>建筑业</c:v>
                </c:pt>
                <c:pt idx="1">
                  <c:v>交通运输、仓储和邮政业</c:v>
                </c:pt>
                <c:pt idx="2">
                  <c:v>教育</c:v>
                </c:pt>
                <c:pt idx="3">
                  <c:v>金融业</c:v>
                </c:pt>
                <c:pt idx="4">
                  <c:v>居民服务、修理和其他服务业</c:v>
                </c:pt>
                <c:pt idx="5">
                  <c:v>科学研究和技术服务业</c:v>
                </c:pt>
                <c:pt idx="6">
                  <c:v>农、林、牧、渔业</c:v>
                </c:pt>
                <c:pt idx="7">
                  <c:v>批发和零售业</c:v>
                </c:pt>
                <c:pt idx="8">
                  <c:v>信息传输、软件和信息技术服务业</c:v>
                </c:pt>
                <c:pt idx="9">
                  <c:v>制造业</c:v>
                </c:pt>
                <c:pt idx="10">
                  <c:v>租赁和商务服务业</c:v>
                </c:pt>
              </c:strCache>
            </c:strRef>
          </c:cat>
          <c:val>
            <c:numRef>
              <c:f>[合肥学院就业全库202212191056.xls]Sheet11!$B$2:$B$12</c:f>
              <c:numCache>
                <c:formatCode>0.00%</c:formatCode>
                <c:ptCount val="11"/>
                <c:pt idx="0">
                  <c:v>0.0657894736842105</c:v>
                </c:pt>
                <c:pt idx="1">
                  <c:v>0.0131578947368421</c:v>
                </c:pt>
                <c:pt idx="2">
                  <c:v>0.0526315789473684</c:v>
                </c:pt>
                <c:pt idx="3">
                  <c:v>0.0526315789473684</c:v>
                </c:pt>
                <c:pt idx="4">
                  <c:v>0.0131578947368421</c:v>
                </c:pt>
                <c:pt idx="5">
                  <c:v>0.0394736842105263</c:v>
                </c:pt>
                <c:pt idx="6">
                  <c:v>0.0263157894736842</c:v>
                </c:pt>
                <c:pt idx="7">
                  <c:v>0.0921052631578947</c:v>
                </c:pt>
                <c:pt idx="8">
                  <c:v>0.539473684210526</c:v>
                </c:pt>
                <c:pt idx="9">
                  <c:v>0.0657894736842105</c:v>
                </c:pt>
                <c:pt idx="10">
                  <c:v>0.0394736842105263</c:v>
                </c:pt>
              </c:numCache>
            </c:numRef>
          </c:val>
        </c:ser>
        <c:dLbls>
          <c:showLegendKey val="0"/>
          <c:showVal val="0"/>
          <c:showCatName val="0"/>
          <c:showSerName val="0"/>
          <c:showPercent val="1"/>
          <c:showBubbleSize val="0"/>
          <c:showLeaderLines val="1"/>
        </c:dLbls>
        <c:firstSliceAng val="0"/>
      </c:pieChart>
    </c:plotArea>
    <c:legend>
      <c:legendPos val="r"/>
      <c:layout>
        <c:manualLayout>
          <c:xMode val="edge"/>
          <c:yMode val="edge"/>
          <c:x val="0.557704786901637"/>
          <c:y val="0.177908491168334"/>
          <c:w val="0.42959680039995"/>
          <c:h val="0.760939774420089"/>
        </c:manualLayout>
      </c:layout>
      <c:overlay val="0"/>
      <c:txPr>
        <a:bodyPr rot="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legend>
    <c:plotVisOnly val="1"/>
    <c:dispBlanksAs val="gap"/>
    <c:showDLblsOverMax val="0"/>
  </c:chart>
  <c:txPr>
    <a:bodyPr/>
    <a:lstStyle/>
    <a:p>
      <a:pPr>
        <a:defRPr lang="zh-CN"/>
      </a:pPr>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layout>
        <c:manualLayout>
          <c:xMode val="edge"/>
          <c:yMode val="edge"/>
          <c:x val="0.651601252106911"/>
          <c:y val="0.0454076367389061"/>
        </c:manualLayout>
      </c:layout>
      <c:overlay val="0"/>
      <c:spPr>
        <a:noFill/>
        <a:ln>
          <a:noFill/>
        </a:ln>
        <a:effectLst/>
      </c:spPr>
      <c:txPr>
        <a:bodyPr rot="0" spcFirstLastPara="1" vertOverflow="ellipsis" vert="horz" wrap="square" anchor="ctr" anchorCtr="1"/>
        <a:lstStyle/>
        <a:p>
          <a:pPr algn="r">
            <a:defRPr lang="zh-CN" sz="1600" b="1" i="0" u="none" strike="noStrike" kern="1200" spc="0" normalizeH="0" baseline="0">
              <a:solidFill>
                <a:schemeClr val="dk1">
                  <a:lumMod val="50000"/>
                  <a:lumOff val="50000"/>
                </a:schemeClr>
              </a:solidFill>
              <a:latin typeface="+mj-lt"/>
              <a:ea typeface="+mj-ea"/>
              <a:cs typeface="+mj-cs"/>
            </a:defRPr>
          </a:pPr>
        </a:p>
      </c:txPr>
    </c:title>
    <c:autoTitleDeleted val="0"/>
    <c:plotArea>
      <c:layout/>
      <c:pieChart>
        <c:varyColors val="1"/>
        <c:ser>
          <c:idx val="0"/>
          <c:order val="0"/>
          <c:tx>
            <c:strRef>
              <c:f>Sheet1!$B$1</c:f>
              <c:strCache>
                <c:ptCount val="1"/>
                <c:pt idx="0">
                  <c:v>整体就业情况分布</c:v>
                </c:pt>
              </c:strCache>
            </c:strRef>
          </c:tx>
          <c:spPr/>
          <c:explosion val="0"/>
          <c:dPt>
            <c:idx val="0"/>
            <c:bubble3D val="0"/>
            <c:spPr>
              <a:solidFill>
                <a:schemeClr val="accent1"/>
              </a:solidFill>
              <a:ln w="19050">
                <a:solidFill>
                  <a:schemeClr val="lt1"/>
                </a:solidFill>
              </a:ln>
              <a:effectLst/>
            </c:spPr>
          </c:dPt>
          <c:dPt>
            <c:idx val="1"/>
            <c:bubble3D val="0"/>
            <c:spPr>
              <a:gradFill>
                <a:gsLst>
                  <a:gs pos="100000">
                    <a:schemeClr val="accent2">
                      <a:lumMod val="60000"/>
                      <a:lumOff val="40000"/>
                    </a:schemeClr>
                  </a:gs>
                  <a:gs pos="0">
                    <a:schemeClr val="accent2"/>
                  </a:gs>
                </a:gsLst>
                <a:lin ang="5400000" scaled="0"/>
              </a:gradFill>
              <a:ln w="19050">
                <a:solidFill>
                  <a:schemeClr val="lt1"/>
                </a:solidFill>
              </a:ln>
              <a:effectLst/>
            </c:spPr>
          </c:dPt>
          <c:dPt>
            <c:idx val="2"/>
            <c:bubble3D val="0"/>
            <c:spPr>
              <a:gradFill>
                <a:gsLst>
                  <a:gs pos="100000">
                    <a:schemeClr val="accent3">
                      <a:lumMod val="60000"/>
                      <a:lumOff val="40000"/>
                    </a:schemeClr>
                  </a:gs>
                  <a:gs pos="0">
                    <a:schemeClr val="accent3"/>
                  </a:gs>
                </a:gsLst>
                <a:lin ang="5400000" scaled="0"/>
              </a:gradFill>
              <a:ln w="19050">
                <a:solidFill>
                  <a:schemeClr val="lt1"/>
                </a:solidFill>
              </a:ln>
              <a:effectLst/>
            </c:spPr>
          </c:dPt>
          <c:dPt>
            <c:idx val="3"/>
            <c:bubble3D val="0"/>
            <c:spPr>
              <a:solidFill>
                <a:schemeClr val="accent6"/>
              </a:solidFill>
              <a:ln w="19050">
                <a:solidFill>
                  <a:schemeClr val="lt1"/>
                </a:solidFill>
              </a:ln>
              <a:effectLst/>
            </c:spPr>
          </c:dPt>
          <c:dLbls>
            <c:dLbl>
              <c:idx val="0"/>
              <c:layout>
                <c:manualLayout>
                  <c:x val="-0.141527706941761"/>
                  <c:y val="-0.278082933131811"/>
                </c:manualLayout>
              </c:layout>
              <c:tx>
                <c:rich>
                  <a:bodyPr rot="0" spcFirstLastPara="1" vertOverflow="ellipsis" vert="horz" wrap="square" lIns="38100" tIns="19050" rIns="38100" bIns="19050" anchor="ctr" anchorCtr="1"/>
                  <a:lstStyle/>
                  <a:p>
                    <a:pPr>
                      <a:defRPr lang="zh-CN" sz="900" b="0" i="0" u="none" strike="noStrike" kern="1200" baseline="0">
                        <a:solidFill>
                          <a:schemeClr val="dk1">
                            <a:lumMod val="75000"/>
                            <a:lumOff val="25000"/>
                          </a:schemeClr>
                        </a:solidFill>
                        <a:latin typeface="+mn-lt"/>
                        <a:ea typeface="+mn-ea"/>
                        <a:cs typeface="+mn-cs"/>
                      </a:defRPr>
                    </a:pPr>
                    <a:r>
                      <a:rPr lang="zh-CN" altLang="en-US"/>
                      <a:t>签订就业协议</a:t>
                    </a:r>
                    <a:endParaRPr lang="zh-CN" altLang="en-US"/>
                  </a:p>
                  <a:p>
                    <a:pPr>
                      <a:defRPr lang="zh-CN" sz="900" b="0" i="0" u="none" strike="noStrike" kern="1200" baseline="0">
                        <a:solidFill>
                          <a:schemeClr val="dk1">
                            <a:lumMod val="75000"/>
                            <a:lumOff val="25000"/>
                          </a:schemeClr>
                        </a:solidFill>
                        <a:latin typeface="+mn-lt"/>
                        <a:ea typeface="+mn-ea"/>
                        <a:cs typeface="+mn-cs"/>
                      </a:defRPr>
                    </a:pPr>
                    <a:r>
                      <a:rPr lang="en-US" altLang="zh-CN"/>
                      <a:t>86%</a:t>
                    </a:r>
                    <a:endParaRPr lang="en-US" altLang="zh-CN"/>
                  </a:p>
                </c:rich>
              </c:tx>
              <c:dLblPos val="bestFi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0.0406904410245132"/>
                  <c:y val="0.0857092708612662"/>
                </c:manualLayout>
              </c:layout>
              <c:tx>
                <c:rich>
                  <a:bodyPr rot="0" spcFirstLastPara="1" vertOverflow="ellipsis" vert="horz" wrap="square" lIns="38100" tIns="19050" rIns="38100" bIns="19050" anchor="ctr" anchorCtr="1"/>
                  <a:lstStyle/>
                  <a:p>
                    <a:pPr>
                      <a:defRPr lang="zh-CN" sz="900" b="0" i="0" u="none" strike="noStrike" kern="1200" baseline="0">
                        <a:solidFill>
                          <a:schemeClr val="dk1">
                            <a:lumMod val="75000"/>
                            <a:lumOff val="25000"/>
                          </a:schemeClr>
                        </a:solidFill>
                        <a:latin typeface="+mn-lt"/>
                        <a:ea typeface="+mn-ea"/>
                        <a:cs typeface="+mn-cs"/>
                      </a:defRPr>
                    </a:pPr>
                    <a:r>
                      <a:rPr lang="zh-CN" altLang="en-US"/>
                      <a:t>未就业</a:t>
                    </a:r>
                    <a:endParaRPr lang="zh-CN" altLang="en-US"/>
                  </a:p>
                  <a:p>
                    <a:pPr>
                      <a:defRPr lang="zh-CN" sz="900" b="0" i="0" u="none" strike="noStrike" kern="1200" baseline="0">
                        <a:solidFill>
                          <a:schemeClr val="dk1">
                            <a:lumMod val="75000"/>
                            <a:lumOff val="25000"/>
                          </a:schemeClr>
                        </a:solidFill>
                        <a:latin typeface="+mn-lt"/>
                        <a:ea typeface="+mn-ea"/>
                        <a:cs typeface="+mn-cs"/>
                      </a:defRPr>
                    </a:pPr>
                    <a:r>
                      <a:rPr lang="en-US" altLang="zh-CN"/>
                      <a:t>3.6%</a:t>
                    </a:r>
                    <a:endParaRPr lang="en-US" altLang="zh-CN"/>
                  </a:p>
                </c:rich>
              </c:tx>
              <c:dLblPos val="bestFit"/>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0.00725706300918983"/>
                  <c:y val="0.0249306452792472"/>
                </c:manualLayout>
              </c:layout>
              <c:tx>
                <c:rich>
                  <a:bodyPr rot="0" spcFirstLastPara="1" vertOverflow="ellipsis" vert="horz" wrap="square" lIns="38100" tIns="19050" rIns="38100" bIns="19050" anchor="ctr" anchorCtr="1"/>
                  <a:lstStyle/>
                  <a:p>
                    <a:pPr>
                      <a:defRPr lang="zh-CN" sz="900" b="0" i="0" u="none" strike="noStrike" kern="1200" baseline="0">
                        <a:solidFill>
                          <a:schemeClr val="dk1">
                            <a:lumMod val="75000"/>
                            <a:lumOff val="25000"/>
                          </a:schemeClr>
                        </a:solidFill>
                        <a:latin typeface="+mn-lt"/>
                        <a:ea typeface="+mn-ea"/>
                        <a:cs typeface="+mn-cs"/>
                      </a:defRPr>
                    </a:pPr>
                    <a:r>
                      <a:rPr lang="zh-CN" altLang="en-US"/>
                      <a:t>出国留学</a:t>
                    </a:r>
                    <a:endParaRPr lang="zh-CN" altLang="en-US"/>
                  </a:p>
                  <a:p>
                    <a:pPr>
                      <a:defRPr lang="zh-CN" sz="900" b="0" i="0" u="none" strike="noStrike" kern="1200" baseline="0">
                        <a:solidFill>
                          <a:schemeClr val="dk1">
                            <a:lumMod val="75000"/>
                            <a:lumOff val="25000"/>
                          </a:schemeClr>
                        </a:solidFill>
                        <a:latin typeface="+mn-lt"/>
                        <a:ea typeface="+mn-ea"/>
                        <a:cs typeface="+mn-cs"/>
                      </a:defRPr>
                    </a:pPr>
                    <a:r>
                      <a:rPr lang="en-US" altLang="zh-CN"/>
                      <a:t>2.8%</a:t>
                    </a:r>
                    <a:endParaRPr lang="en-US" altLang="zh-CN"/>
                  </a:p>
                </c:rich>
              </c:tx>
              <c:dLblPos val="bestFit"/>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0.0339420701475644"/>
                  <c:y val="0.142360579540561"/>
                </c:manualLayout>
              </c:layout>
              <c:tx>
                <c:rich>
                  <a:bodyPr rot="0" spcFirstLastPara="1" vertOverflow="ellipsis" vert="horz" wrap="square" lIns="38100" tIns="19050" rIns="38100" bIns="19050" anchor="ctr" anchorCtr="1"/>
                  <a:lstStyle/>
                  <a:p>
                    <a:pPr>
                      <a:defRPr lang="zh-CN" sz="900" b="0" i="0" u="none" strike="noStrike" kern="1200" baseline="0">
                        <a:solidFill>
                          <a:schemeClr val="dk1">
                            <a:lumMod val="75000"/>
                            <a:lumOff val="25000"/>
                          </a:schemeClr>
                        </a:solidFill>
                        <a:latin typeface="+mn-lt"/>
                        <a:ea typeface="+mn-ea"/>
                        <a:cs typeface="+mn-cs"/>
                      </a:defRPr>
                    </a:pPr>
                    <a:r>
                      <a:rPr lang="zh-CN" altLang="en-US"/>
                      <a:t>升学</a:t>
                    </a:r>
                    <a:endParaRPr lang="zh-CN" altLang="en-US"/>
                  </a:p>
                  <a:p>
                    <a:pPr>
                      <a:defRPr lang="zh-CN" sz="900" b="0" i="0" u="none" strike="noStrike" kern="1200" baseline="0">
                        <a:solidFill>
                          <a:schemeClr val="dk1">
                            <a:lumMod val="75000"/>
                            <a:lumOff val="25000"/>
                          </a:schemeClr>
                        </a:solidFill>
                        <a:latin typeface="+mn-lt"/>
                        <a:ea typeface="+mn-ea"/>
                        <a:cs typeface="+mn-cs"/>
                      </a:defRPr>
                    </a:pPr>
                    <a:r>
                      <a:rPr lang="en-US" altLang="zh-CN"/>
                      <a:t>7.6%</a:t>
                    </a:r>
                    <a:endParaRPr lang="en-US" altLang="zh-CN"/>
                  </a:p>
                </c:rich>
              </c:tx>
              <c:dLblPos val="bestFi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dk1">
                        <a:lumMod val="75000"/>
                        <a:lumOff val="25000"/>
                      </a:schemeClr>
                    </a:solidFill>
                    <a:latin typeface="+mn-lt"/>
                    <a:ea typeface="+mn-ea"/>
                    <a:cs typeface="+mn-cs"/>
                  </a:defRPr>
                </a:pPr>
              </a:p>
            </c:txPr>
            <c:dLblPos val="bestFit"/>
            <c:showLegendKey val="0"/>
            <c:showVal val="1"/>
            <c:showCatName val="0"/>
            <c:showSerName val="0"/>
            <c:showPercent val="0"/>
            <c:showBubbleSize val="0"/>
            <c:showLeaderLines val="1"/>
            <c:extLst>
              <c:ext xmlns:c15="http://schemas.microsoft.com/office/drawing/2012/chart" uri="{CE6537A1-D6FC-4f65-9D91-7224C49458BB}">
                <c15:layout/>
                <c15:showLeaderLines val="1"/>
                <c15:leaderLines>
                  <c:spPr>
                    <a:ln w="9525" cap="flat" cmpd="sng" algn="ctr">
                      <a:solidFill>
                        <a:schemeClr val="dk1">
                          <a:lumMod val="35000"/>
                          <a:lumOff val="65000"/>
                        </a:schemeClr>
                      </a:solidFill>
                      <a:round/>
                    </a:ln>
                    <a:effectLst/>
                  </c:spPr>
                </c15:leaderLines>
              </c:ext>
            </c:extLst>
          </c:dLbls>
          <c:cat>
            <c:strRef>
              <c:f>Sheet1!$A$2:$A$5</c:f>
              <c:strCache>
                <c:ptCount val="4"/>
                <c:pt idx="0">
                  <c:v>签订就业协议</c:v>
                </c:pt>
                <c:pt idx="1">
                  <c:v>未就业</c:v>
                </c:pt>
                <c:pt idx="2">
                  <c:v>出国留学</c:v>
                </c:pt>
                <c:pt idx="3">
                  <c:v>升学</c:v>
                </c:pt>
              </c:strCache>
            </c:strRef>
          </c:cat>
          <c:val>
            <c:numRef>
              <c:f>Sheet1!$B$2:$B$5</c:f>
              <c:numCache>
                <c:formatCode>General</c:formatCode>
                <c:ptCount val="4"/>
                <c:pt idx="0">
                  <c:v>215</c:v>
                </c:pt>
                <c:pt idx="1">
                  <c:v>9</c:v>
                </c:pt>
                <c:pt idx="2">
                  <c:v>7</c:v>
                </c:pt>
                <c:pt idx="3">
                  <c:v>19</c:v>
                </c:pt>
              </c:numCache>
            </c:numRef>
          </c:val>
        </c:ser>
        <c:dLbls>
          <c:showLegendKey val="0"/>
          <c:showVal val="0"/>
          <c:showCatName val="0"/>
          <c:showSerName val="0"/>
          <c:showPercent val="0"/>
          <c:showBubbleSize val="0"/>
          <c:showLeaderLines val="1"/>
        </c:dLbls>
        <c:firstSliceAng val="0"/>
      </c:pieChart>
      <c:spPr>
        <a:noFill/>
        <a:ln>
          <a:noFill/>
        </a:ln>
        <a:effectLst/>
      </c:spPr>
    </c:plotArea>
    <c:legend>
      <c:legendPos val="r"/>
      <c:layout>
        <c:manualLayout>
          <c:xMode val="edge"/>
          <c:yMode val="edge"/>
          <c:x val="0.690735660209582"/>
          <c:y val="0.327170311141448"/>
          <c:w val="0.24425109635194"/>
          <c:h val="0.389704460317073"/>
        </c:manualLayout>
      </c:layout>
      <c:overlay val="0"/>
      <c:spPr>
        <a:solidFill>
          <a:schemeClr val="lt1">
            <a:alpha val="50000"/>
          </a:schemeClr>
        </a:solidFill>
        <a:ln>
          <a:noFill/>
        </a:ln>
        <a:effectLst/>
      </c:spPr>
      <c:txPr>
        <a:bodyPr rot="0" spcFirstLastPara="1" vertOverflow="ellipsis" vert="horz" wrap="square" anchor="ctr" anchorCtr="1"/>
        <a:lstStyle/>
        <a:p>
          <a:pPr>
            <a:defRPr lang="zh-CN" sz="900" b="0" i="0" u="none" strike="noStrike" kern="1200" baseline="0">
              <a:solidFill>
                <a:schemeClr val="dk1">
                  <a:lumMod val="65000"/>
                  <a:lumOff val="35000"/>
                </a:schemeClr>
              </a:solidFill>
              <a:latin typeface="+mn-lt"/>
              <a:ea typeface="+mn-ea"/>
              <a:cs typeface="+mn-cs"/>
            </a:defRPr>
          </a:pPr>
        </a:p>
      </c:txPr>
    </c:legend>
    <c:plotVisOnly val="1"/>
    <c:dispBlanksAs val="gap"/>
    <c:showDLblsOverMax val="0"/>
  </c:chart>
  <c:spPr>
    <a:noFill/>
    <a:ln w="9525" cap="flat" cmpd="sng" algn="ctr">
      <a:solidFill>
        <a:schemeClr val="dk1">
          <a:lumMod val="15000"/>
          <a:lumOff val="85000"/>
        </a:schemeClr>
      </a:solidFill>
      <a:round/>
    </a:ln>
    <a:effectLst/>
  </c:spPr>
  <c:txPr>
    <a:bodyPr/>
    <a:lstStyle/>
    <a:p>
      <a:pPr>
        <a:defRPr lang="zh-CN"/>
      </a:pPr>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zh-CN" sz="1800" b="1" i="0" u="none" strike="noStrike" kern="1200" baseline="0">
                <a:solidFill>
                  <a:schemeClr val="dk1">
                    <a:lumMod val="65000"/>
                    <a:lumOff val="35000"/>
                  </a:schemeClr>
                </a:solidFill>
                <a:latin typeface="+mn-lt"/>
                <a:ea typeface="+mn-ea"/>
                <a:cs typeface="+mn-cs"/>
              </a:defRPr>
            </a:pPr>
            <a:r>
              <a:rPr lang="zh-CN"/>
              <a:t>女生就业率</a:t>
            </a:r>
            <a:endParaRPr lang="zh-CN"/>
          </a:p>
        </c:rich>
      </c:tx>
      <c:layout/>
      <c:overlay val="0"/>
      <c:spPr>
        <a:noFill/>
        <a:ln>
          <a:noFill/>
        </a:ln>
        <a:effectLst/>
      </c:spPr>
    </c:title>
    <c:autoTitleDeleted val="0"/>
    <c:plotArea>
      <c:layout/>
      <c:pieChart>
        <c:varyColors val="1"/>
        <c:ser>
          <c:idx val="0"/>
          <c:order val="0"/>
          <c:spPr/>
          <c:explosion val="0"/>
          <c:dPt>
            <c:idx val="0"/>
            <c:bubble3D val="0"/>
            <c:spPr>
              <a:solidFill>
                <a:schemeClr val="accent1"/>
              </a:solidFill>
              <a:ln>
                <a:noFill/>
              </a:ln>
              <a:effectLst>
                <a:outerShdw blurRad="317500" algn="ctr" rotWithShape="0">
                  <a:prstClr val="black">
                    <a:alpha val="25000"/>
                  </a:prstClr>
                </a:outerShdw>
              </a:effectLst>
            </c:spPr>
          </c:dPt>
          <c:dPt>
            <c:idx val="1"/>
            <c:bubble3D val="0"/>
            <c:spPr>
              <a:solidFill>
                <a:schemeClr val="accent2"/>
              </a:solidFill>
              <a:ln>
                <a:noFill/>
              </a:ln>
              <a:effectLst>
                <a:outerShdw blurRad="317500" algn="ctr" rotWithShape="0">
                  <a:prstClr val="black">
                    <a:alpha val="25000"/>
                  </a:prstClr>
                </a:outerShdw>
              </a:effectLst>
            </c:spPr>
          </c:dPt>
          <c:dLbls>
            <c:dLbl>
              <c:idx val="0"/>
              <c:layout/>
              <c:tx>
                <c:rich>
                  <a:bodyPr rot="0" spcFirstLastPara="1" vertOverflow="ellipsis" vert="horz" wrap="square" lIns="38100" tIns="19050" rIns="38100" bIns="19050" anchor="ctr" anchorCtr="1"/>
                  <a:lstStyle/>
                  <a:p>
                    <a:fld id="{549ede7e-da1f-449d-ab6b-da92f029ecb9}" type="CATEGORYNAME">
                      <a:t>[CATEGORY NAME]</a:t>
                    </a:fld>
                  </a:p>
                </c:rich>
              </c:tx>
              <c:dLblPos val="inEnd"/>
              <c:showLegendKey val="0"/>
              <c:showVal val="0"/>
              <c:showCatName val="1"/>
              <c:showSerName val="0"/>
              <c:showPercent val="1"/>
              <c:showBubbleSize val="0"/>
              <c:separator>
</c:separator>
              <c:extLst>
                <c:ext xmlns:c15="http://schemas.microsoft.com/office/drawing/2012/chart" uri="{CE6537A1-D6FC-4f65-9D91-7224C49458BB}"/>
              </c:extLst>
            </c:dLbl>
            <c:dLbl>
              <c:idx val="1"/>
              <c:layout/>
              <c:tx>
                <c:rich>
                  <a:bodyPr rot="0" spcFirstLastPara="1" vertOverflow="ellipsis" vert="horz" wrap="square" lIns="38100" tIns="19050" rIns="38100" bIns="19050" anchor="ctr" anchorCtr="1"/>
                  <a:lstStyle/>
                  <a:p>
                    <a:fld id="{a57923c5-6d70-45bc-875d-a4defe6ecdd2}" type="CATEGORYNAME">
                      <a:t>[CATEGORY NAME]</a:t>
                    </a:fld>
                  </a:p>
                </c:rich>
              </c:tx>
              <c:dLblPos val="inEnd"/>
              <c:showLegendKey val="0"/>
              <c:showVal val="0"/>
              <c:showCatName val="1"/>
              <c:showSerName val="0"/>
              <c:showPercent val="1"/>
              <c:showBubbleSize val="0"/>
              <c:separator>
</c:separator>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lang="zh-CN" sz="900" b="1" i="0" u="none" strike="noStrike" kern="1200" baseline="0">
                    <a:solidFill>
                      <a:schemeClr val="lt1"/>
                    </a:solidFill>
                    <a:latin typeface="+mn-lt"/>
                    <a:ea typeface="+mn-ea"/>
                    <a:cs typeface="+mn-cs"/>
                  </a:defRPr>
                </a:pPr>
              </a:p>
            </c:txPr>
            <c:dLblPos val="inEnd"/>
            <c:showLegendKey val="0"/>
            <c:showVal val="0"/>
            <c:showCatName val="1"/>
            <c:showSerName val="0"/>
            <c:showPercent val="1"/>
            <c:showBubbleSize val="0"/>
            <c:showLeaderLines val="1"/>
            <c:extLst>
              <c:ext xmlns:c15="http://schemas.microsoft.com/office/drawing/2012/chart" uri="{CE6537A1-D6FC-4f65-9D91-7224C49458BB}">
                <c15:layout/>
                <c15:showLeaderLines val="1"/>
                <c15:leaderLines>
                  <c:spPr>
                    <a:ln w="9525" cap="flat" cmpd="sng" algn="ctr">
                      <a:solidFill>
                        <a:schemeClr val="dk1">
                          <a:lumMod val="35000"/>
                          <a:lumOff val="65000"/>
                        </a:schemeClr>
                      </a:solidFill>
                      <a:round/>
                    </a:ln>
                    <a:effectLst/>
                  </c:spPr>
                </c15:leaderLines>
              </c:ext>
            </c:extLst>
          </c:dLbls>
          <c:cat>
            <c:strRef>
              <c:f>[工作簿1]Sheet1!$E$1:$E$2</c:f>
              <c:strCache>
                <c:ptCount val="2"/>
                <c:pt idx="0">
                  <c:v>已就业</c:v>
                </c:pt>
                <c:pt idx="1">
                  <c:v>未就业</c:v>
                </c:pt>
              </c:strCache>
            </c:strRef>
          </c:cat>
          <c:val>
            <c:numRef>
              <c:f>[工作簿1]Sheet1!$F$1:$F$2</c:f>
              <c:numCache>
                <c:formatCode>General</c:formatCode>
                <c:ptCount val="2"/>
                <c:pt idx="0">
                  <c:v>140</c:v>
                </c:pt>
                <c:pt idx="1">
                  <c:v>7</c:v>
                </c:pt>
              </c:numCache>
            </c:numRef>
          </c:val>
        </c:ser>
        <c:dLbls>
          <c:showLegendKey val="0"/>
          <c:showVal val="0"/>
          <c:showCatName val="0"/>
          <c:showSerName val="0"/>
          <c:showPercent val="1"/>
          <c:showBubbleSize val="0"/>
          <c:showLeaderLines val="1"/>
        </c:dLbls>
        <c:firstSliceAng val="0"/>
      </c:pieChart>
      <c:spPr>
        <a:noFill/>
        <a:ln>
          <a:noFill/>
        </a:ln>
        <a:effectLst/>
      </c:spPr>
    </c:plotArea>
    <c:legend>
      <c:legendPos val="b"/>
      <c:layout/>
      <c:overlay val="0"/>
      <c:spPr>
        <a:solidFill>
          <a:schemeClr val="lt1">
            <a:alpha val="78000"/>
          </a:schemeClr>
        </a:solidFill>
        <a:ln>
          <a:noFill/>
        </a:ln>
        <a:effectLst/>
      </c:spPr>
      <c:txPr>
        <a:bodyPr rot="0" spcFirstLastPara="1" vertOverflow="ellipsis" vert="horz" wrap="square" anchor="ctr" anchorCtr="1"/>
        <a:lstStyle/>
        <a:p>
          <a:pPr>
            <a:defRPr lang="zh-CN" sz="900" b="0" i="0" u="none" strike="noStrike" kern="1200" baseline="0">
              <a:solidFill>
                <a:schemeClr val="dk1">
                  <a:lumMod val="65000"/>
                  <a:lumOff val="35000"/>
                </a:schemeClr>
              </a:solidFill>
              <a:latin typeface="+mn-lt"/>
              <a:ea typeface="+mn-ea"/>
              <a:cs typeface="+mn-cs"/>
            </a:defRPr>
          </a:pPr>
        </a:p>
      </c:txPr>
    </c:legend>
    <c:plotVisOnly val="1"/>
    <c:dispBlanksAs val="gap"/>
    <c:showDLblsOverMax val="0"/>
  </c:chart>
  <c:spPr>
    <a:pattFill prst="dkDnDiag">
      <a:fgClr>
        <a:schemeClr val="lt1">
          <a:lumMod val="95000"/>
        </a:schemeClr>
      </a:fgClr>
      <a:bgClr>
        <a:schemeClr val="lt1"/>
      </a:bgClr>
    </a:pattFill>
    <a:ln w="9525" cap="flat" cmpd="sng" algn="ctr">
      <a:solidFill>
        <a:schemeClr val="dk1">
          <a:lumMod val="15000"/>
          <a:lumOff val="85000"/>
        </a:schemeClr>
      </a:solidFill>
      <a:round/>
    </a:ln>
    <a:effectLst/>
  </c:spPr>
  <c:txPr>
    <a:bodyPr/>
    <a:lstStyle/>
    <a:p>
      <a:pPr>
        <a:defRPr lang="zh-CN"/>
      </a:pPr>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rgbClr val="4F81BD"/>
  <a:srgbClr val="C0504D"/>
  <a:srgbClr val="9BBB59"/>
  <a:srgbClr val="8064A2"/>
  <a:srgbClr val="4BACC6"/>
  <a:srgbClr val="F7964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61">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defRPr sz="900" kern="1200"/>
  </cs:categoryAxis>
  <cs:chartArea>
    <cs:lnRef idx="0"/>
    <cs:fillRef idx="0"/>
    <cs:effectRef idx="0"/>
    <cs:fontRef idx="minor">
      <a:schemeClr val="dk1"/>
    </cs:fontRef>
    <cs:spPr>
      <a:pattFill prst="dkDnDiag">
        <a:fgClr>
          <a:schemeClr val="lt1">
            <a:lumMod val="95000"/>
          </a:schemeClr>
        </a:fgClr>
        <a:bgClr>
          <a:schemeClr val="lt1"/>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317500" algn="ctr" rotWithShape="0">
          <a:prstClr val="black">
            <a:alpha val="25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20000"/>
          </a:prstClr>
        </a:outerShdw>
      </a:effectLst>
      <a:scene3d>
        <a:camera prst="orthographicFront"/>
        <a:lightRig rig="threePt" dir="t"/>
      </a:scene3d>
      <a:sp3d prstMaterial="matte"/>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noFill/>
      <a:ln w="9525" cap="flat" cmpd="sng" algn="ctr">
        <a:solidFill>
          <a:schemeClr val="dk1">
            <a:lumMod val="15000"/>
            <a:lumOff val="85000"/>
          </a:schemeClr>
        </a:solidFill>
        <a:round/>
      </a:ln>
    </cs:spPr>
    <cs:defRPr sz="9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65000"/>
            <a:lumOff val="35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65000"/>
            <a:lumOff val="35000"/>
          </a:schemeClr>
        </a:solidFill>
        <a:round/>
      </a:ln>
    </cs:spPr>
  </cs:errorBar>
  <cs:floor>
    <cs:lnRef idx="0"/>
    <cs:fillRef idx="0"/>
    <cs:effectRef idx="0"/>
    <cs:fontRef idx="minor">
      <a:schemeClr val="dk1"/>
    </cs:fontRef>
    <cs:spPr>
      <a:noFill/>
      <a:ln>
        <a:noFill/>
      </a:ln>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50000"/>
            <a:lumOff val="50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78000"/>
        </a:schemeClr>
      </a:solidFill>
    </cs:spPr>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inor">
      <a:schemeClr val="dk1">
        <a:lumMod val="65000"/>
        <a:lumOff val="35000"/>
      </a:schemeClr>
    </cs:fontRef>
    <cs:defRPr sz="1800" b="1" kern="120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65000"/>
            <a:lumOff val="35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12.xml><?xml version="1.0" encoding="utf-8"?>
<cs:chartStyle xmlns:cs="http://schemas.microsoft.com/office/drawing/2012/chartStyle" xmlns:a="http://schemas.openxmlformats.org/drawingml/2006/main" id="261">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defRPr sz="900" kern="1200"/>
  </cs:categoryAxis>
  <cs:chartArea>
    <cs:lnRef idx="0"/>
    <cs:fillRef idx="0"/>
    <cs:effectRef idx="0"/>
    <cs:fontRef idx="minor">
      <a:schemeClr val="dk1"/>
    </cs:fontRef>
    <cs:spPr>
      <a:pattFill prst="dkDnDiag">
        <a:fgClr>
          <a:schemeClr val="lt1">
            <a:lumMod val="95000"/>
          </a:schemeClr>
        </a:fgClr>
        <a:bgClr>
          <a:schemeClr val="lt1"/>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317500" algn="ctr" rotWithShape="0">
          <a:prstClr val="black">
            <a:alpha val="25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20000"/>
          </a:prstClr>
        </a:outerShdw>
      </a:effectLst>
      <a:scene3d>
        <a:camera prst="orthographicFront"/>
        <a:lightRig rig="threePt" dir="t"/>
      </a:scene3d>
      <a:sp3d prstMaterial="matte"/>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noFill/>
      <a:ln w="9525" cap="flat" cmpd="sng" algn="ctr">
        <a:solidFill>
          <a:schemeClr val="dk1">
            <a:lumMod val="15000"/>
            <a:lumOff val="85000"/>
          </a:schemeClr>
        </a:solidFill>
        <a:round/>
      </a:ln>
    </cs:spPr>
    <cs:defRPr sz="9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65000"/>
            <a:lumOff val="35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65000"/>
            <a:lumOff val="35000"/>
          </a:schemeClr>
        </a:solidFill>
        <a:round/>
      </a:ln>
    </cs:spPr>
  </cs:errorBar>
  <cs:floor>
    <cs:lnRef idx="0"/>
    <cs:fillRef idx="0"/>
    <cs:effectRef idx="0"/>
    <cs:fontRef idx="minor">
      <a:schemeClr val="dk1"/>
    </cs:fontRef>
    <cs:spPr>
      <a:noFill/>
      <a:ln>
        <a:noFill/>
      </a:ln>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50000"/>
            <a:lumOff val="50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78000"/>
        </a:schemeClr>
      </a:solidFill>
    </cs:spPr>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inor">
      <a:schemeClr val="dk1">
        <a:lumMod val="65000"/>
        <a:lumOff val="35000"/>
      </a:schemeClr>
    </cs:fontRef>
    <cs:defRPr sz="1800" b="1" kern="120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65000"/>
            <a:lumOff val="35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1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rgbClr val="595959">
        <a:lumMod val="65000"/>
        <a:lumOff val="35000"/>
      </a:srgbClr>
    </cs:fontRef>
    <cs:defRPr sz="1000" kern="1200"/>
  </cs:axisTitle>
  <cs:categoryAxis>
    <cs:lnRef idx="0"/>
    <cs:fillRef idx="0"/>
    <cs:effectRef idx="0"/>
    <cs:fontRef idx="minor">
      <a:srgbClr val="595959">
        <a:lumMod val="65000"/>
        <a:lumOff val="35000"/>
      </a:srgbClr>
    </cs:fontRef>
    <cs:spPr>
      <a:ln w="9525" cap="flat" cmpd="sng" algn="ctr">
        <a:solidFill>
          <a:srgbClr val="D9D9D9">
            <a:lumMod val="15000"/>
            <a:lumOff val="85000"/>
          </a:srgbClr>
        </a:solidFill>
        <a:round/>
      </a:ln>
    </cs:spPr>
    <cs:defRPr sz="900" kern="1200"/>
  </cs:categoryAxis>
  <cs:chartArea mods="allowNoFillOverride allowNoLineOverride">
    <cs:lnRef idx="0"/>
    <cs:fillRef idx="0"/>
    <cs:effectRef idx="0"/>
    <cs:fontRef idx="minor">
      <a:srgbClr val="000000"/>
    </cs:fontRef>
    <cs:spPr>
      <a:solidFill>
        <a:srgbClr val="FFFFFF"/>
      </a:solidFill>
      <a:ln w="9525" cap="flat" cmpd="sng" algn="ctr">
        <a:solidFill>
          <a:srgbClr val="D9D9D9">
            <a:lumMod val="15000"/>
            <a:lumOff val="85000"/>
          </a:srgbClr>
        </a:solidFill>
        <a:round/>
      </a:ln>
    </cs:spPr>
    <cs:defRPr sz="1000" kern="1200"/>
  </cs:chartArea>
  <cs:dataLabel>
    <cs:lnRef idx="0"/>
    <cs:fillRef idx="0"/>
    <cs:effectRef idx="0"/>
    <cs:fontRef idx="minor">
      <a:srgbClr val="404040">
        <a:lumMod val="75000"/>
        <a:lumOff val="25000"/>
      </a:srgbClr>
    </cs:fontRef>
    <cs:defRPr sz="900" kern="1200"/>
  </cs:dataLabel>
  <cs:dataLabelCallout>
    <cs:lnRef idx="0"/>
    <cs:fillRef idx="0"/>
    <cs:effectRef idx="0"/>
    <cs:fontRef idx="minor">
      <a:srgbClr val="595959">
        <a:lumMod val="65000"/>
        <a:lumOff val="35000"/>
      </a:srgbClr>
    </cs:fontRef>
    <cs:spPr>
      <a:solidFill>
        <a:srgbClr val="FFFFFF"/>
      </a:solidFill>
      <a:ln>
        <a:solidFill>
          <a:srgbClr val="BFBFBF">
            <a:lumMod val="25000"/>
            <a:lumOff val="75000"/>
          </a:srgb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rgbClr val="000000"/>
    </cs:fontRef>
  </cs:dataPoint>
  <cs:dataPoint3D>
    <cs:lnRef idx="0"/>
    <cs:fillRef idx="1">
      <cs:styleClr val="auto"/>
    </cs:fillRef>
    <cs:effectRef idx="0"/>
    <cs:fontRef idx="minor">
      <a:srgbClr val="000000"/>
    </cs:fontRef>
  </cs:dataPoint3D>
  <cs:dataPointLine>
    <cs:lnRef idx="0">
      <cs:styleClr val="auto"/>
    </cs:lnRef>
    <cs:fillRef idx="1"/>
    <cs:effectRef idx="0"/>
    <cs:fontRef idx="minor">
      <a:srgbClr val="000000"/>
    </cs:fontRef>
    <cs:spPr>
      <a:ln w="28575" cap="rnd">
        <a:solidFill>
          <a:srgbClr val="FFFFFF"/>
        </a:solidFill>
        <a:round/>
      </a:ln>
    </cs:spPr>
  </cs:dataPointLine>
  <cs:dataPointMarker>
    <cs:lnRef idx="0">
      <cs:styleClr val="auto"/>
    </cs:lnRef>
    <cs:fillRef idx="1">
      <cs:styleClr val="auto"/>
    </cs:fillRef>
    <cs:effectRef idx="0"/>
    <cs:fontRef idx="minor">
      <a:srgbClr val="000000"/>
    </cs:fontRef>
    <cs:spPr>
      <a:ln w="9525">
        <a:solidFill>
          <a:srgbClr val="FFFFFF"/>
        </a:solidFill>
      </a:ln>
    </cs:spPr>
  </cs:dataPointMarker>
  <cs:dataPointMarkerLayout symbol="circle" size="5"/>
  <cs:dataPointWireframe>
    <cs:lnRef idx="0">
      <cs:styleClr val="auto"/>
    </cs:lnRef>
    <cs:fillRef idx="1"/>
    <cs:effectRef idx="0"/>
    <cs:fontRef idx="minor">
      <a:srgbClr val="000000"/>
    </cs:fontRef>
    <cs:spPr>
      <a:ln w="9525" cap="rnd">
        <a:solidFill>
          <a:srgbClr val="FFFFFF"/>
        </a:solidFill>
        <a:round/>
      </a:ln>
    </cs:spPr>
  </cs:dataPointWireframe>
  <cs:dataTable>
    <cs:lnRef idx="0"/>
    <cs:fillRef idx="0"/>
    <cs:effectRef idx="0"/>
    <cs:fontRef idx="minor">
      <a:srgbClr val="595959">
        <a:lumMod val="65000"/>
        <a:lumOff val="35000"/>
      </a:srgbClr>
    </cs:fontRef>
    <cs:spPr>
      <a:noFill/>
      <a:ln w="9525" cap="flat" cmpd="sng" algn="ctr">
        <a:solidFill>
          <a:srgbClr val="D9D9D9">
            <a:lumMod val="15000"/>
            <a:lumOff val="85000"/>
          </a:srgbClr>
        </a:solidFill>
        <a:round/>
      </a:ln>
    </cs:spPr>
    <cs:defRPr sz="900" kern="1200"/>
  </cs:dataTable>
  <cs:downBar>
    <cs:lnRef idx="0"/>
    <cs:fillRef idx="0"/>
    <cs:effectRef idx="0"/>
    <cs:fontRef idx="minor">
      <a:srgbClr val="000000"/>
    </cs:fontRef>
    <cs:spPr>
      <a:solidFill>
        <a:srgbClr val="595959">
          <a:lumMod val="65000"/>
          <a:lumOff val="35000"/>
        </a:srgbClr>
      </a:solidFill>
      <a:ln w="9525">
        <a:solidFill>
          <a:srgbClr val="595959">
            <a:lumMod val="65000"/>
            <a:lumOff val="35000"/>
          </a:srgbClr>
        </a:solidFill>
      </a:ln>
    </cs:spPr>
  </cs:downBar>
  <cs:dropLine>
    <cs:lnRef idx="0"/>
    <cs:fillRef idx="0"/>
    <cs:effectRef idx="0"/>
    <cs:fontRef idx="minor">
      <a:srgbClr val="000000"/>
    </cs:fontRef>
    <cs:spPr>
      <a:ln w="9525" cap="flat" cmpd="sng" algn="ctr">
        <a:solidFill>
          <a:srgbClr val="A6A6A6">
            <a:lumMod val="35000"/>
            <a:lumOff val="65000"/>
          </a:srgbClr>
        </a:solidFill>
        <a:round/>
      </a:ln>
    </cs:spPr>
  </cs:dropLine>
  <cs:errorBar>
    <cs:lnRef idx="0"/>
    <cs:fillRef idx="0"/>
    <cs:effectRef idx="0"/>
    <cs:fontRef idx="minor">
      <a:srgbClr val="000000"/>
    </cs:fontRef>
    <cs:spPr>
      <a:ln w="9525" cap="flat" cmpd="sng" algn="ctr">
        <a:solidFill>
          <a:srgbClr val="595959">
            <a:lumMod val="65000"/>
            <a:lumOff val="35000"/>
          </a:srgbClr>
        </a:solidFill>
        <a:round/>
      </a:ln>
    </cs:spPr>
  </cs:errorBar>
  <cs:floor>
    <cs:lnRef idx="0"/>
    <cs:fillRef idx="0"/>
    <cs:effectRef idx="0"/>
    <cs:fontRef idx="minor">
      <a:srgbClr val="000000"/>
    </cs:fontRef>
    <cs:spPr>
      <a:noFill/>
      <a:ln>
        <a:noFill/>
      </a:ln>
    </cs:spPr>
  </cs:floor>
  <cs:gridlineMajor>
    <cs:lnRef idx="0"/>
    <cs:fillRef idx="0"/>
    <cs:effectRef idx="0"/>
    <cs:fontRef idx="minor">
      <a:srgbClr val="000000"/>
    </cs:fontRef>
    <cs:spPr>
      <a:ln w="9525" cap="flat" cmpd="sng" algn="ctr">
        <a:solidFill>
          <a:srgbClr val="D9D9D9">
            <a:lumMod val="15000"/>
            <a:lumOff val="85000"/>
          </a:srgbClr>
        </a:solidFill>
        <a:round/>
      </a:ln>
    </cs:spPr>
  </cs:gridlineMajor>
  <cs:gridlineMinor>
    <cs:lnRef idx="0"/>
    <cs:fillRef idx="0"/>
    <cs:effectRef idx="0"/>
    <cs:fontRef idx="minor">
      <a:srgbClr val="000000"/>
    </cs:fontRef>
    <cs:spPr>
      <a:ln w="9525" cap="flat" cmpd="sng" algn="ctr">
        <a:solidFill>
          <a:srgbClr val="F2F2F2">
            <a:lumMod val="5000"/>
            <a:lumOff val="95000"/>
          </a:srgbClr>
        </a:solidFill>
        <a:round/>
      </a:ln>
    </cs:spPr>
  </cs:gridlineMinor>
  <cs:hiLoLine>
    <cs:lnRef idx="0"/>
    <cs:fillRef idx="0"/>
    <cs:effectRef idx="0"/>
    <cs:fontRef idx="minor">
      <a:srgbClr val="000000"/>
    </cs:fontRef>
    <cs:spPr>
      <a:ln w="9525" cap="flat" cmpd="sng" algn="ctr">
        <a:solidFill>
          <a:srgbClr val="404040">
            <a:lumMod val="75000"/>
            <a:lumOff val="25000"/>
          </a:srgbClr>
        </a:solidFill>
        <a:round/>
      </a:ln>
    </cs:spPr>
  </cs:hiLoLine>
  <cs:leaderLine>
    <cs:lnRef idx="0"/>
    <cs:fillRef idx="0"/>
    <cs:effectRef idx="0"/>
    <cs:fontRef idx="minor">
      <a:srgbClr val="000000"/>
    </cs:fontRef>
    <cs:spPr>
      <a:ln w="9525" cap="flat" cmpd="sng" algn="ctr">
        <a:solidFill>
          <a:srgbClr val="A6A6A6">
            <a:lumMod val="35000"/>
            <a:lumOff val="65000"/>
          </a:srgbClr>
        </a:solidFill>
        <a:round/>
      </a:ln>
    </cs:spPr>
  </cs:leaderLine>
  <cs:legend>
    <cs:lnRef idx="0"/>
    <cs:fillRef idx="0"/>
    <cs:effectRef idx="0"/>
    <cs:fontRef idx="minor">
      <a:srgbClr val="595959">
        <a:lumMod val="65000"/>
        <a:lumOff val="35000"/>
      </a:srgbClr>
    </cs:fontRef>
    <cs:defRPr sz="900" kern="1200"/>
  </cs:legend>
  <cs:plotArea mods="allowNoFillOverride allowNoLineOverride">
    <cs:lnRef idx="0"/>
    <cs:fillRef idx="0"/>
    <cs:effectRef idx="0"/>
    <cs:fontRef idx="minor">
      <a:srgbClr val="000000"/>
    </cs:fontRef>
  </cs:plotArea>
  <cs:plotArea3D mods="allowNoFillOverride allowNoLineOverride">
    <cs:lnRef idx="0"/>
    <cs:fillRef idx="0"/>
    <cs:effectRef idx="0"/>
    <cs:fontRef idx="minor">
      <a:srgbClr val="000000"/>
    </cs:fontRef>
  </cs:plotArea3D>
  <cs:seriesAxis>
    <cs:lnRef idx="0"/>
    <cs:fillRef idx="0"/>
    <cs:effectRef idx="0"/>
    <cs:fontRef idx="minor">
      <a:srgbClr val="595959">
        <a:lumMod val="65000"/>
        <a:lumOff val="35000"/>
      </a:srgbClr>
    </cs:fontRef>
    <cs:defRPr sz="900" kern="1200"/>
  </cs:seriesAxis>
  <cs:seriesLine>
    <cs:lnRef idx="0"/>
    <cs:fillRef idx="0"/>
    <cs:effectRef idx="0"/>
    <cs:fontRef idx="minor">
      <a:srgbClr val="000000"/>
    </cs:fontRef>
    <cs:spPr>
      <a:ln w="9525" cap="flat" cmpd="sng" algn="ctr">
        <a:solidFill>
          <a:srgbClr val="A6A6A6">
            <a:lumMod val="35000"/>
            <a:lumOff val="65000"/>
          </a:srgbClr>
        </a:solidFill>
        <a:round/>
      </a:ln>
    </cs:spPr>
  </cs:seriesLine>
  <cs:title>
    <cs:lnRef idx="0"/>
    <cs:fillRef idx="0"/>
    <cs:effectRef idx="0"/>
    <cs:fontRef idx="minor">
      <a:srgbClr val="595959">
        <a:lumMod val="65000"/>
        <a:lumOff val="35000"/>
      </a:srgbClr>
    </cs:fontRef>
    <cs:defRPr sz="1400" b="0" kern="1200" spc="0" baseline="0"/>
  </cs:title>
  <cs:trendline>
    <cs:lnRef idx="0">
      <cs:styleClr val="auto"/>
    </cs:lnRef>
    <cs:fillRef idx="0"/>
    <cs:effectRef idx="0"/>
    <cs:fontRef idx="minor">
      <a:srgbClr val="000000"/>
    </cs:fontRef>
    <cs:spPr>
      <a:ln w="19050" cap="rnd">
        <a:solidFill>
          <a:srgbClr val="FFFFFF"/>
        </a:solidFill>
        <a:prstDash val="sysDot"/>
      </a:ln>
    </cs:spPr>
  </cs:trendline>
  <cs:trendlineLabel>
    <cs:lnRef idx="0"/>
    <cs:fillRef idx="0"/>
    <cs:effectRef idx="0"/>
    <cs:fontRef idx="minor">
      <a:srgbClr val="595959">
        <a:lumMod val="65000"/>
        <a:lumOff val="35000"/>
      </a:srgbClr>
    </cs:fontRef>
    <cs:defRPr sz="900" kern="1200"/>
  </cs:trendlineLabel>
  <cs:upBar>
    <cs:lnRef idx="0"/>
    <cs:fillRef idx="0"/>
    <cs:effectRef idx="0"/>
    <cs:fontRef idx="minor">
      <a:srgbClr val="000000"/>
    </cs:fontRef>
    <cs:spPr>
      <a:solidFill>
        <a:srgbClr val="FFFFFF"/>
      </a:solidFill>
      <a:ln w="9525">
        <a:solidFill>
          <a:srgbClr val="D9D9D9">
            <a:lumMod val="15000"/>
            <a:lumOff val="85000"/>
          </a:srgbClr>
        </a:solidFill>
      </a:ln>
    </cs:spPr>
  </cs:upBar>
  <cs:valueAxis>
    <cs:lnRef idx="0"/>
    <cs:fillRef idx="0"/>
    <cs:effectRef idx="0"/>
    <cs:fontRef idx="minor">
      <a:srgbClr val="595959">
        <a:lumMod val="65000"/>
        <a:lumOff val="35000"/>
      </a:srgbClr>
    </cs:fontRef>
    <cs:defRPr sz="900" kern="1200"/>
  </cs:valueAxis>
  <cs:wall>
    <cs:lnRef idx="0"/>
    <cs:fillRef idx="0"/>
    <cs:effectRef idx="0"/>
    <cs:fontRef idx="minor">
      <a:srgbClr val="000000"/>
    </cs:fontRef>
    <cs:spPr>
      <a:noFill/>
      <a:ln>
        <a:noFill/>
      </a:ln>
    </cs:spPr>
  </cs:wall>
</cs:chartStyle>
</file>

<file path=word/charts/style1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6">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cap="none" spc="0" normalizeH="0" baseline="0"/>
  </cs:categoryAxis>
  <cs:chartArea>
    <cs:lnRef idx="0"/>
    <cs:fillRef idx="0"/>
    <cs:effectRef idx="0"/>
    <cs:fontRef idx="minor">
      <a:schemeClr val="dk1"/>
    </cs:fontRef>
    <cs:spPr>
      <a:pattFill prst="dkDnDiag">
        <a:fgClr>
          <a:schemeClr val="lt1"/>
        </a:fgClr>
        <a:bgClr>
          <a:schemeClr val="dk1">
            <a:lumMod val="10000"/>
            <a:lumOff val="90000"/>
          </a:schemeClr>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19050">
        <a:solidFill>
          <a:schemeClr val="lt1"/>
        </a:solidFill>
      </a:ln>
    </cs:spPr>
  </cs:dataPoint>
  <cs:dataPoint3D>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50800">
        <a:solidFill>
          <a:schemeClr val="lt1"/>
        </a:solidFill>
      </a:ln>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50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56">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cap="none" spc="0" normalizeH="0" baseline="0"/>
  </cs:categoryAxis>
  <cs:chartArea>
    <cs:lnRef idx="0"/>
    <cs:fillRef idx="0"/>
    <cs:effectRef idx="0"/>
    <cs:fontRef idx="minor">
      <a:schemeClr val="dk1"/>
    </cs:fontRef>
    <cs:spPr>
      <a:pattFill prst="dkDnDiag">
        <a:fgClr>
          <a:schemeClr val="lt1"/>
        </a:fgClr>
        <a:bgClr>
          <a:schemeClr val="dk1">
            <a:lumMod val="10000"/>
            <a:lumOff val="90000"/>
          </a:schemeClr>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19050">
        <a:solidFill>
          <a:schemeClr val="lt1"/>
        </a:solidFill>
      </a:ln>
    </cs:spPr>
  </cs:dataPoint>
  <cs:dataPoint3D>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50800">
        <a:solidFill>
          <a:schemeClr val="lt1"/>
        </a:solidFill>
      </a:ln>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50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190</Pages>
  <Words>122032</Words>
  <Characters>127248</Characters>
  <Lines>974</Lines>
  <Paragraphs>274</Paragraphs>
  <TotalTime>3</TotalTime>
  <ScaleCrop>false</ScaleCrop>
  <LinksUpToDate>false</LinksUpToDate>
  <CharactersWithSpaces>128061</CharactersWithSpaces>
  <Application>WPS Office_11.1.0.14309_F1E327BC-269C-435d-A152-05C5408002CA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2021-11-19T15:55:00Z</dcterms:created>
  <dc:creator>苏 雨荨</dc:creator>
  <cp:lastModifiedBy>WPS_1665128302</cp:lastModifiedBy>
  <dcterms:modified xsi:type="dcterms:W3CDTF">2023-08-04T07:08:52Z</dcterms:modified>
  <cp:revision>28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376C38C89391484C83EAD569E21250F0</vt:lpwstr>
  </property>
</Properties>
</file>